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5246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6"/>
          <w:szCs w:val="36"/>
          <w:lang w:val="en-US" w:eastAsia="zh-CN"/>
        </w:rPr>
        <w:t>采 购 需 求</w:t>
      </w:r>
    </w:p>
    <w:p w14:paraId="05B24F12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864" w:firstLineChars="3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10635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0" w:leftChars="0" w:firstLine="576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一、项目主要内容为在区管委礼堂主席台上安装一块P5 10.88*6.08米的主屏，在两侧安装两块为P1.86 3.52*2.08米 副屏，以及在安装时可能移动的音箱、LED屏等内容。</w:t>
      </w:r>
    </w:p>
    <w:p w14:paraId="40D22C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0" w:leftChars="0" w:firstLine="576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二、项目工期：项目必须在2026年2月9日之前完工。</w:t>
      </w:r>
    </w:p>
    <w:p w14:paraId="020A21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0" w:leftChars="0" w:firstLine="576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三、质保2年</w:t>
      </w:r>
    </w:p>
    <w:p w14:paraId="6C9B0B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0" w:leftChars="0" w:firstLine="576" w:firstLineChars="200"/>
        <w:jc w:val="left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四、主要设备采购参数</w:t>
      </w:r>
    </w:p>
    <w:p w14:paraId="1CF0A141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区管委礼堂高清全彩LED屏主屏</w:t>
      </w:r>
    </w:p>
    <w:tbl>
      <w:tblPr>
        <w:tblStyle w:val="5"/>
        <w:tblW w:w="9142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073"/>
        <w:gridCol w:w="7211"/>
      </w:tblGrid>
      <w:tr w14:paraId="4081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参数（室内2.5净尺寸(10.88*6.08米））</w:t>
            </w:r>
          </w:p>
        </w:tc>
      </w:tr>
      <w:tr w14:paraId="4C27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6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▲1.像素点间距≤2.5mm，像素密度≥160000点/㎡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2.水平视角≥170度，垂直视角≥160度。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3.模组拼接相对偏差符合SJ/T11141-2017标准C级：平整度等级P≤0.05mm，水平相对错位等级CS≤2%，垂直相对错位等级CC≤2%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4.刷新频率≥3840Hz，换帧频率50/60Hz。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5.最大亮度≥500cd/㎡，亮度均匀性≥97%，对比度≥9000:1。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6.全彩屏色温3000-10000可调</w:t>
            </w:r>
            <w:r>
              <w:rPr>
                <w:rStyle w:val="7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色宽容差±0.003ΔCx, ΔCy内。</w:t>
            </w:r>
          </w:p>
          <w:p w14:paraId="0A47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7.像素点失控率等级符合SJ/T 11141-2017标准C级：整屏PZ≤1×10-6；区域PQ≤1×10-6；平均失效间隔工作时间符合 GB/T 5080.7-2012标准，MTBF≥60000h。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8.亮度均匀性及鉴别等级符合SJ/T 11141-2017标准：均匀性IGU≥98%，鉴别等级BJ≥24。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9.峰值功耗＜490W/㎡，平均功耗＜170W/㎡，电源平均效率符合GB 20943-2013标准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10.抗扰度符合GB/T 9254.1-2021标准试验：静电放电ESD、电快速瞬变脉冲群、射频连续波传导、浪涌试验、无线电骚扰传导发射、连续射频电磁场骚扰、工频磁场诸项试验结果符合要求。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12.显示屏的电源系统应设计合理、高效，能在额定输入电压范围内稳定工作，并确保显示屏各区域的亮度与色彩均匀性</w:t>
            </w:r>
          </w:p>
          <w:p w14:paraId="035A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13.LED显示屏的电气安全应符合GB 4943.1标准，并通过包含异常工况测试在内的全套安全检测。。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14.色域空间：LED显示屏ColorSpace覆盖率≥120%（NTSC）</w:t>
            </w:r>
          </w:p>
          <w:p w14:paraId="2AB3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15.具备毛毛虫现象消除功能，显示画面无单列或单行像素失控现象且系统具备掉电储存功能。支持不关电热拔抢修功能。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16.显示屏产品满足防火要求，其燃烧性能应不低于GB 8624-2012标准规定的B1(B)级</w:t>
            </w:r>
          </w:p>
        </w:tc>
      </w:tr>
      <w:tr w14:paraId="1638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输入电压范围： 176～264VAC  额定输出电压：5VDC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纹波和噪声：150mVp-p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过载保护：额定负载的110~150%范围内电源保护，去载恢复正常输出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短路保护：输出端短路时电源保护，输出关断，去掉短路恢复正常输出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抗电强度：I/P-O/P、I/P-FG：1.5KVAC    O/P-FG：0.5KVAC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绝缘电阻：I/P-O/P、I/P-FG、O/P-FG：100MΩ/500VDC</w:t>
            </w:r>
          </w:p>
        </w:tc>
      </w:tr>
      <w:tr w14:paraId="133E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接收卡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1、单卡最大带载分辨率 512×512@60Hz，最多支持32组并行数据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2、无需转接板，单卡自带HUB75接口，更加稳定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3、支持亮度校正，对每个灯点的亮度进行校正，有效消除亮度差异，使整屏的亮度达到高度一致。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4、快速亮暗线调节在调试软件上进行快速亮暗线调节，快速解决因箱体及模组拼接造成的显示屏亮暗线，调节过程中即时生效，简单易用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5、配合支持3D功能的独立主控，在软件或独立主控的操作面板上开启3D功能，并设置3D参数，使画面显示3D效果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Mapping功能开启，每个箱体上会显示数字，清楚告诉您当前箱体是哪个网口下的哪张接收卡，直观的看到显示屏连接状况。从此让箱体排查变得轻松简单，快速定位问题箱体，再也无需再爬上爬下，根据走线更改连屏文件即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7、可以监测自身的温度和电压，无需其他外设，在软件上可以查看接收卡的温度和电压。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8、检测发送设备与接收卡间或接收卡与接收卡间的网络通讯质量，记录错误包数，协助排除网络通讯隐患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9、支持5pin液晶模块，用于显示接收卡的温度、电压、单次运行时间和总运行时间。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10、支持回读接收卡的固件程序并保存到本地。</w:t>
            </w:r>
          </w:p>
        </w:tc>
      </w:tr>
      <w:tr w14:paraId="27ED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F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1、采用标准 19 英寸金属结构机箱，机箱为后挂耳结构，上盖无螺钉安装:外壳防护等级符合GBIT 4280-2017中IP20的要求;采用纯硬件 FPGA 架构设计、运行稳定、可靠、高效。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2、输入接口至少包含2路 HDMI2.0,1路 DP1.2+HDMI 2.0二选一,4路 HDMI13,1路USB3.0,支持选配1路 3G-SDI(IN+LOOP)，最大支持3路4096*2160@60HZ信号同时输入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3、视频输出支持可达32路千兆网口输出，4路10G-OPT光口，最大带载可达2080万像素，最宽支持16384,最高8192。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4、音频输入支持视频口伴随音频输入及独立输入两种模式，音频输出支持网口扩展输出及3.5mm独立音频口输出；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5、支持输入源备份功能，主源丢失下，无需人为操作可自动切换至备源显示，切换过程无黑屏；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6、可支持144HZ高帧率输入输出，输出支持插帧、抽帧、倍频（2倍频、3倍频、4倍频）功能，可将30HZ信号，倍频至120HZ输出；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7、图层能力：支持不少于12个2K图层或6个4K*1K图层或3个4K*2K图层，全部图层大小和位置可单独调节。4K接口输入2K信号，按2K图层计算图层资源；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通过上位机软件实现对显示屏的连接，控制，包括：输入源切换，窗口位置及大小调节，分辨率自定义等；软件端支持可视化呈现设备各接口实时状态，包括视频输入状态及分辨率、网口带载利用率、监控界面支持接收卡温度、电压、误码率、通讯状态等的检测；9、支持U盘即插即播功能，最大支持4K级（3840*2160@60fps）图片和视频的流畅播放，播放列表计切换效果支持自定义编排，最多支持20余种图片切换特效，如：水波涟漪、镜头拉近、直接推出、立体翻转、百叶窗、左右擦除、上下擦除、立方体旋转、溶解转场、网格转场、扇扫转场、画卷转场、淡入淡出、旋转扭曲、心形转场、拉帘推出、透视三角、圆形消失、矩形弹跳、星形旋转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10、设备标配全彩液晶，搭配实体按键，方便对设备整体状态的监控及设备功能的控制:设备功能按键及丝印信息采用全中文提示；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11、支持不少于2种用户模式设置，满足不同角色对显示屏的分权管理，使用更加放心；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12、支持微信小程序快捷控制，包括但不限于亮度调节、输出画质调节、待机模式、画面冻结、场景切换、U盘播放等功能；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13、支持平板对控制器进行快捷控制，包括但不限于亮度调节、图层布局调节、画面冻结、黑屏、场景切换、音量大小、OSD开关等功能；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14、支持创建设备还原点，将当前设备的相关参数存储为还原点，当系统工作异常时，可根据还原点一键快速还原；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15、支持控制设备白名单，可通过MAC地址限制控制设备，非白名单内设备无法控制设备，不允许对设备进行操作；</w:t>
            </w:r>
          </w:p>
        </w:tc>
      </w:tr>
      <w:tr w14:paraId="5CE6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线材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7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国标铜芯动力电缆、控制信号线、连接线、接头、插头等与屏体配套的相关辅材。</w:t>
            </w:r>
          </w:p>
        </w:tc>
      </w:tr>
      <w:tr w14:paraId="3BA1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C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1.主体框架为国标40*40的矩形管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2.边框采用标准工艺、焊接角铁及方管的方式组成框架，再进行装饰处理</w:t>
            </w:r>
          </w:p>
        </w:tc>
      </w:tr>
      <w:tr w14:paraId="5BEF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7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1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符合项目需求</w:t>
            </w:r>
          </w:p>
        </w:tc>
      </w:tr>
    </w:tbl>
    <w:p w14:paraId="5E1625C9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5A41418E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区管委礼堂高清全彩LED屏副屏</w:t>
      </w:r>
    </w:p>
    <w:tbl>
      <w:tblPr>
        <w:tblStyle w:val="5"/>
        <w:tblpPr w:leftFromText="180" w:rightFromText="180" w:vertAnchor="text" w:horzAnchor="page" w:tblpX="1517" w:tblpY="113"/>
        <w:tblOverlap w:val="never"/>
        <w:tblW w:w="9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56"/>
        <w:gridCol w:w="6766"/>
      </w:tblGrid>
      <w:tr w14:paraId="6CD9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名称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 室内1.86净尺寸(3.52*2.08米）</w:t>
            </w:r>
          </w:p>
        </w:tc>
      </w:tr>
      <w:tr w14:paraId="1FCF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8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▲1.像素点间距≤1.86，像素密度≥288906点/㎡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2.水平视角≥170度，垂直视角≥160度。</w:t>
            </w:r>
          </w:p>
          <w:p w14:paraId="2A8E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3.模组拼接相对偏差符合SJ/T11141-2017标准C级：平整度等级P≤0.05mm，水平相对错位等级CS≤2%，垂直相对错位等级CC≤2%</w:t>
            </w:r>
          </w:p>
          <w:p w14:paraId="12BE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4.刷新频率≥3840Hz，换帧频率50/60Hz。</w:t>
            </w:r>
          </w:p>
          <w:p w14:paraId="7DB4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5.最大亮度≥500cd/㎡，亮度均匀性≥97%，对比度≥9000:1。</w:t>
            </w:r>
          </w:p>
          <w:p w14:paraId="7BAB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6.全彩屏色温3000-10000可调，色宽容差±0.003ΔCx, ΔCy内。</w:t>
            </w:r>
          </w:p>
          <w:p w14:paraId="314F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7.像素点失控率等级符合SJ/T 11141-2017标准C级：整屏PZ≤1×10-6；区域PQ≤1×10-6；平均失效间隔工作时间符合 GB/T 5080.7-2012标准，MTBF≥60000h。</w:t>
            </w:r>
          </w:p>
          <w:p w14:paraId="697C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8.亮度均匀性及鉴别等级符合SJ/T 11141-2017标准：均匀性IGU≥98%，鉴别等级BJ≥24。</w:t>
            </w:r>
          </w:p>
          <w:p w14:paraId="65F9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9.峰值功耗＜490W/㎡，平均功耗＜170W/㎡，电源平均效率符合GB 20943-2013标准</w:t>
            </w:r>
          </w:p>
          <w:p w14:paraId="3A10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10.抗扰度符合GB/T 9254.1-2021标准试验：静电放电ESD、电快速瞬变脉冲群、射频连续波传导、浪涌试验、无线电骚扰传导发射、连续射频电磁场骚扰、工频磁场诸项试验结果符合要求。</w:t>
            </w:r>
          </w:p>
          <w:p w14:paraId="6318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12.显示屏的电源系统应设计合理、高效，能在额定输入电压范围内稳定工作，并确保显示屏各区域的亮度与色彩均匀性</w:t>
            </w:r>
          </w:p>
          <w:p w14:paraId="0389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13.LED显示屏的电气安全应符合GB 4943.1标准，并通过包含异常工况测试在内的全套安全检测。。</w:t>
            </w:r>
          </w:p>
          <w:p w14:paraId="33FF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14.色域空间：LED显示屏ColorSpace覆盖率≥120%（NTSC）</w:t>
            </w:r>
          </w:p>
          <w:p w14:paraId="4B9A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15.具备毛毛虫现象消除功能，显示画面无单列或单行像素失控现象且系统具备掉电储存功能。支持不关电热拔抢修功能。</w:t>
            </w:r>
          </w:p>
          <w:p w14:paraId="5B32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16.显示屏产品满足防火要求，其燃烧性能应不低于GB 8624-2012标准规定的B1(B)级</w:t>
            </w:r>
          </w:p>
        </w:tc>
      </w:tr>
      <w:tr w14:paraId="4977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C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输入电压范围： 176～264VAC  额定输出电压：5VDC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纹波和噪声：150mVp-p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过载保护：额定负载的110~150%范围内电源保护，去载恢复正常输出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短路保护：输出端短路时电源保护，输出关断，去掉短路恢复正常输出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抗电强度：I/P-O/P、I/P-FG：1.5KVAC    O/P-FG：0.5KVAC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绝缘电阻：I/P-O/P、I/P-FG、O/P-FG：100MΩ/500VDC</w:t>
            </w:r>
          </w:p>
        </w:tc>
      </w:tr>
      <w:tr w14:paraId="7F8A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接收卡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8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1、单卡最大带载分辨率 512×512@60Hz，最多支持16组并行数据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2、无需转接板，单卡自带HUB75接口，更加稳定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3、支持亮度校正，对每个灯点的亮度进行校正，有效消除亮度差异，使整屏的亮度达到高度一致。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4、快速亮暗线调节在调试软件上进行快速亮暗线调节，快速解决因箱体及模组拼接造成的显示屏亮暗线，调节过程中即时生效，简单易用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5、配合支持3D功能的独立主控，在软件或独立主控的操作面板上开启3D功能，并设置3D参数，使画面显示3D效果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Mapping功能开启，每个箱体上会显示数字，清楚告诉您当前箱体是哪个网口下的哪张接收卡，直观的看到显示屏连接状况。从此让箱体排查变得轻松简单，快速定位问题箱体，再也无需再爬上爬下，根据走线更改连屏文件即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7、可以监测自身的温度和电压，无需其他外设，在软件上可以查看接收卡的温度和电压。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8、检测发送设备与接收卡间或接收卡与接收卡间的网络通讯质量，记录错误包数，协助排除网络通讯隐患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9、支持5pin液晶模块，用于显示接收卡的温度、电压、单次运行时间和总运行时间。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10、支持回读接收卡的固件程序并保存到本地。</w:t>
            </w:r>
          </w:p>
        </w:tc>
      </w:tr>
      <w:tr w14:paraId="009A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线材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7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国标铜芯动力电缆、控制信号线、连接线、接头、插头等与屏体配套的相关辅材。</w:t>
            </w:r>
          </w:p>
        </w:tc>
      </w:tr>
      <w:tr w14:paraId="2233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E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1.主体框架为国标40*40的矩形管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2.边框采用标准工艺、焊接角铁及方管的方式组成框架，再进行装饰处理</w:t>
            </w:r>
          </w:p>
        </w:tc>
      </w:tr>
      <w:tr w14:paraId="3C1B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5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符合项目需求</w:t>
            </w:r>
          </w:p>
        </w:tc>
      </w:tr>
    </w:tbl>
    <w:p w14:paraId="6D4C25E0">
      <w:pP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br w:type="page"/>
      </w:r>
    </w:p>
    <w:p w14:paraId="23AFFCBC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0CE92ED1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其他设备</w:t>
      </w:r>
    </w:p>
    <w:tbl>
      <w:tblPr>
        <w:tblStyle w:val="5"/>
        <w:tblpPr w:leftFromText="180" w:rightFromText="180" w:vertAnchor="text" w:horzAnchor="page" w:tblpX="1517" w:tblpY="113"/>
        <w:tblOverlap w:val="never"/>
        <w:tblW w:w="9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56"/>
        <w:gridCol w:w="6766"/>
      </w:tblGrid>
      <w:tr w14:paraId="610F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拼接器</w:t>
            </w:r>
          </w:p>
          <w:p w14:paraId="1FD9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（用于副屏）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5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1、纯硬件设计架构，19英寸标准机架式安装，金属结构机箱;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2、整机规模支持输入不少于 28路接口，输出不少于 16路接口 ，输入接口支持单链路和双链路输入模式切换;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3、输出板卡支持不少于8个图层，支持图层在输出接口间漫游，可进行图层参数设置;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4、支持双主控卡热备份，主备卡实时同步设备固件程序和用户数据，主卡掉线的情况下，备卡自动接管设备;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5、支持对输入图像画面添加台标，可调整台标文字背景、位置；支持 OSD 文字叠加显示，并可对OSD属性进行调节，包括但不限于字体间距、颜色、透明度等;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6、支持不少于2000个用户场景，支持多场景分组合、场景一键轮巡等;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7、为了提升设备的故障排查效率，可监测设备温度、电压、 风扇在线状态，可监测板卡信号状态，输入源信号丢失时，可上报预警提示信息；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8、可通过移动终端进行无线控制，实现图层编辑、信号更换，场景保存／调取、画面控制等操作;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9、支持用户权限分级管理和设置，超级管理员用户可分配用户使用权限，支持多用户同时在线编辑、 控制、 上屏</w:t>
            </w:r>
          </w:p>
        </w:tc>
      </w:tr>
      <w:tr w14:paraId="1EA6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0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板材厚≧0.7mm,高度1200mm,宽600mm，宽800mm</w:t>
            </w:r>
          </w:p>
        </w:tc>
      </w:tr>
    </w:tbl>
    <w:p w14:paraId="24544F2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zh-CN"/>
        </w:rPr>
      </w:pPr>
      <w:r>
        <w:rPr>
          <w:rFonts w:hint="default" w:ascii="仿宋" w:hAnsi="仿宋" w:eastAsia="仿宋" w:cs="仿宋"/>
          <w:snapToGrid w:val="0"/>
          <w:color w:val="000000"/>
          <w:spacing w:val="-16"/>
          <w:kern w:val="0"/>
          <w:sz w:val="28"/>
          <w:szCs w:val="28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zh-CN"/>
        </w:rPr>
        <w:t>投标函</w:t>
      </w:r>
    </w:p>
    <w:p w14:paraId="389D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毛集实验区管委会办公室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：</w:t>
      </w:r>
    </w:p>
    <w:p w14:paraId="7B18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我方已仔细研究了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毛集实验区管委会办公室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室内LED显示屏采购项目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文件的全部内容，愿意以人民币（大写</w:t>
      </w:r>
      <w:r>
        <w:rPr>
          <w:rFonts w:hint="eastAsia" w:ascii="宋体" w:hAnsi="宋体" w:eastAsia="宋体" w:cs="宋体"/>
          <w:b w:val="0"/>
          <w:bCs/>
          <w:kern w:val="0"/>
          <w:sz w:val="24"/>
          <w:u w:val="single"/>
          <w:lang w:val="zh-CN"/>
        </w:rPr>
        <w:t>）</w:t>
      </w:r>
      <w:r>
        <w:rPr>
          <w:rFonts w:hint="eastAsia" w:ascii="宋体" w:hAnsi="宋体" w:eastAsia="宋体" w:cs="宋体"/>
          <w:b w:val="0"/>
          <w:bCs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（投标总价）元（小写：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¥ 元）的投标总报价，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于2026年2月9日前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 xml:space="preserve"> ，按合同约定实施和完成承包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，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质量达到国家验收规范合格标准。</w:t>
      </w:r>
    </w:p>
    <w:p w14:paraId="3782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我方承诺在投标有效期内不修改、撤销投标文件。</w:t>
      </w:r>
    </w:p>
    <w:p w14:paraId="4FD9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如我方中标：</w:t>
      </w:r>
    </w:p>
    <w:p w14:paraId="2226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（1）我方承诺在收到中标通知书后，在中标通知书规定的期限内与你方签订合同。</w:t>
      </w:r>
    </w:p>
    <w:p w14:paraId="66743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我方承诺在合同约定的期限内完成并移交全部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。</w:t>
      </w:r>
    </w:p>
    <w:p w14:paraId="54BDC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我方在此声明，所递交的投标文件及有关资料内容完整、真实和准确，且不存在招标文件中规定的禁止投标的情形。</w:t>
      </w:r>
    </w:p>
    <w:p w14:paraId="0259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我方同意本投标函在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文件规定的有效期内一直对我方具有约束力。</w:t>
      </w:r>
    </w:p>
    <w:p w14:paraId="22715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</w:p>
    <w:p w14:paraId="7F48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</w:p>
    <w:p w14:paraId="75417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 xml:space="preserve">投标人： </w:t>
      </w:r>
    </w:p>
    <w:p w14:paraId="61540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法定代表人或其委托代理人： （签字或盖章）</w:t>
      </w:r>
    </w:p>
    <w:p w14:paraId="653A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t>日期： 年 月 日</w:t>
      </w:r>
    </w:p>
    <w:p w14:paraId="3E5F8510">
      <w:pP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  <w:br w:type="page"/>
      </w:r>
    </w:p>
    <w:p w14:paraId="05CD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lang w:val="zh-CN"/>
        </w:rPr>
      </w:pPr>
    </w:p>
    <w:p w14:paraId="4BC45A0D">
      <w:pPr>
        <w:adjustRightInd w:val="0"/>
        <w:spacing w:line="360" w:lineRule="auto"/>
        <w:ind w:firstLine="0" w:firstLineChars="0"/>
        <w:jc w:val="center"/>
        <w:rPr>
          <w:rFonts w:ascii="宋体" w:hAnsi="宋体" w:eastAsia="宋体" w:cs="宋体"/>
          <w:b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开标一览表（报价表）(单位均为人民币元)</w:t>
      </w:r>
    </w:p>
    <w:tbl>
      <w:tblPr>
        <w:tblStyle w:val="5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715"/>
        <w:gridCol w:w="1640"/>
        <w:gridCol w:w="1543"/>
        <w:gridCol w:w="1145"/>
        <w:gridCol w:w="1562"/>
      </w:tblGrid>
      <w:tr w14:paraId="1E17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34" w:type="dxa"/>
            <w:vAlign w:val="center"/>
          </w:tcPr>
          <w:p w14:paraId="27343800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715" w:type="dxa"/>
            <w:vAlign w:val="center"/>
          </w:tcPr>
          <w:p w14:paraId="38126B39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名称</w:t>
            </w:r>
          </w:p>
        </w:tc>
        <w:tc>
          <w:tcPr>
            <w:tcW w:w="1640" w:type="dxa"/>
            <w:vAlign w:val="center"/>
          </w:tcPr>
          <w:p w14:paraId="2CCC84B9">
            <w:pPr>
              <w:adjustRightIn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价格（元）</w:t>
            </w:r>
          </w:p>
        </w:tc>
        <w:tc>
          <w:tcPr>
            <w:tcW w:w="1543" w:type="dxa"/>
            <w:vAlign w:val="center"/>
          </w:tcPr>
          <w:p w14:paraId="3CB4781A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1145" w:type="dxa"/>
            <w:vAlign w:val="center"/>
          </w:tcPr>
          <w:p w14:paraId="1379212F">
            <w:pPr>
              <w:adjustRightIn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合计</w:t>
            </w:r>
          </w:p>
        </w:tc>
        <w:tc>
          <w:tcPr>
            <w:tcW w:w="1562" w:type="dxa"/>
            <w:vAlign w:val="center"/>
          </w:tcPr>
          <w:p w14:paraId="1B942E8A">
            <w:pPr>
              <w:adjustRightIn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备注</w:t>
            </w:r>
          </w:p>
        </w:tc>
      </w:tr>
      <w:tr w14:paraId="5E46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34" w:type="dxa"/>
            <w:vAlign w:val="center"/>
          </w:tcPr>
          <w:p w14:paraId="49043B44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715" w:type="dxa"/>
            <w:vAlign w:val="center"/>
          </w:tcPr>
          <w:p w14:paraId="7F8E40BA"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区管委礼堂高清全彩LED主屏</w:t>
            </w:r>
          </w:p>
        </w:tc>
        <w:tc>
          <w:tcPr>
            <w:tcW w:w="1640" w:type="dxa"/>
            <w:vAlign w:val="center"/>
          </w:tcPr>
          <w:p w14:paraId="79DDADF8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391402C9">
            <w:pPr>
              <w:adjustRightIn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77DF026E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76BAAABD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412A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4" w:type="dxa"/>
            <w:vAlign w:val="center"/>
          </w:tcPr>
          <w:p w14:paraId="7A424B4B">
            <w:pPr>
              <w:adjustRightIn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553CD0F6"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区管委礼堂高清全彩LED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副</w:t>
            </w: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屏</w:t>
            </w:r>
          </w:p>
        </w:tc>
        <w:tc>
          <w:tcPr>
            <w:tcW w:w="1640" w:type="dxa"/>
            <w:vAlign w:val="center"/>
          </w:tcPr>
          <w:p w14:paraId="72152B88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613C0E25">
            <w:pPr>
              <w:adjustRightIn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 w14:paraId="499B9B90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6F08A387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47E5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4" w:type="dxa"/>
            <w:vAlign w:val="center"/>
          </w:tcPr>
          <w:p w14:paraId="2414D86D">
            <w:pPr>
              <w:adjustRightIn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48995275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拼接器</w:t>
            </w:r>
          </w:p>
        </w:tc>
        <w:tc>
          <w:tcPr>
            <w:tcW w:w="1640" w:type="dxa"/>
            <w:vAlign w:val="center"/>
          </w:tcPr>
          <w:p w14:paraId="5C350C7B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0B400FE8">
            <w:pPr>
              <w:adjustRightIn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4887E649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7EC70747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565E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4" w:type="dxa"/>
            <w:vAlign w:val="center"/>
          </w:tcPr>
          <w:p w14:paraId="70524EC0">
            <w:pPr>
              <w:adjustRightIn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5E6612B7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机柜</w:t>
            </w:r>
          </w:p>
        </w:tc>
        <w:tc>
          <w:tcPr>
            <w:tcW w:w="1640" w:type="dxa"/>
            <w:vAlign w:val="center"/>
          </w:tcPr>
          <w:p w14:paraId="5D8EB5C3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7DFD9876">
            <w:pPr>
              <w:adjustRightIn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13021F3D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62EA23B6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35E8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4" w:type="dxa"/>
            <w:vAlign w:val="center"/>
          </w:tcPr>
          <w:p w14:paraId="2BC29ED7">
            <w:pPr>
              <w:adjustRightIn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431B0245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其他</w:t>
            </w:r>
          </w:p>
        </w:tc>
        <w:tc>
          <w:tcPr>
            <w:tcW w:w="1640" w:type="dxa"/>
            <w:vAlign w:val="center"/>
          </w:tcPr>
          <w:p w14:paraId="232C75F3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00FB7EC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0C2220FD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0D9FB8A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4DCE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4" w:type="dxa"/>
            <w:vAlign w:val="center"/>
          </w:tcPr>
          <w:p w14:paraId="1455029B">
            <w:pPr>
              <w:adjustRightIn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8062B0E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1640" w:type="dxa"/>
            <w:vAlign w:val="center"/>
          </w:tcPr>
          <w:p w14:paraId="42883FCE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6C02A0B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770E4C79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17A79C9"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</w:tbl>
    <w:p w14:paraId="580C5697">
      <w:pPr>
        <w:adjustRightInd w:val="0"/>
        <w:snapToGrid w:val="0"/>
        <w:spacing w:line="360" w:lineRule="auto"/>
        <w:ind w:left="480" w:firstLine="0" w:firstLineChars="0"/>
        <w:rPr>
          <w:rFonts w:ascii="宋体" w:hAnsi="宋体" w:eastAsia="宋体" w:cs="宋体"/>
          <w:b/>
          <w:kern w:val="0"/>
          <w:sz w:val="24"/>
          <w:lang w:val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zh-CN"/>
        </w:rPr>
        <w:t>注：</w:t>
      </w:r>
    </w:p>
    <w:p w14:paraId="01746E51">
      <w:pPr>
        <w:adjustRightInd w:val="0"/>
        <w:spacing w:line="360" w:lineRule="auto"/>
        <w:ind w:left="-3" w:leftChars="-1" w:firstLine="480" w:firstLineChars="200"/>
        <w:rPr>
          <w:rFonts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1、投标人需按本表格式填写</w:t>
      </w:r>
      <w:r>
        <w:rPr>
          <w:rFonts w:hint="eastAsia" w:ascii="宋体" w:hAnsi="宋体" w:eastAsia="宋体" w:cs="宋体"/>
          <w:b/>
          <w:kern w:val="0"/>
          <w:sz w:val="24"/>
          <w:lang w:val="zh-CN"/>
        </w:rPr>
        <w:t>，</w:t>
      </w:r>
      <w:r>
        <w:rPr>
          <w:rFonts w:hint="eastAsia" w:ascii="宋体" w:hAnsi="宋体" w:eastAsia="宋体" w:cs="宋体"/>
          <w:b/>
          <w:kern w:val="0"/>
          <w:sz w:val="24"/>
        </w:rPr>
        <w:t>否则视为</w:t>
      </w:r>
      <w:r>
        <w:rPr>
          <w:rFonts w:hint="eastAsia" w:ascii="宋体" w:hAnsi="宋体" w:eastAsia="宋体" w:cs="宋体"/>
          <w:b/>
          <w:sz w:val="24"/>
        </w:rPr>
        <w:t>投标文件含有采购人不能接受的附加条件，投标无效</w:t>
      </w:r>
      <w:r>
        <w:rPr>
          <w:rFonts w:hint="eastAsia" w:ascii="宋体" w:hAnsi="宋体" w:eastAsia="宋体" w:cs="宋体"/>
          <w:kern w:val="0"/>
          <w:sz w:val="24"/>
          <w:lang w:val="zh-CN"/>
        </w:rPr>
        <w:t>。</w:t>
      </w:r>
    </w:p>
    <w:p w14:paraId="62C994DB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2、有关本项目实施所涉及的一切费用均计入报价。</w:t>
      </w:r>
    </w:p>
    <w:p w14:paraId="0EA68691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3、特别提示：将对项目名称，中标供应商名称、中标金额等予以公示。</w:t>
      </w:r>
    </w:p>
    <w:p w14:paraId="4C274A2E">
      <w:pPr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br w:type="page"/>
      </w:r>
    </w:p>
    <w:p w14:paraId="45DD0393">
      <w:pPr>
        <w:adjustRightInd w:val="0"/>
        <w:snapToGrid w:val="0"/>
        <w:spacing w:line="24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分项报价表</w:t>
      </w:r>
    </w:p>
    <w:p w14:paraId="5B834912"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区管委礼堂高清全彩LED屏主屏</w:t>
      </w:r>
    </w:p>
    <w:tbl>
      <w:tblPr>
        <w:tblStyle w:val="5"/>
        <w:tblW w:w="858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72"/>
        <w:gridCol w:w="1204"/>
        <w:gridCol w:w="1059"/>
        <w:gridCol w:w="1331"/>
        <w:gridCol w:w="1331"/>
        <w:gridCol w:w="1331"/>
      </w:tblGrid>
      <w:tr w14:paraId="3714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品牌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响应情况</w:t>
            </w:r>
          </w:p>
        </w:tc>
      </w:tr>
      <w:tr w14:paraId="725C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4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A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8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B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7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3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F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E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9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3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9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2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6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E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8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7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3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2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2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6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F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E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0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2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12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9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0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A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A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3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97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6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8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7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B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8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2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C9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5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E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C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9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3E37B99">
      <w:pPr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p w14:paraId="501379D4"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区管委礼堂高清全彩LED屏副屏（单屏价）</w:t>
      </w:r>
    </w:p>
    <w:p w14:paraId="0E5B25E4"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ind w:left="3692" w:firstLine="0" w:firstLineChars="0"/>
        <w:jc w:val="left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22"/>
          <w:kern w:val="0"/>
          <w:sz w:val="31"/>
          <w:szCs w:val="31"/>
          <w:lang w:eastAsia="en-US"/>
        </w:rPr>
      </w:pPr>
    </w:p>
    <w:tbl>
      <w:tblPr>
        <w:tblStyle w:val="5"/>
        <w:tblpPr w:leftFromText="180" w:rightFromText="180" w:vertAnchor="text" w:horzAnchor="page" w:tblpX="1517" w:tblpY="113"/>
        <w:tblOverlap w:val="never"/>
        <w:tblW w:w="86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56"/>
        <w:gridCol w:w="1073"/>
        <w:gridCol w:w="1073"/>
        <w:gridCol w:w="1294"/>
        <w:gridCol w:w="1368"/>
        <w:gridCol w:w="1301"/>
      </w:tblGrid>
      <w:tr w14:paraId="3B7B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品牌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响应情况</w:t>
            </w:r>
          </w:p>
        </w:tc>
      </w:tr>
      <w:tr w14:paraId="3F4B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4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B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C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D3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E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9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7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5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3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F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5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1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58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A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E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F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9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A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0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4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F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2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5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7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6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8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D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E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0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7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5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8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C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4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6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4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5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4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B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C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F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D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C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B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9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6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8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70F5B56"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ind w:left="3692" w:firstLine="0" w:firstLineChars="0"/>
        <w:jc w:val="left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22"/>
          <w:kern w:val="0"/>
          <w:sz w:val="31"/>
          <w:szCs w:val="31"/>
          <w:lang w:eastAsia="en-US"/>
        </w:rPr>
      </w:pPr>
    </w:p>
    <w:p w14:paraId="5577D13D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481E186D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77C94FD9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5B4944AB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2765ACC2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6"/>
          <w:kern w:val="0"/>
          <w:sz w:val="32"/>
          <w:szCs w:val="32"/>
          <w:lang w:val="en-US" w:eastAsia="zh-CN"/>
        </w:rPr>
        <w:t>其他设备</w:t>
      </w:r>
    </w:p>
    <w:tbl>
      <w:tblPr>
        <w:tblStyle w:val="5"/>
        <w:tblpPr w:leftFromText="180" w:rightFromText="180" w:vertAnchor="text" w:horzAnchor="page" w:tblpX="1517" w:tblpY="113"/>
        <w:tblOverlap w:val="never"/>
        <w:tblW w:w="8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56"/>
        <w:gridCol w:w="1373"/>
        <w:gridCol w:w="1194"/>
        <w:gridCol w:w="1126"/>
        <w:gridCol w:w="1048"/>
        <w:gridCol w:w="1707"/>
      </w:tblGrid>
      <w:tr w14:paraId="1E2B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拼接器</w:t>
            </w:r>
          </w:p>
          <w:p w14:paraId="4DA4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（用于副屏）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品牌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633B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6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0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8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6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5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DA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8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F4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2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F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E3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23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85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E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5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A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1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31101DB">
      <w:pP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2"/>
          <w:kern w:val="0"/>
          <w:sz w:val="32"/>
          <w:szCs w:val="32"/>
          <w:lang w:eastAsia="en-US"/>
        </w:rPr>
      </w:pPr>
    </w:p>
    <w:p w14:paraId="1EC4FCAC">
      <w:pPr>
        <w:rPr>
          <w:rFonts w:hint="default" w:ascii="仿宋" w:hAnsi="仿宋" w:eastAsia="仿宋" w:cs="仿宋"/>
          <w:snapToGrid w:val="0"/>
          <w:color w:val="000000"/>
          <w:spacing w:val="-16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spacing w:val="-16"/>
          <w:kern w:val="0"/>
          <w:sz w:val="28"/>
          <w:szCs w:val="28"/>
          <w:lang w:val="en-US" w:eastAsia="zh-CN"/>
        </w:rPr>
        <w:br w:type="page"/>
      </w:r>
    </w:p>
    <w:p w14:paraId="57DCFE1E"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ind w:left="3692" w:firstLine="0" w:firstLineChars="0"/>
        <w:jc w:val="left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22"/>
          <w:kern w:val="0"/>
          <w:sz w:val="32"/>
          <w:szCs w:val="32"/>
          <w:lang w:eastAsia="en-US"/>
        </w:rPr>
        <w:t>承诺书</w:t>
      </w:r>
    </w:p>
    <w:p w14:paraId="4F442F46">
      <w:pPr>
        <w:widowControl/>
        <w:kinsoku w:val="0"/>
        <w:autoSpaceDE w:val="0"/>
        <w:autoSpaceDN w:val="0"/>
        <w:adjustRightInd w:val="0"/>
        <w:snapToGrid w:val="0"/>
        <w:spacing w:before="286" w:line="219" w:lineRule="auto"/>
        <w:ind w:left="12" w:firstLine="0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eastAsia="en-US"/>
        </w:rPr>
        <w:t>本企业郑重承诺：</w:t>
      </w:r>
    </w:p>
    <w:p w14:paraId="699CD00D">
      <w:pPr>
        <w:widowControl/>
        <w:kinsoku w:val="0"/>
        <w:autoSpaceDE w:val="0"/>
        <w:autoSpaceDN w:val="0"/>
        <w:adjustRightInd w:val="0"/>
        <w:snapToGrid w:val="0"/>
        <w:spacing w:before="326" w:line="426" w:lineRule="auto"/>
        <w:ind w:left="19" w:right="64" w:firstLine="557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en-US"/>
        </w:rPr>
        <w:t>我公司在投标截止时间前不存在以下几种情形，否则我公司将接受联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 w:eastAsia="en-US"/>
        </w:rPr>
        <w:t>合惩戒，</w:t>
      </w:r>
      <w:r>
        <w:rPr>
          <w:rFonts w:ascii="仿宋" w:hAnsi="仿宋" w:eastAsia="仿宋" w:cs="仿宋"/>
          <w:snapToGrid w:val="0"/>
          <w:color w:val="000000"/>
          <w:spacing w:val="-56"/>
          <w:kern w:val="0"/>
          <w:sz w:val="28"/>
          <w:szCs w:val="28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 w:eastAsia="en-US"/>
        </w:rPr>
        <w:t>中标无效，并赔偿对采购人采购失败的经济损失：</w:t>
      </w:r>
    </w:p>
    <w:p w14:paraId="17E4ADAB">
      <w:pPr>
        <w:widowControl/>
        <w:kinsoku w:val="0"/>
        <w:autoSpaceDE w:val="0"/>
        <w:autoSpaceDN w:val="0"/>
        <w:adjustRightInd w:val="0"/>
        <w:snapToGrid w:val="0"/>
        <w:spacing w:before="1" w:line="320" w:lineRule="auto"/>
        <w:ind w:right="1" w:firstLine="578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1.被最高人民法院在“中国执行信息公开网”网站（</w: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instrText xml:space="preserve"> HYPERLINK "http://zxgk.cou" </w:instrTex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http://zxgk.cou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fldChar w:fldCharType="end"/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rt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en-US"/>
        </w:rPr>
        <w:t>.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gov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en-US"/>
        </w:rPr>
        <w:t>.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cn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en-US"/>
        </w:rPr>
        <w:t>）列为失信被执行人；</w:t>
      </w:r>
    </w:p>
    <w:p w14:paraId="693A67CF">
      <w:pPr>
        <w:widowControl/>
        <w:kinsoku w:val="0"/>
        <w:autoSpaceDE w:val="0"/>
        <w:autoSpaceDN w:val="0"/>
        <w:adjustRightInd w:val="0"/>
        <w:snapToGrid w:val="0"/>
        <w:spacing w:before="318" w:line="321" w:lineRule="auto"/>
        <w:ind w:left="6" w:firstLine="554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2.被国家市场监督管理部门在国家企业信用信息公示系统（</w: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instrText xml:space="preserve"> HYPERLINK "https://www.gsxt" </w:instrTex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www.gsxt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fldChar w:fldCharType="end"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.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28"/>
          <w:szCs w:val="28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gov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eastAsia="en-US"/>
        </w:rPr>
        <w:t>.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cn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eastAsia="en-US"/>
        </w:rPr>
        <w:t>）中列入严重违法失信企业名单；</w:t>
      </w:r>
    </w:p>
    <w:p w14:paraId="1FBFA6EB">
      <w:pPr>
        <w:widowControl/>
        <w:kinsoku w:val="0"/>
        <w:autoSpaceDE w:val="0"/>
        <w:autoSpaceDN w:val="0"/>
        <w:adjustRightInd w:val="0"/>
        <w:snapToGrid w:val="0"/>
        <w:spacing w:before="319" w:line="220" w:lineRule="auto"/>
        <w:ind w:left="563" w:firstLine="0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3.被国家税务总局列入“重大税收违法案件当事人”名单；</w:t>
      </w:r>
    </w:p>
    <w:p w14:paraId="1219B4C5">
      <w:pPr>
        <w:widowControl/>
        <w:kinsoku w:val="0"/>
        <w:autoSpaceDE w:val="0"/>
        <w:autoSpaceDN w:val="0"/>
        <w:adjustRightInd w:val="0"/>
        <w:snapToGrid w:val="0"/>
        <w:spacing w:before="312" w:line="323" w:lineRule="auto"/>
        <w:ind w:left="11" w:right="8" w:firstLine="552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lang w:eastAsia="en-US"/>
        </w:rPr>
        <w:t>4.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被中国政府采购网（</w: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fldChar w:fldCharType="begin"/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instrText xml:space="preserve"> HYPERLINK "https://www.ccgp.gov.cn" </w:instrTex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fldChar w:fldCharType="separate"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www.ccgp.gov.cn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fldChar w:fldCharType="end"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）列入“政府采购严重违法失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28"/>
          <w:szCs w:val="28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28"/>
          <w:szCs w:val="28"/>
          <w:lang w:eastAsia="en-US"/>
        </w:rPr>
        <w:t>信行为记录名单”。</w:t>
      </w:r>
    </w:p>
    <w:p w14:paraId="39FEEE35">
      <w:pPr>
        <w:widowControl/>
        <w:kinsoku w:val="0"/>
        <w:autoSpaceDE w:val="0"/>
        <w:autoSpaceDN w:val="0"/>
        <w:adjustRightInd w:val="0"/>
        <w:snapToGrid w:val="0"/>
        <w:spacing w:before="312" w:line="323" w:lineRule="auto"/>
        <w:ind w:left="11" w:right="8" w:firstLine="552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5.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</w:rPr>
        <w:t>符合《中华人民共和国政府采购法》第二十二条规定的条件</w:t>
      </w:r>
    </w:p>
    <w:p w14:paraId="5ADC14B0">
      <w:pPr>
        <w:widowControl/>
        <w:kinsoku w:val="0"/>
        <w:autoSpaceDE w:val="0"/>
        <w:autoSpaceDN w:val="0"/>
        <w:adjustRightInd w:val="0"/>
        <w:snapToGrid w:val="0"/>
        <w:spacing w:before="312" w:line="425" w:lineRule="auto"/>
        <w:ind w:left="10" w:right="64" w:firstLine="566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en-US"/>
        </w:rPr>
        <w:t>我公司承诺信誉完全响应招标文件内容要求，同时不存在采购文件中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28"/>
          <w:szCs w:val="28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eastAsia="en-US"/>
        </w:rPr>
        <w:t>规定的供应商不得存在的情形。</w:t>
      </w:r>
    </w:p>
    <w:p w14:paraId="0D5F6FA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21F11BE">
      <w:pPr>
        <w:widowControl/>
        <w:kinsoku w:val="0"/>
        <w:autoSpaceDE w:val="0"/>
        <w:autoSpaceDN w:val="0"/>
        <w:adjustRightInd w:val="0"/>
        <w:snapToGrid w:val="0"/>
        <w:spacing w:line="277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304437">
      <w:pPr>
        <w:widowControl/>
        <w:kinsoku w:val="0"/>
        <w:autoSpaceDE w:val="0"/>
        <w:autoSpaceDN w:val="0"/>
        <w:adjustRightInd w:val="0"/>
        <w:snapToGrid w:val="0"/>
        <w:spacing w:before="91" w:line="221" w:lineRule="auto"/>
        <w:ind w:left="5899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28"/>
          <w:szCs w:val="28"/>
          <w:lang w:eastAsia="en-US"/>
        </w:rPr>
        <w:t>供应商（盖章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eastAsia="en-US"/>
        </w:rPr>
        <w:t>）：</w:t>
      </w:r>
    </w:p>
    <w:p w14:paraId="7BE8A2F0">
      <w:pPr>
        <w:widowControl/>
        <w:kinsoku w:val="0"/>
        <w:autoSpaceDE w:val="0"/>
        <w:autoSpaceDN w:val="0"/>
        <w:adjustRightInd w:val="0"/>
        <w:snapToGrid w:val="0"/>
        <w:spacing w:line="251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D53848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6324" w:firstLine="0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16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8"/>
          <w:szCs w:val="28"/>
          <w:lang w:eastAsia="en-US"/>
        </w:rPr>
        <w:t>年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  <w:lang w:eastAsia="en-US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8"/>
          <w:szCs w:val="28"/>
          <w:lang w:eastAsia="en-US"/>
        </w:rPr>
        <w:t>月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28"/>
          <w:szCs w:val="28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8"/>
          <w:szCs w:val="28"/>
          <w:lang w:eastAsia="en-US"/>
        </w:rPr>
        <w:t>日</w:t>
      </w:r>
    </w:p>
    <w:p w14:paraId="16AE47B9">
      <w:bookmarkStart w:id="0" w:name="_GoBack"/>
      <w:bookmarkEnd w:id="0"/>
    </w:p>
    <w:sectPr>
      <w:footerReference r:id="rId5" w:type="default"/>
      <w:pgSz w:w="11906" w:h="16838"/>
      <w:pgMar w:top="1247" w:right="1531" w:bottom="124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1B1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30AD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30AD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70911"/>
    <w:rsid w:val="0BD70911"/>
    <w:rsid w:val="0C1451BF"/>
    <w:rsid w:val="0C923886"/>
    <w:rsid w:val="1974136F"/>
    <w:rsid w:val="19A63F5F"/>
    <w:rsid w:val="1EF7194E"/>
    <w:rsid w:val="3D4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1"/>
    </w:pPr>
    <w:rPr>
      <w:rFonts w:ascii="Arial" w:hAnsi="Arial" w:eastAsia="方正黑体_GBK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90" w:lineRule="exact"/>
      <w:ind w:firstLine="880" w:firstLineChars="200"/>
      <w:jc w:val="left"/>
    </w:pPr>
    <w:rPr>
      <w:rFonts w:eastAsia="方正仿宋_GBK" w:asciiTheme="minorAscii" w:hAnsiTheme="minorAscii" w:cstheme="minorBidi"/>
      <w:kern w:val="2"/>
      <w:sz w:val="18"/>
      <w:szCs w:val="24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标题 2 Char"/>
    <w:link w:val="3"/>
    <w:qFormat/>
    <w:uiPriority w:val="0"/>
    <w:rPr>
      <w:rFonts w:ascii="Arial" w:hAnsi="Arial" w:eastAsia="方正黑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2026-01-27T07:52:00Z</dcterms:created>
  <dc:creator>悠悠然</dc:creator>
  <cp:lastModifiedBy>悠悠然</cp:lastModifiedBy>
  <dcterms:modified xsi:type="dcterms:W3CDTF">2026-01-27T07:53:35Z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00C0AC25FEB74957B4B8DC810049E9DA_11</vt:lpwstr>
  </property>
  <property fmtid="{D5CDD505-2E9C-101B-9397-08002B2CF9AE}" pid="4" name="KSOTemplateDocerSaveRecord">
    <vt:lpwstr>eyJoZGlkIjoiODk1MjRjZTI1NzZmZDNjYTM2MmFkYTg1ZTAwYzJkZTYiLCJ1c2VySWQiOiIyOTUzNDgyNDIifQ==</vt:lpwstr>
  </property>
</Properties>
</file>