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6F6614" w14:textId="1B2F572E" w:rsidR="00CC08C5" w:rsidRDefault="00800977">
      <w:pPr>
        <w:pStyle w:val="a7"/>
        <w:widowControl/>
        <w:shd w:val="clear" w:color="auto" w:fill="FFFFFF"/>
        <w:spacing w:beforeAutospacing="0" w:afterAutospacing="0"/>
        <w:jc w:val="center"/>
        <w:rPr>
          <w:rFonts w:ascii="Times New Roman" w:hAnsi="Times New Roman"/>
          <w:color w:val="333333"/>
          <w:sz w:val="21"/>
          <w:szCs w:val="21"/>
        </w:rPr>
      </w:pPr>
      <w:r>
        <w:rPr>
          <w:rFonts w:ascii="华文中宋" w:eastAsia="华文中宋" w:hAnsi="华文中宋" w:cs="华文中宋"/>
          <w:b/>
          <w:bCs/>
          <w:color w:val="333333"/>
          <w:sz w:val="36"/>
          <w:szCs w:val="36"/>
          <w:shd w:val="clear" w:color="auto" w:fill="FFFFFF"/>
        </w:rPr>
        <w:t>淮南市毛集社会发展综合</w:t>
      </w:r>
      <w:proofErr w:type="gramStart"/>
      <w:r>
        <w:rPr>
          <w:rFonts w:ascii="华文中宋" w:eastAsia="华文中宋" w:hAnsi="华文中宋" w:cs="华文中宋"/>
          <w:b/>
          <w:bCs/>
          <w:color w:val="333333"/>
          <w:sz w:val="36"/>
          <w:szCs w:val="36"/>
          <w:shd w:val="clear" w:color="auto" w:fill="FFFFFF"/>
        </w:rPr>
        <w:t>实验区毛集镇</w:t>
      </w:r>
      <w:proofErr w:type="gramEnd"/>
      <w:r>
        <w:rPr>
          <w:rFonts w:ascii="华文中宋" w:eastAsia="华文中宋" w:hAnsi="华文中宋" w:cs="华文中宋"/>
          <w:b/>
          <w:bCs/>
          <w:color w:val="333333"/>
          <w:sz w:val="36"/>
          <w:szCs w:val="36"/>
          <w:shd w:val="clear" w:color="auto" w:fill="FFFFFF"/>
        </w:rPr>
        <w:t>中心幼儿园</w:t>
      </w:r>
      <w:r w:rsidR="00CF1D21">
        <w:rPr>
          <w:rFonts w:ascii="华文中宋" w:eastAsia="华文中宋" w:hAnsi="华文中宋" w:cs="华文中宋" w:hint="eastAsia"/>
          <w:b/>
          <w:bCs/>
          <w:color w:val="333333"/>
          <w:sz w:val="36"/>
          <w:szCs w:val="36"/>
          <w:shd w:val="clear" w:color="auto" w:fill="FFFFFF"/>
        </w:rPr>
        <w:t>2026</w:t>
      </w:r>
      <w:r w:rsidR="00B1796C">
        <w:rPr>
          <w:rFonts w:ascii="华文中宋" w:eastAsia="华文中宋" w:hAnsi="华文中宋" w:cs="华文中宋"/>
          <w:b/>
          <w:bCs/>
          <w:color w:val="333333"/>
          <w:sz w:val="36"/>
          <w:szCs w:val="36"/>
          <w:shd w:val="clear" w:color="auto" w:fill="FFFFFF"/>
        </w:rPr>
        <w:t>年一般公共预算“三公”经费预算</w:t>
      </w:r>
    </w:p>
    <w:p w14:paraId="3DABCCBB" w14:textId="77777777" w:rsidR="00CC08C5" w:rsidRDefault="00CC08C5">
      <w:pPr>
        <w:pStyle w:val="a7"/>
        <w:widowControl/>
        <w:shd w:val="clear" w:color="auto" w:fill="FFFFFF"/>
        <w:spacing w:beforeAutospacing="0" w:afterAutospacing="0"/>
        <w:jc w:val="center"/>
        <w:rPr>
          <w:rFonts w:ascii="Times New Roman" w:hAnsi="Times New Roman"/>
          <w:color w:val="333333"/>
          <w:sz w:val="21"/>
          <w:szCs w:val="21"/>
        </w:rPr>
      </w:pPr>
    </w:p>
    <w:p w14:paraId="02D9F602" w14:textId="77777777" w:rsidR="00CC08C5" w:rsidRDefault="00000000">
      <w:pPr>
        <w:pStyle w:val="a7"/>
        <w:widowControl/>
        <w:shd w:val="clear" w:color="auto" w:fill="FFFFFF"/>
        <w:spacing w:beforeAutospacing="0" w:afterAutospacing="0"/>
        <w:jc w:val="both"/>
        <w:rPr>
          <w:rFonts w:ascii="Times New Roman" w:hAnsi="Times New Roman"/>
          <w:color w:val="333333"/>
          <w:sz w:val="21"/>
          <w:szCs w:val="21"/>
        </w:rPr>
      </w:pPr>
      <w:r>
        <w:rPr>
          <w:rFonts w:ascii="宋体" w:eastAsia="宋体" w:hAnsi="宋体" w:cs="宋体" w:hint="eastAsia"/>
          <w:color w:val="333333"/>
          <w:sz w:val="6"/>
          <w:szCs w:val="6"/>
          <w:shd w:val="clear" w:color="auto" w:fill="FFFFFF"/>
        </w:rPr>
        <w:t> </w:t>
      </w:r>
    </w:p>
    <w:p w14:paraId="7EBF568E" w14:textId="117B63D5" w:rsidR="00CC08C5" w:rsidRDefault="00000000">
      <w:pPr>
        <w:pStyle w:val="a7"/>
        <w:widowControl/>
        <w:shd w:val="clear" w:color="auto" w:fill="FFFFFF"/>
        <w:spacing w:beforeAutospacing="0" w:afterAutospacing="0"/>
        <w:ind w:firstLine="640"/>
        <w:jc w:val="both"/>
        <w:rPr>
          <w:rFonts w:ascii="Times New Roman" w:hAnsi="Times New Roman"/>
          <w:color w:val="333333"/>
          <w:sz w:val="21"/>
          <w:szCs w:val="21"/>
        </w:rPr>
      </w:pPr>
      <w:r>
        <w:rPr>
          <w:rFonts w:ascii="黑体" w:eastAsia="黑体" w:hAnsi="宋体" w:cs="黑体"/>
          <w:color w:val="333333"/>
          <w:sz w:val="32"/>
          <w:szCs w:val="32"/>
          <w:shd w:val="clear" w:color="auto" w:fill="FFFFFF"/>
        </w:rPr>
        <w:t>一、</w:t>
      </w:r>
      <w:r w:rsidR="00CF1D21">
        <w:rPr>
          <w:rFonts w:ascii="黑体" w:eastAsia="黑体" w:hAnsi="宋体" w:cs="黑体" w:hint="eastAsia"/>
          <w:color w:val="333333"/>
          <w:sz w:val="32"/>
          <w:szCs w:val="32"/>
          <w:shd w:val="clear" w:color="auto" w:fill="FFFFFF"/>
        </w:rPr>
        <w:t>2026</w:t>
      </w:r>
      <w:r>
        <w:rPr>
          <w:rFonts w:ascii="黑体" w:eastAsia="黑体" w:hAnsi="宋体" w:cs="黑体" w:hint="eastAsia"/>
          <w:color w:val="333333"/>
          <w:sz w:val="32"/>
          <w:szCs w:val="32"/>
          <w:shd w:val="clear" w:color="auto" w:fill="FFFFFF"/>
        </w:rPr>
        <w:t>年一般公共预算“三公”经费支出预算表</w:t>
      </w:r>
    </w:p>
    <w:p w14:paraId="0D688FC2" w14:textId="77777777" w:rsidR="00CC08C5" w:rsidRDefault="00000000">
      <w:pPr>
        <w:pStyle w:val="a7"/>
        <w:widowControl/>
        <w:shd w:val="clear" w:color="auto" w:fill="FFFFFF"/>
        <w:spacing w:beforeAutospacing="0" w:afterAutospacing="0" w:line="23" w:lineRule="atLeast"/>
        <w:ind w:firstLine="412"/>
        <w:jc w:val="right"/>
        <w:rPr>
          <w:rFonts w:ascii="Times New Roman" w:hAnsi="Times New Roman"/>
          <w:color w:val="333333"/>
          <w:sz w:val="21"/>
          <w:szCs w:val="21"/>
        </w:rPr>
      </w:pPr>
      <w:r>
        <w:rPr>
          <w:rStyle w:val="a8"/>
          <w:rFonts w:ascii="宋体" w:eastAsia="宋体" w:hAnsi="宋体" w:cs="宋体" w:hint="eastAsia"/>
          <w:b w:val="0"/>
          <w:color w:val="333333"/>
          <w:sz w:val="21"/>
          <w:szCs w:val="21"/>
          <w:shd w:val="clear" w:color="auto" w:fill="FFFFFF"/>
        </w:rPr>
        <w:t>      单位：万元</w:t>
      </w:r>
    </w:p>
    <w:tbl>
      <w:tblPr>
        <w:tblW w:w="9073" w:type="dxa"/>
        <w:tblBorders>
          <w:bottom w:val="single" w:sz="6" w:space="0" w:color="E5E5E5"/>
          <w:right w:val="single" w:sz="6" w:space="0" w:color="E5E5E5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43"/>
        <w:gridCol w:w="1843"/>
        <w:gridCol w:w="851"/>
        <w:gridCol w:w="1718"/>
        <w:gridCol w:w="1825"/>
        <w:gridCol w:w="993"/>
      </w:tblGrid>
      <w:tr w:rsidR="00CC08C5" w14:paraId="75172D1A" w14:textId="77777777">
        <w:trPr>
          <w:trHeight w:val="570"/>
        </w:trPr>
        <w:tc>
          <w:tcPr>
            <w:tcW w:w="184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7F5FCDEE" w14:textId="77777777" w:rsidR="00CC08C5" w:rsidRDefault="00000000">
            <w:pPr>
              <w:pStyle w:val="a7"/>
              <w:widowControl/>
              <w:spacing w:beforeAutospacing="0" w:afterAutospacing="0" w:line="330" w:lineRule="atLeast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333333"/>
                <w:sz w:val="20"/>
                <w:szCs w:val="20"/>
              </w:rPr>
              <w:t>“三公”经费合计</w:t>
            </w:r>
          </w:p>
        </w:tc>
        <w:tc>
          <w:tcPr>
            <w:tcW w:w="1843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left w:w="108" w:type="dxa"/>
              <w:right w:w="108" w:type="dxa"/>
            </w:tcMar>
            <w:vAlign w:val="center"/>
          </w:tcPr>
          <w:p w14:paraId="196C161B" w14:textId="77777777" w:rsidR="00CC08C5" w:rsidRDefault="00000000">
            <w:pPr>
              <w:pStyle w:val="a7"/>
              <w:widowControl/>
              <w:spacing w:beforeAutospacing="0" w:afterAutospacing="0" w:line="330" w:lineRule="atLeast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333333"/>
                <w:sz w:val="20"/>
                <w:szCs w:val="20"/>
              </w:rPr>
              <w:t>因公出国（境）费</w:t>
            </w:r>
          </w:p>
        </w:tc>
        <w:tc>
          <w:tcPr>
            <w:tcW w:w="4394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left w:w="108" w:type="dxa"/>
              <w:right w:w="108" w:type="dxa"/>
            </w:tcMar>
            <w:vAlign w:val="center"/>
          </w:tcPr>
          <w:p w14:paraId="6298B9FC" w14:textId="77777777" w:rsidR="00CC08C5" w:rsidRDefault="00000000">
            <w:pPr>
              <w:pStyle w:val="a7"/>
              <w:widowControl/>
              <w:spacing w:beforeAutospacing="0" w:afterAutospacing="0" w:line="330" w:lineRule="atLeast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333333"/>
                <w:sz w:val="20"/>
                <w:szCs w:val="20"/>
              </w:rPr>
              <w:t>公务用车购置及运行费</w:t>
            </w:r>
          </w:p>
        </w:tc>
        <w:tc>
          <w:tcPr>
            <w:tcW w:w="993" w:type="dxa"/>
            <w:vMerge w:val="restart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shd w:val="clear" w:color="auto" w:fill="FFFFFF"/>
            <w:noWrap/>
            <w:tcMar>
              <w:left w:w="108" w:type="dxa"/>
              <w:right w:w="108" w:type="dxa"/>
            </w:tcMar>
            <w:vAlign w:val="center"/>
          </w:tcPr>
          <w:p w14:paraId="1823F0E2" w14:textId="77777777" w:rsidR="00CC08C5" w:rsidRDefault="00000000">
            <w:pPr>
              <w:pStyle w:val="a7"/>
              <w:widowControl/>
              <w:spacing w:beforeAutospacing="0" w:afterAutospacing="0" w:line="330" w:lineRule="atLeast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333333"/>
                <w:sz w:val="20"/>
                <w:szCs w:val="20"/>
              </w:rPr>
              <w:t>公务</w:t>
            </w:r>
          </w:p>
          <w:p w14:paraId="35DCDD01" w14:textId="77777777" w:rsidR="00CC08C5" w:rsidRDefault="00000000">
            <w:pPr>
              <w:pStyle w:val="a7"/>
              <w:widowControl/>
              <w:spacing w:beforeAutospacing="0" w:afterAutospacing="0" w:line="330" w:lineRule="atLeast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333333"/>
                <w:sz w:val="20"/>
                <w:szCs w:val="20"/>
              </w:rPr>
              <w:t>接待费</w:t>
            </w:r>
          </w:p>
        </w:tc>
      </w:tr>
      <w:tr w:rsidR="00CC08C5" w14:paraId="66E02F69" w14:textId="77777777">
        <w:trPr>
          <w:trHeight w:val="555"/>
        </w:trPr>
        <w:tc>
          <w:tcPr>
            <w:tcW w:w="184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152A3210" w14:textId="77777777" w:rsidR="00CC08C5" w:rsidRDefault="00CC08C5">
            <w:pPr>
              <w:rPr>
                <w:rFonts w:ascii="微软雅黑" w:eastAsia="微软雅黑" w:hAnsi="微软雅黑" w:cs="微软雅黑" w:hint="eastAsia"/>
                <w:color w:val="333333"/>
                <w:sz w:val="24"/>
              </w:rPr>
            </w:pPr>
          </w:p>
        </w:tc>
        <w:tc>
          <w:tcPr>
            <w:tcW w:w="1843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left w:w="108" w:type="dxa"/>
              <w:right w:w="108" w:type="dxa"/>
            </w:tcMar>
            <w:vAlign w:val="center"/>
          </w:tcPr>
          <w:p w14:paraId="0ECF4DC8" w14:textId="77777777" w:rsidR="00CC08C5" w:rsidRDefault="00CC08C5">
            <w:pPr>
              <w:rPr>
                <w:rFonts w:ascii="微软雅黑" w:eastAsia="微软雅黑" w:hAnsi="微软雅黑" w:cs="微软雅黑" w:hint="eastAsia"/>
                <w:color w:val="333333"/>
                <w:sz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left w:w="108" w:type="dxa"/>
              <w:right w:w="108" w:type="dxa"/>
            </w:tcMar>
            <w:vAlign w:val="center"/>
          </w:tcPr>
          <w:p w14:paraId="41E7AD73" w14:textId="77777777" w:rsidR="00CC08C5" w:rsidRDefault="00000000">
            <w:pPr>
              <w:pStyle w:val="a7"/>
              <w:widowControl/>
              <w:spacing w:beforeAutospacing="0" w:afterAutospacing="0" w:line="330" w:lineRule="atLeast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333333"/>
                <w:sz w:val="20"/>
                <w:szCs w:val="20"/>
              </w:rPr>
              <w:t>小计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left w:w="108" w:type="dxa"/>
              <w:right w:w="108" w:type="dxa"/>
            </w:tcMar>
            <w:vAlign w:val="center"/>
          </w:tcPr>
          <w:p w14:paraId="6FF5ECAA" w14:textId="77777777" w:rsidR="00CC08C5" w:rsidRDefault="00000000">
            <w:pPr>
              <w:pStyle w:val="a7"/>
              <w:widowControl/>
              <w:spacing w:beforeAutospacing="0" w:afterAutospacing="0" w:line="330" w:lineRule="atLeast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333333"/>
                <w:sz w:val="20"/>
                <w:szCs w:val="20"/>
              </w:rPr>
              <w:t>公务用车购置费</w:t>
            </w:r>
          </w:p>
        </w:tc>
        <w:tc>
          <w:tcPr>
            <w:tcW w:w="18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left w:w="108" w:type="dxa"/>
              <w:right w:w="108" w:type="dxa"/>
            </w:tcMar>
            <w:vAlign w:val="center"/>
          </w:tcPr>
          <w:p w14:paraId="4885386F" w14:textId="77777777" w:rsidR="00CC08C5" w:rsidRDefault="00000000">
            <w:pPr>
              <w:pStyle w:val="a7"/>
              <w:widowControl/>
              <w:spacing w:beforeAutospacing="0" w:afterAutospacing="0" w:line="330" w:lineRule="atLeast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333333"/>
                <w:sz w:val="20"/>
                <w:szCs w:val="20"/>
              </w:rPr>
              <w:t>公务用车运行费</w:t>
            </w:r>
          </w:p>
        </w:tc>
        <w:tc>
          <w:tcPr>
            <w:tcW w:w="993" w:type="dxa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shd w:val="clear" w:color="auto" w:fill="FFFFFF"/>
            <w:noWrap/>
            <w:tcMar>
              <w:left w:w="108" w:type="dxa"/>
              <w:right w:w="108" w:type="dxa"/>
            </w:tcMar>
            <w:vAlign w:val="center"/>
          </w:tcPr>
          <w:p w14:paraId="39D2CBC6" w14:textId="77777777" w:rsidR="00CC08C5" w:rsidRDefault="00CC08C5">
            <w:pPr>
              <w:rPr>
                <w:rFonts w:ascii="微软雅黑" w:eastAsia="微软雅黑" w:hAnsi="微软雅黑" w:cs="微软雅黑" w:hint="eastAsia"/>
                <w:color w:val="333333"/>
                <w:sz w:val="24"/>
              </w:rPr>
            </w:pPr>
          </w:p>
        </w:tc>
      </w:tr>
      <w:tr w:rsidR="00CC08C5" w14:paraId="5E9DF96D" w14:textId="77777777">
        <w:trPr>
          <w:trHeight w:val="600"/>
        </w:trPr>
        <w:tc>
          <w:tcPr>
            <w:tcW w:w="18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left w:w="108" w:type="dxa"/>
              <w:right w:w="108" w:type="dxa"/>
            </w:tcMar>
            <w:vAlign w:val="center"/>
          </w:tcPr>
          <w:p w14:paraId="4187D019" w14:textId="77777777" w:rsidR="00CC08C5" w:rsidRDefault="00000000">
            <w:pPr>
              <w:pStyle w:val="a7"/>
              <w:widowControl/>
              <w:spacing w:beforeAutospacing="0" w:afterAutospacing="0" w:line="330" w:lineRule="atLeast"/>
              <w:ind w:firstLine="330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333333"/>
                <w:sz w:val="22"/>
                <w:szCs w:val="22"/>
              </w:rPr>
              <w:t>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left w:w="108" w:type="dxa"/>
              <w:right w:w="108" w:type="dxa"/>
            </w:tcMar>
            <w:vAlign w:val="center"/>
          </w:tcPr>
          <w:p w14:paraId="124719B7" w14:textId="77777777" w:rsidR="00CC08C5" w:rsidRDefault="00000000">
            <w:pPr>
              <w:pStyle w:val="a7"/>
              <w:widowControl/>
              <w:spacing w:beforeAutospacing="0" w:afterAutospacing="0" w:line="330" w:lineRule="atLeast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333333"/>
                <w:sz w:val="22"/>
                <w:szCs w:val="22"/>
              </w:rPr>
              <w:t> </w:t>
            </w:r>
            <w:r>
              <w:rPr>
                <w:rFonts w:ascii="宋体" w:eastAsia="宋体" w:hAnsi="宋体" w:cs="宋体"/>
                <w:color w:val="333333"/>
                <w:sz w:val="22"/>
                <w:szCs w:val="22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left w:w="108" w:type="dxa"/>
              <w:right w:w="108" w:type="dxa"/>
            </w:tcMar>
            <w:vAlign w:val="center"/>
          </w:tcPr>
          <w:p w14:paraId="4CB231A9" w14:textId="77777777" w:rsidR="00CC08C5" w:rsidRDefault="00000000">
            <w:pPr>
              <w:pStyle w:val="a7"/>
              <w:widowControl/>
              <w:spacing w:beforeAutospacing="0" w:afterAutospacing="0" w:line="330" w:lineRule="atLeast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333333"/>
                <w:sz w:val="22"/>
                <w:szCs w:val="22"/>
              </w:rPr>
              <w:t> </w:t>
            </w:r>
            <w:r>
              <w:rPr>
                <w:rFonts w:ascii="宋体" w:eastAsia="宋体" w:hAnsi="宋体" w:cs="宋体"/>
                <w:color w:val="333333"/>
                <w:sz w:val="22"/>
                <w:szCs w:val="22"/>
              </w:rPr>
              <w:t>0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left w:w="108" w:type="dxa"/>
              <w:right w:w="108" w:type="dxa"/>
            </w:tcMar>
            <w:vAlign w:val="center"/>
          </w:tcPr>
          <w:p w14:paraId="6B27F25D" w14:textId="77777777" w:rsidR="00CC08C5" w:rsidRDefault="00000000">
            <w:pPr>
              <w:pStyle w:val="a7"/>
              <w:widowControl/>
              <w:spacing w:beforeAutospacing="0" w:afterAutospacing="0" w:line="330" w:lineRule="atLeast"/>
              <w:ind w:firstLine="110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333333"/>
                <w:sz w:val="22"/>
                <w:szCs w:val="22"/>
              </w:rPr>
              <w:t> </w:t>
            </w:r>
            <w:r>
              <w:rPr>
                <w:rFonts w:ascii="宋体" w:eastAsia="宋体" w:hAnsi="宋体" w:cs="宋体"/>
                <w:color w:val="333333"/>
                <w:sz w:val="22"/>
                <w:szCs w:val="22"/>
              </w:rPr>
              <w:t>0</w:t>
            </w:r>
          </w:p>
        </w:tc>
        <w:tc>
          <w:tcPr>
            <w:tcW w:w="18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left w:w="108" w:type="dxa"/>
              <w:right w:w="108" w:type="dxa"/>
            </w:tcMar>
            <w:vAlign w:val="center"/>
          </w:tcPr>
          <w:p w14:paraId="7689CF0C" w14:textId="77777777" w:rsidR="00CC08C5" w:rsidRDefault="00000000">
            <w:pPr>
              <w:pStyle w:val="a7"/>
              <w:widowControl/>
              <w:spacing w:beforeAutospacing="0" w:afterAutospacing="0" w:line="330" w:lineRule="atLeast"/>
              <w:ind w:firstLine="110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333333"/>
                <w:sz w:val="22"/>
                <w:szCs w:val="22"/>
              </w:rPr>
              <w:t> </w:t>
            </w:r>
            <w:r>
              <w:rPr>
                <w:rFonts w:ascii="宋体" w:eastAsia="宋体" w:hAnsi="宋体" w:cs="宋体"/>
                <w:color w:val="333333"/>
                <w:sz w:val="22"/>
                <w:szCs w:val="22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left w:w="108" w:type="dxa"/>
              <w:right w:w="108" w:type="dxa"/>
            </w:tcMar>
            <w:vAlign w:val="center"/>
          </w:tcPr>
          <w:p w14:paraId="1FD8E38A" w14:textId="77777777" w:rsidR="00CC08C5" w:rsidRDefault="00000000">
            <w:pPr>
              <w:pStyle w:val="a7"/>
              <w:widowControl/>
              <w:spacing w:beforeAutospacing="0" w:afterAutospacing="0" w:line="330" w:lineRule="atLeast"/>
              <w:jc w:val="both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333333"/>
                <w:sz w:val="22"/>
                <w:szCs w:val="22"/>
              </w:rPr>
              <w:t>0</w:t>
            </w:r>
          </w:p>
        </w:tc>
      </w:tr>
    </w:tbl>
    <w:p w14:paraId="6D76B1B2" w14:textId="77777777" w:rsidR="00CC08C5" w:rsidRDefault="00000000">
      <w:pPr>
        <w:pStyle w:val="a7"/>
        <w:widowControl/>
        <w:shd w:val="clear" w:color="auto" w:fill="FFFFFF"/>
        <w:spacing w:beforeAutospacing="0" w:afterAutospacing="0" w:line="580" w:lineRule="atLeast"/>
        <w:jc w:val="both"/>
        <w:rPr>
          <w:rFonts w:ascii="Times New Roman" w:hAnsi="Times New Roman"/>
          <w:color w:val="333333"/>
          <w:sz w:val="21"/>
          <w:szCs w:val="21"/>
        </w:rPr>
      </w:pPr>
      <w:r>
        <w:rPr>
          <w:rFonts w:ascii="黑体" w:eastAsia="黑体" w:hAnsi="宋体" w:cs="黑体" w:hint="eastAsia"/>
          <w:color w:val="333333"/>
          <w:sz w:val="32"/>
          <w:szCs w:val="32"/>
          <w:shd w:val="clear" w:color="auto" w:fill="FFFFFF"/>
        </w:rPr>
        <w:t> </w:t>
      </w:r>
    </w:p>
    <w:p w14:paraId="7D8BF777" w14:textId="49E88E8F" w:rsidR="00CC08C5" w:rsidRDefault="00000000">
      <w:pPr>
        <w:pStyle w:val="a7"/>
        <w:widowControl/>
        <w:shd w:val="clear" w:color="auto" w:fill="FFFFFF"/>
        <w:spacing w:beforeAutospacing="0" w:afterAutospacing="0" w:line="540" w:lineRule="atLeast"/>
        <w:ind w:firstLine="640"/>
        <w:jc w:val="both"/>
        <w:rPr>
          <w:rFonts w:ascii="Times New Roman" w:hAnsi="Times New Roman"/>
          <w:color w:val="333333"/>
          <w:sz w:val="21"/>
          <w:szCs w:val="21"/>
        </w:rPr>
      </w:pPr>
      <w:r>
        <w:rPr>
          <w:rFonts w:ascii="黑体" w:eastAsia="黑体" w:hAnsi="宋体" w:cs="黑体" w:hint="eastAsia"/>
          <w:color w:val="333333"/>
          <w:sz w:val="32"/>
          <w:szCs w:val="32"/>
          <w:shd w:val="clear" w:color="auto" w:fill="FFFFFF"/>
        </w:rPr>
        <w:t>二、</w:t>
      </w:r>
      <w:r w:rsidR="00CF1D21">
        <w:rPr>
          <w:rFonts w:ascii="黑体" w:eastAsia="黑体" w:hAnsi="宋体" w:cs="黑体" w:hint="eastAsia"/>
          <w:color w:val="333333"/>
          <w:sz w:val="32"/>
          <w:szCs w:val="32"/>
          <w:shd w:val="clear" w:color="auto" w:fill="FFFFFF"/>
        </w:rPr>
        <w:t>2026</w:t>
      </w:r>
      <w:r>
        <w:rPr>
          <w:rFonts w:ascii="黑体" w:eastAsia="黑体" w:hAnsi="宋体" w:cs="黑体" w:hint="eastAsia"/>
          <w:color w:val="333333"/>
          <w:sz w:val="32"/>
          <w:szCs w:val="32"/>
          <w:shd w:val="clear" w:color="auto" w:fill="FFFFFF"/>
        </w:rPr>
        <w:t>年一般公共预算“三公”经费支出预算情况说明</w:t>
      </w:r>
    </w:p>
    <w:p w14:paraId="05C477DB" w14:textId="6CB547BB" w:rsidR="005634F0" w:rsidRDefault="00800977" w:rsidP="005634F0">
      <w:pPr>
        <w:pStyle w:val="a7"/>
        <w:adjustRightInd w:val="0"/>
        <w:snapToGrid w:val="0"/>
        <w:spacing w:line="560" w:lineRule="exact"/>
        <w:ind w:firstLineChars="200" w:firstLine="640"/>
        <w:rPr>
          <w:rFonts w:ascii="TimesNewRoman" w:eastAsia="仿宋_GB2312" w:hAnsi="TimesNewRoman" w:cs="TimesNewRoman"/>
          <w:sz w:val="32"/>
          <w:szCs w:val="32"/>
        </w:rPr>
      </w:pPr>
      <w:r>
        <w:rPr>
          <w:rFonts w:ascii="TimesNewRoman" w:eastAsia="仿宋_GB2312" w:hAnsi="TimesNewRoman" w:cs="TimesNewRoman"/>
          <w:sz w:val="32"/>
          <w:szCs w:val="32"/>
        </w:rPr>
        <w:t>淮南市毛集社会发展综合</w:t>
      </w:r>
      <w:proofErr w:type="gramStart"/>
      <w:r>
        <w:rPr>
          <w:rFonts w:ascii="TimesNewRoman" w:eastAsia="仿宋_GB2312" w:hAnsi="TimesNewRoman" w:cs="TimesNewRoman"/>
          <w:sz w:val="32"/>
          <w:szCs w:val="32"/>
        </w:rPr>
        <w:t>实验区毛集镇</w:t>
      </w:r>
      <w:proofErr w:type="gramEnd"/>
      <w:r>
        <w:rPr>
          <w:rFonts w:ascii="TimesNewRoman" w:eastAsia="仿宋_GB2312" w:hAnsi="TimesNewRoman" w:cs="TimesNewRoman"/>
          <w:sz w:val="32"/>
          <w:szCs w:val="32"/>
        </w:rPr>
        <w:t>中心幼儿园</w:t>
      </w:r>
      <w:r w:rsidR="00CF1D21">
        <w:rPr>
          <w:rFonts w:ascii="TimesNewRoman" w:eastAsia="仿宋_GB2312" w:hAnsi="TimesNewRoman" w:cs="TimesNewRoman" w:hint="eastAsia"/>
          <w:sz w:val="32"/>
          <w:szCs w:val="32"/>
        </w:rPr>
        <w:t>2026</w:t>
      </w:r>
      <w:r w:rsidR="005634F0" w:rsidRPr="005634F0">
        <w:rPr>
          <w:rFonts w:ascii="TimesNewRoman" w:eastAsia="仿宋_GB2312" w:hAnsi="TimesNewRoman" w:cs="TimesNewRoman"/>
          <w:sz w:val="32"/>
          <w:szCs w:val="32"/>
        </w:rPr>
        <w:t>年一般公共预算</w:t>
      </w:r>
      <w:r w:rsidR="005634F0" w:rsidRPr="005634F0">
        <w:rPr>
          <w:rFonts w:ascii="TimesNewRoman" w:eastAsia="仿宋_GB2312" w:hAnsi="TimesNewRoman" w:cs="TimesNewRoman"/>
          <w:sz w:val="32"/>
          <w:szCs w:val="32"/>
        </w:rPr>
        <w:t>“</w:t>
      </w:r>
      <w:r w:rsidR="005634F0" w:rsidRPr="005634F0">
        <w:rPr>
          <w:rFonts w:ascii="TimesNewRoman" w:eastAsia="仿宋_GB2312" w:hAnsi="TimesNewRoman" w:cs="TimesNewRoman"/>
          <w:sz w:val="32"/>
          <w:szCs w:val="32"/>
        </w:rPr>
        <w:t>三公</w:t>
      </w:r>
      <w:r w:rsidR="005634F0" w:rsidRPr="005634F0">
        <w:rPr>
          <w:rFonts w:ascii="TimesNewRoman" w:eastAsia="仿宋_GB2312" w:hAnsi="TimesNewRoman" w:cs="TimesNewRoman"/>
          <w:sz w:val="32"/>
          <w:szCs w:val="32"/>
        </w:rPr>
        <w:t>”</w:t>
      </w:r>
      <w:r w:rsidR="005634F0" w:rsidRPr="005634F0">
        <w:rPr>
          <w:rFonts w:ascii="TimesNewRoman" w:eastAsia="仿宋_GB2312" w:hAnsi="TimesNewRoman" w:cs="TimesNewRoman"/>
          <w:sz w:val="32"/>
          <w:szCs w:val="32"/>
        </w:rPr>
        <w:t>经费支出预算为</w:t>
      </w:r>
      <w:r w:rsidR="005634F0">
        <w:rPr>
          <w:rFonts w:ascii="TimesNewRoman" w:eastAsia="仿宋_GB2312" w:hAnsi="TimesNewRoman" w:cs="TimesNewRoman" w:hint="eastAsia"/>
          <w:sz w:val="32"/>
          <w:szCs w:val="32"/>
        </w:rPr>
        <w:t>0</w:t>
      </w:r>
      <w:r w:rsidR="005634F0" w:rsidRPr="005634F0">
        <w:rPr>
          <w:rFonts w:ascii="TimesNewRoman" w:eastAsia="仿宋_GB2312" w:hAnsi="TimesNewRoman" w:cs="TimesNewRoman"/>
          <w:sz w:val="32"/>
          <w:szCs w:val="32"/>
        </w:rPr>
        <w:t>万元，比</w:t>
      </w:r>
      <w:r w:rsidR="00CF1D21">
        <w:rPr>
          <w:rFonts w:ascii="TimesNewRoman" w:eastAsia="仿宋_GB2312" w:hAnsi="TimesNewRoman" w:cs="TimesNewRoman" w:hint="eastAsia"/>
          <w:sz w:val="32"/>
          <w:szCs w:val="32"/>
        </w:rPr>
        <w:t>2025</w:t>
      </w:r>
      <w:r w:rsidR="005634F0" w:rsidRPr="005634F0">
        <w:rPr>
          <w:rFonts w:ascii="TimesNewRoman" w:eastAsia="仿宋_GB2312" w:hAnsi="TimesNewRoman" w:cs="TimesNewRoman"/>
          <w:sz w:val="32"/>
          <w:szCs w:val="32"/>
        </w:rPr>
        <w:t>年预算减少（增加）</w:t>
      </w:r>
      <w:r w:rsidR="005634F0">
        <w:rPr>
          <w:rFonts w:ascii="TimesNewRoman" w:eastAsia="仿宋_GB2312" w:hAnsi="TimesNewRoman" w:cs="TimesNewRoman" w:hint="eastAsia"/>
          <w:sz w:val="32"/>
          <w:szCs w:val="32"/>
        </w:rPr>
        <w:t>0</w:t>
      </w:r>
      <w:r w:rsidR="005634F0" w:rsidRPr="005634F0">
        <w:rPr>
          <w:rFonts w:ascii="TimesNewRoman" w:eastAsia="仿宋_GB2312" w:hAnsi="TimesNewRoman" w:cs="TimesNewRoman"/>
          <w:sz w:val="32"/>
          <w:szCs w:val="32"/>
        </w:rPr>
        <w:t>万元，下降（增长）</w:t>
      </w:r>
      <w:r w:rsidR="005634F0">
        <w:rPr>
          <w:rFonts w:ascii="TimesNewRoman" w:eastAsia="仿宋_GB2312" w:hAnsi="TimesNewRoman" w:cs="TimesNewRoman" w:hint="eastAsia"/>
          <w:sz w:val="32"/>
          <w:szCs w:val="32"/>
        </w:rPr>
        <w:t>0</w:t>
      </w:r>
      <w:r w:rsidR="005634F0" w:rsidRPr="005634F0">
        <w:rPr>
          <w:rFonts w:ascii="TimesNewRoman" w:eastAsia="仿宋_GB2312" w:hAnsi="TimesNewRoman" w:cs="TimesNewRoman"/>
          <w:sz w:val="32"/>
          <w:szCs w:val="32"/>
        </w:rPr>
        <w:t>%</w:t>
      </w:r>
      <w:r w:rsidR="005634F0" w:rsidRPr="005634F0">
        <w:rPr>
          <w:rFonts w:ascii="TimesNewRoman" w:eastAsia="仿宋_GB2312" w:hAnsi="TimesNewRoman" w:cs="TimesNewRoman"/>
          <w:sz w:val="32"/>
          <w:szCs w:val="32"/>
        </w:rPr>
        <w:t>。其中：因公出国（境）费支出预算为</w:t>
      </w:r>
      <w:r w:rsidR="005634F0">
        <w:rPr>
          <w:rFonts w:ascii="TimesNewRoman" w:eastAsia="仿宋_GB2312" w:hAnsi="TimesNewRoman" w:cs="TimesNewRoman" w:hint="eastAsia"/>
          <w:sz w:val="32"/>
          <w:szCs w:val="32"/>
        </w:rPr>
        <w:t>0</w:t>
      </w:r>
      <w:r w:rsidR="005634F0" w:rsidRPr="005634F0">
        <w:rPr>
          <w:rFonts w:ascii="TimesNewRoman" w:eastAsia="仿宋_GB2312" w:hAnsi="TimesNewRoman" w:cs="TimesNewRoman"/>
          <w:sz w:val="32"/>
          <w:szCs w:val="32"/>
        </w:rPr>
        <w:t>万元，公务接待费支出预算为</w:t>
      </w:r>
      <w:r w:rsidR="005634F0">
        <w:rPr>
          <w:rFonts w:ascii="TimesNewRoman" w:eastAsia="仿宋_GB2312" w:hAnsi="TimesNewRoman" w:cs="TimesNewRoman" w:hint="eastAsia"/>
          <w:sz w:val="32"/>
          <w:szCs w:val="32"/>
        </w:rPr>
        <w:t>0</w:t>
      </w:r>
      <w:r w:rsidR="005634F0" w:rsidRPr="005634F0">
        <w:rPr>
          <w:rFonts w:ascii="TimesNewRoman" w:eastAsia="仿宋_GB2312" w:hAnsi="TimesNewRoman" w:cs="TimesNewRoman"/>
          <w:sz w:val="32"/>
          <w:szCs w:val="32"/>
        </w:rPr>
        <w:t>万元，公务用车购置及运行费支出预算为</w:t>
      </w:r>
      <w:r w:rsidR="005634F0">
        <w:rPr>
          <w:rFonts w:ascii="TimesNewRoman" w:eastAsia="仿宋_GB2312" w:hAnsi="TimesNewRoman" w:cs="TimesNewRoman" w:hint="eastAsia"/>
          <w:sz w:val="32"/>
          <w:szCs w:val="32"/>
        </w:rPr>
        <w:t>0</w:t>
      </w:r>
      <w:r w:rsidR="005634F0" w:rsidRPr="005634F0">
        <w:rPr>
          <w:rFonts w:ascii="TimesNewRoman" w:eastAsia="仿宋_GB2312" w:hAnsi="TimesNewRoman" w:cs="TimesNewRoman"/>
          <w:sz w:val="32"/>
          <w:szCs w:val="32"/>
        </w:rPr>
        <w:t>万元。具体情况如下：</w:t>
      </w:r>
    </w:p>
    <w:p w14:paraId="449EF76D" w14:textId="386EFF88" w:rsidR="005634F0" w:rsidRDefault="005634F0" w:rsidP="005634F0">
      <w:pPr>
        <w:pStyle w:val="a7"/>
        <w:adjustRightInd w:val="0"/>
        <w:snapToGrid w:val="0"/>
        <w:spacing w:line="560" w:lineRule="exact"/>
        <w:ind w:firstLineChars="200" w:firstLine="643"/>
        <w:rPr>
          <w:rFonts w:ascii="TimesNewRoman" w:eastAsia="仿宋_GB2312" w:hAnsi="TimesNewRoman" w:cs="TimesNewRoman"/>
          <w:sz w:val="32"/>
          <w:szCs w:val="32"/>
        </w:rPr>
      </w:pPr>
      <w:r>
        <w:rPr>
          <w:rFonts w:ascii="TimesNewRoman" w:eastAsia="仿宋_GB2312" w:hAnsi="TimesNewRoman" w:cs="TimesNewRoman"/>
          <w:b/>
          <w:sz w:val="32"/>
          <w:szCs w:val="32"/>
        </w:rPr>
        <w:t>（一）因公出国（境）费</w:t>
      </w:r>
      <w:r>
        <w:rPr>
          <w:rFonts w:ascii="TimesNewRoman" w:eastAsia="仿宋_GB2312" w:hAnsi="TimesNewRoman" w:cs="TimesNewRoman"/>
          <w:sz w:val="32"/>
          <w:szCs w:val="32"/>
        </w:rPr>
        <w:t>支出预算</w:t>
      </w:r>
      <w:r>
        <w:rPr>
          <w:rFonts w:ascii="TimesNewRoman" w:eastAsia="仿宋_GB2312" w:hAnsi="TimesNewRoman" w:cs="TimesNewRoman" w:hint="eastAsia"/>
          <w:sz w:val="32"/>
          <w:szCs w:val="32"/>
        </w:rPr>
        <w:t>0</w:t>
      </w:r>
      <w:r>
        <w:rPr>
          <w:rFonts w:ascii="TimesNewRoman" w:eastAsia="仿宋_GB2312" w:hAnsi="TimesNewRoman" w:cs="TimesNewRoman"/>
          <w:sz w:val="32"/>
          <w:szCs w:val="32"/>
        </w:rPr>
        <w:t>万元</w:t>
      </w:r>
      <w:r>
        <w:rPr>
          <w:rFonts w:ascii="TimesNewRoman" w:eastAsia="仿宋_GB2312" w:hAnsi="TimesNewRoman" w:cs="TimesNewRoman"/>
          <w:sz w:val="32"/>
          <w:szCs w:val="32"/>
        </w:rPr>
        <w:t xml:space="preserve">, </w:t>
      </w:r>
      <w:r>
        <w:rPr>
          <w:rFonts w:ascii="TimesNewRoman" w:eastAsia="仿宋_GB2312" w:hAnsi="TimesNewRoman" w:cs="TimesNewRoman"/>
          <w:sz w:val="32"/>
          <w:szCs w:val="32"/>
        </w:rPr>
        <w:t>比</w:t>
      </w:r>
      <w:r w:rsidR="00CF1D21">
        <w:rPr>
          <w:rFonts w:ascii="TimesNewRoman" w:eastAsia="仿宋_GB2312" w:hAnsi="TimesNewRoman" w:cs="TimesNewRoman" w:hint="eastAsia"/>
          <w:sz w:val="32"/>
          <w:szCs w:val="32"/>
        </w:rPr>
        <w:t>2025</w:t>
      </w:r>
      <w:r>
        <w:rPr>
          <w:rFonts w:ascii="TimesNewRoman" w:eastAsia="仿宋_GB2312" w:hAnsi="TimesNewRoman" w:cs="TimesNewRoman"/>
          <w:sz w:val="32"/>
          <w:szCs w:val="32"/>
        </w:rPr>
        <w:t>年预算减少（增加）</w:t>
      </w:r>
      <w:r>
        <w:rPr>
          <w:rFonts w:ascii="TimesNewRoman" w:eastAsia="仿宋_GB2312" w:hAnsi="TimesNewRoman" w:cs="TimesNewRoman" w:hint="eastAsia"/>
          <w:sz w:val="32"/>
          <w:szCs w:val="32"/>
        </w:rPr>
        <w:t>0</w:t>
      </w:r>
      <w:r>
        <w:rPr>
          <w:rFonts w:ascii="TimesNewRoman" w:eastAsia="仿宋_GB2312" w:hAnsi="TimesNewRoman" w:cs="TimesNewRoman"/>
          <w:sz w:val="32"/>
          <w:szCs w:val="32"/>
        </w:rPr>
        <w:t>万元，下降（增长）</w:t>
      </w:r>
      <w:r>
        <w:rPr>
          <w:rFonts w:ascii="TimesNewRoman" w:eastAsia="仿宋_GB2312" w:hAnsi="TimesNewRoman" w:cs="TimesNewRoman" w:hint="eastAsia"/>
          <w:sz w:val="32"/>
          <w:szCs w:val="32"/>
        </w:rPr>
        <w:t>0</w:t>
      </w:r>
      <w:r>
        <w:rPr>
          <w:rFonts w:ascii="TimesNewRoman" w:eastAsia="仿宋_GB2312" w:hAnsi="TimesNewRoman" w:cs="TimesNewRoman"/>
          <w:sz w:val="32"/>
          <w:szCs w:val="32"/>
        </w:rPr>
        <w:t>%</w:t>
      </w:r>
      <w:r>
        <w:rPr>
          <w:rFonts w:ascii="TimesNewRoman" w:eastAsia="仿宋_GB2312" w:hAnsi="TimesNewRoman" w:cs="TimesNewRoman"/>
          <w:sz w:val="32"/>
          <w:szCs w:val="32"/>
        </w:rPr>
        <w:t>，下降（增长）原因主要是</w:t>
      </w:r>
      <w:r w:rsidRPr="005634F0">
        <w:rPr>
          <w:rFonts w:ascii="TimesNewRoman" w:eastAsia="仿宋_GB2312" w:hAnsi="TimesNewRoman" w:cs="TimesNewRoman"/>
          <w:sz w:val="32"/>
          <w:szCs w:val="32"/>
        </w:rPr>
        <w:t>本年</w:t>
      </w:r>
      <w:r>
        <w:rPr>
          <w:rFonts w:ascii="TimesNewRoman" w:eastAsia="仿宋_GB2312" w:hAnsi="TimesNewRoman" w:cs="TimesNewRoman" w:hint="eastAsia"/>
          <w:sz w:val="32"/>
          <w:szCs w:val="32"/>
        </w:rPr>
        <w:t>和上年均</w:t>
      </w:r>
      <w:r w:rsidRPr="005634F0">
        <w:rPr>
          <w:rFonts w:ascii="TimesNewRoman" w:eastAsia="仿宋_GB2312" w:hAnsi="TimesNewRoman" w:cs="TimesNewRoman"/>
          <w:sz w:val="32"/>
          <w:szCs w:val="32"/>
        </w:rPr>
        <w:t>未安排</w:t>
      </w:r>
      <w:r>
        <w:rPr>
          <w:rFonts w:ascii="TimesNewRoman" w:eastAsia="仿宋_GB2312" w:hAnsi="TimesNewRoman" w:cs="TimesNewRoman"/>
          <w:sz w:val="32"/>
          <w:szCs w:val="32"/>
        </w:rPr>
        <w:t>。该项经费预算根据批准的因公临时出国（境）计划，按照规定标准安排。经费使用严格执行《安徽省省直党政机关因公临时出国经费管理办法》（</w:t>
      </w:r>
      <w:proofErr w:type="gramStart"/>
      <w:r>
        <w:rPr>
          <w:rFonts w:ascii="TimesNewRoman" w:eastAsia="仿宋_GB2312" w:hAnsi="TimesNewRoman" w:cs="TimesNewRoman"/>
          <w:sz w:val="32"/>
          <w:szCs w:val="32"/>
        </w:rPr>
        <w:t>财行〔</w:t>
      </w:r>
      <w:r>
        <w:rPr>
          <w:rFonts w:ascii="TimesNewRoman" w:eastAsia="仿宋_GB2312" w:hAnsi="TimesNewRoman" w:cs="TimesNewRoman"/>
          <w:sz w:val="32"/>
          <w:szCs w:val="32"/>
        </w:rPr>
        <w:t>2014</w:t>
      </w:r>
      <w:r>
        <w:rPr>
          <w:rFonts w:ascii="TimesNewRoman" w:eastAsia="仿宋_GB2312" w:hAnsi="TimesNewRoman" w:cs="TimesNewRoman"/>
          <w:sz w:val="32"/>
          <w:szCs w:val="32"/>
        </w:rPr>
        <w:t>〕</w:t>
      </w:r>
      <w:proofErr w:type="gramEnd"/>
      <w:r>
        <w:rPr>
          <w:rFonts w:ascii="TimesNewRoman" w:eastAsia="仿宋_GB2312" w:hAnsi="TimesNewRoman" w:cs="TimesNewRoman"/>
          <w:sz w:val="32"/>
          <w:szCs w:val="32"/>
        </w:rPr>
        <w:t>104</w:t>
      </w:r>
      <w:r>
        <w:rPr>
          <w:rFonts w:ascii="TimesNewRoman" w:eastAsia="仿宋_GB2312" w:hAnsi="TimesNewRoman" w:cs="TimesNewRoman"/>
          <w:sz w:val="32"/>
          <w:szCs w:val="32"/>
        </w:rPr>
        <w:t>号）、《安徽省省直党政机关因公短期出国</w:t>
      </w:r>
      <w:r>
        <w:rPr>
          <w:rFonts w:ascii="TimesNewRoman" w:eastAsia="仿宋_GB2312" w:hAnsi="TimesNewRoman" w:cs="TimesNewRoman"/>
          <w:sz w:val="32"/>
          <w:szCs w:val="32"/>
        </w:rPr>
        <w:lastRenderedPageBreak/>
        <w:t>培训费用管理办法》（</w:t>
      </w:r>
      <w:proofErr w:type="gramStart"/>
      <w:r>
        <w:rPr>
          <w:rFonts w:ascii="TimesNewRoman" w:eastAsia="仿宋_GB2312" w:hAnsi="TimesNewRoman" w:cs="TimesNewRoman"/>
          <w:sz w:val="32"/>
          <w:szCs w:val="32"/>
        </w:rPr>
        <w:t>财行〔</w:t>
      </w:r>
      <w:r>
        <w:rPr>
          <w:rFonts w:ascii="TimesNewRoman" w:eastAsia="仿宋_GB2312" w:hAnsi="TimesNewRoman" w:cs="TimesNewRoman"/>
          <w:sz w:val="32"/>
          <w:szCs w:val="32"/>
        </w:rPr>
        <w:t>2014</w:t>
      </w:r>
      <w:r>
        <w:rPr>
          <w:rFonts w:ascii="TimesNewRoman" w:eastAsia="仿宋_GB2312" w:hAnsi="TimesNewRoman" w:cs="TimesNewRoman"/>
          <w:sz w:val="32"/>
          <w:szCs w:val="32"/>
        </w:rPr>
        <w:t>〕</w:t>
      </w:r>
      <w:proofErr w:type="gramEnd"/>
      <w:r>
        <w:rPr>
          <w:rFonts w:ascii="TimesNewRoman" w:eastAsia="仿宋_GB2312" w:hAnsi="TimesNewRoman" w:cs="TimesNewRoman"/>
          <w:sz w:val="32"/>
          <w:szCs w:val="32"/>
        </w:rPr>
        <w:t>527</w:t>
      </w:r>
      <w:r>
        <w:rPr>
          <w:rFonts w:ascii="TimesNewRoman" w:eastAsia="仿宋_GB2312" w:hAnsi="TimesNewRoman" w:cs="TimesNewRoman"/>
          <w:sz w:val="32"/>
          <w:szCs w:val="32"/>
        </w:rPr>
        <w:t>号）等相关规定。</w:t>
      </w:r>
    </w:p>
    <w:p w14:paraId="2186D755" w14:textId="2AD6CB1F" w:rsidR="005634F0" w:rsidRDefault="005634F0" w:rsidP="005634F0">
      <w:pPr>
        <w:pStyle w:val="a7"/>
        <w:adjustRightInd w:val="0"/>
        <w:snapToGrid w:val="0"/>
        <w:spacing w:line="560" w:lineRule="exact"/>
        <w:ind w:firstLineChars="200" w:firstLine="643"/>
        <w:rPr>
          <w:rFonts w:ascii="TimesNewRoman" w:eastAsia="仿宋_GB2312" w:hAnsi="TimesNewRoman" w:cs="TimesNewRoman"/>
          <w:sz w:val="32"/>
          <w:szCs w:val="32"/>
        </w:rPr>
      </w:pPr>
      <w:r>
        <w:rPr>
          <w:rFonts w:ascii="TimesNewRoman" w:eastAsia="仿宋_GB2312" w:hAnsi="TimesNewRoman" w:cs="TimesNewRoman"/>
          <w:b/>
          <w:sz w:val="32"/>
          <w:szCs w:val="32"/>
        </w:rPr>
        <w:t>（二）公务用车购置及运行费</w:t>
      </w:r>
      <w:r>
        <w:rPr>
          <w:rFonts w:ascii="TimesNewRoman" w:eastAsia="仿宋_GB2312" w:hAnsi="TimesNewRoman" w:cs="TimesNewRoman"/>
          <w:sz w:val="32"/>
          <w:szCs w:val="32"/>
        </w:rPr>
        <w:t>支出预算</w:t>
      </w:r>
      <w:r>
        <w:rPr>
          <w:rFonts w:ascii="TimesNewRoman" w:eastAsia="仿宋_GB2312" w:hAnsi="TimesNewRoman" w:cs="TimesNewRoman" w:hint="eastAsia"/>
          <w:sz w:val="32"/>
          <w:szCs w:val="32"/>
        </w:rPr>
        <w:t>0</w:t>
      </w:r>
      <w:r>
        <w:rPr>
          <w:rFonts w:ascii="TimesNewRoman" w:eastAsia="仿宋_GB2312" w:hAnsi="TimesNewRoman" w:cs="TimesNewRoman"/>
          <w:sz w:val="32"/>
          <w:szCs w:val="32"/>
        </w:rPr>
        <w:t>万元，比</w:t>
      </w:r>
      <w:r w:rsidR="00CF1D21">
        <w:rPr>
          <w:rFonts w:ascii="TimesNewRoman" w:eastAsia="仿宋_GB2312" w:hAnsi="TimesNewRoman" w:cs="TimesNewRoman" w:hint="eastAsia"/>
          <w:sz w:val="32"/>
          <w:szCs w:val="32"/>
        </w:rPr>
        <w:t>2025</w:t>
      </w:r>
      <w:r>
        <w:rPr>
          <w:rFonts w:ascii="TimesNewRoman" w:eastAsia="仿宋_GB2312" w:hAnsi="TimesNewRoman" w:cs="TimesNewRoman"/>
          <w:sz w:val="32"/>
          <w:szCs w:val="32"/>
        </w:rPr>
        <w:t>年预算减少（增加）</w:t>
      </w:r>
      <w:r>
        <w:rPr>
          <w:rFonts w:ascii="TimesNewRoman" w:eastAsia="仿宋_GB2312" w:hAnsi="TimesNewRoman" w:cs="TimesNewRoman" w:hint="eastAsia"/>
          <w:sz w:val="32"/>
          <w:szCs w:val="32"/>
        </w:rPr>
        <w:t>0</w:t>
      </w:r>
      <w:r>
        <w:rPr>
          <w:rFonts w:ascii="TimesNewRoman" w:eastAsia="仿宋_GB2312" w:hAnsi="TimesNewRoman" w:cs="TimesNewRoman"/>
          <w:sz w:val="32"/>
          <w:szCs w:val="32"/>
        </w:rPr>
        <w:t>万元，下降（增长）</w:t>
      </w:r>
      <w:r>
        <w:rPr>
          <w:rFonts w:ascii="TimesNewRoman" w:eastAsia="仿宋_GB2312" w:hAnsi="TimesNewRoman" w:cs="TimesNewRoman" w:hint="eastAsia"/>
          <w:sz w:val="32"/>
          <w:szCs w:val="32"/>
        </w:rPr>
        <w:t>0</w:t>
      </w:r>
      <w:r>
        <w:rPr>
          <w:rFonts w:ascii="TimesNewRoman" w:eastAsia="仿宋_GB2312" w:hAnsi="TimesNewRoman" w:cs="TimesNewRoman"/>
          <w:sz w:val="32"/>
          <w:szCs w:val="32"/>
        </w:rPr>
        <w:t>%</w:t>
      </w:r>
      <w:r>
        <w:rPr>
          <w:rFonts w:ascii="TimesNewRoman" w:eastAsia="仿宋_GB2312" w:hAnsi="TimesNewRoman" w:cs="TimesNewRoman"/>
          <w:sz w:val="32"/>
          <w:szCs w:val="32"/>
        </w:rPr>
        <w:t>。其中：公务用车运行费</w:t>
      </w:r>
      <w:r>
        <w:rPr>
          <w:rFonts w:ascii="TimesNewRoman" w:eastAsia="仿宋_GB2312" w:hAnsi="TimesNewRoman" w:cs="TimesNewRoman" w:hint="eastAsia"/>
          <w:sz w:val="32"/>
          <w:szCs w:val="32"/>
        </w:rPr>
        <w:t>0</w:t>
      </w:r>
      <w:r>
        <w:rPr>
          <w:rFonts w:ascii="TimesNewRoman" w:eastAsia="仿宋_GB2312" w:hAnsi="TimesNewRoman" w:cs="TimesNewRoman"/>
          <w:sz w:val="32"/>
          <w:szCs w:val="32"/>
        </w:rPr>
        <w:t>万元，比</w:t>
      </w:r>
      <w:r w:rsidR="00CF1D21">
        <w:rPr>
          <w:rFonts w:ascii="TimesNewRoman" w:eastAsia="仿宋_GB2312" w:hAnsi="TimesNewRoman" w:cs="TimesNewRoman" w:hint="eastAsia"/>
          <w:sz w:val="32"/>
          <w:szCs w:val="32"/>
        </w:rPr>
        <w:t>2025</w:t>
      </w:r>
      <w:r>
        <w:rPr>
          <w:rFonts w:ascii="TimesNewRoman" w:eastAsia="仿宋_GB2312" w:hAnsi="TimesNewRoman" w:cs="TimesNewRoman"/>
          <w:sz w:val="32"/>
          <w:szCs w:val="32"/>
        </w:rPr>
        <w:t>年预算减少（增加）</w:t>
      </w:r>
      <w:r>
        <w:rPr>
          <w:rFonts w:ascii="TimesNewRoman" w:eastAsia="仿宋_GB2312" w:hAnsi="TimesNewRoman" w:cs="TimesNewRoman" w:hint="eastAsia"/>
          <w:sz w:val="32"/>
          <w:szCs w:val="32"/>
        </w:rPr>
        <w:t>0</w:t>
      </w:r>
      <w:r>
        <w:rPr>
          <w:rFonts w:ascii="TimesNewRoman" w:eastAsia="仿宋_GB2312" w:hAnsi="TimesNewRoman" w:cs="TimesNewRoman"/>
          <w:sz w:val="32"/>
          <w:szCs w:val="32"/>
        </w:rPr>
        <w:t>万元，下降（增长）</w:t>
      </w:r>
      <w:r>
        <w:rPr>
          <w:rFonts w:ascii="TimesNewRoman" w:eastAsia="仿宋_GB2312" w:hAnsi="TimesNewRoman" w:cs="TimesNewRoman" w:hint="eastAsia"/>
          <w:sz w:val="32"/>
          <w:szCs w:val="32"/>
        </w:rPr>
        <w:t>0</w:t>
      </w:r>
      <w:r>
        <w:rPr>
          <w:rFonts w:ascii="TimesNewRoman" w:eastAsia="仿宋_GB2312" w:hAnsi="TimesNewRoman" w:cs="TimesNewRoman"/>
          <w:sz w:val="32"/>
          <w:szCs w:val="32"/>
        </w:rPr>
        <w:t>%</w:t>
      </w:r>
      <w:r>
        <w:rPr>
          <w:rFonts w:ascii="TimesNewRoman" w:eastAsia="仿宋_GB2312" w:hAnsi="TimesNewRoman" w:cs="TimesNewRoman"/>
          <w:sz w:val="32"/>
          <w:szCs w:val="32"/>
        </w:rPr>
        <w:t>，下降（增长）原因主要是</w:t>
      </w:r>
      <w:r w:rsidRPr="005634F0">
        <w:rPr>
          <w:rFonts w:ascii="TimesNewRoman" w:eastAsia="仿宋_GB2312" w:hAnsi="TimesNewRoman" w:cs="TimesNewRoman"/>
          <w:sz w:val="32"/>
          <w:szCs w:val="32"/>
        </w:rPr>
        <w:t>本年</w:t>
      </w:r>
      <w:r>
        <w:rPr>
          <w:rFonts w:ascii="TimesNewRoman" w:eastAsia="仿宋_GB2312" w:hAnsi="TimesNewRoman" w:cs="TimesNewRoman" w:hint="eastAsia"/>
          <w:sz w:val="32"/>
          <w:szCs w:val="32"/>
        </w:rPr>
        <w:t>和上年均</w:t>
      </w:r>
      <w:r w:rsidRPr="005634F0">
        <w:rPr>
          <w:rFonts w:ascii="TimesNewRoman" w:eastAsia="仿宋_GB2312" w:hAnsi="TimesNewRoman" w:cs="TimesNewRoman"/>
          <w:sz w:val="32"/>
          <w:szCs w:val="32"/>
        </w:rPr>
        <w:t>未安排</w:t>
      </w:r>
      <w:r>
        <w:rPr>
          <w:rFonts w:ascii="TimesNewRoman" w:eastAsia="仿宋_GB2312" w:hAnsi="TimesNewRoman" w:cs="TimesNewRoman"/>
          <w:sz w:val="32"/>
          <w:szCs w:val="32"/>
        </w:rPr>
        <w:t>；该项经费主要用于</w:t>
      </w:r>
      <w:r w:rsidR="00D81719" w:rsidRPr="008932A8">
        <w:rPr>
          <w:rFonts w:ascii="TimesNewRoman" w:eastAsia="仿宋_GB2312" w:hAnsi="TimesNewRoman" w:cs="TimesNewRoman" w:hint="eastAsia"/>
          <w:sz w:val="32"/>
          <w:szCs w:val="32"/>
        </w:rPr>
        <w:t>公务用车运行维护费，包括车辆燃料费、维修费、过路过桥费、保险费等支出</w:t>
      </w:r>
      <w:r>
        <w:rPr>
          <w:rFonts w:ascii="TimesNewRoman" w:eastAsia="仿宋_GB2312" w:hAnsi="TimesNewRoman" w:cs="TimesNewRoman"/>
          <w:sz w:val="32"/>
          <w:szCs w:val="32"/>
        </w:rPr>
        <w:t>。公务用车购置费</w:t>
      </w:r>
      <w:r>
        <w:rPr>
          <w:rFonts w:ascii="TimesNewRoman" w:eastAsia="仿宋_GB2312" w:hAnsi="TimesNewRoman" w:cs="TimesNewRoman" w:hint="eastAsia"/>
          <w:sz w:val="32"/>
          <w:szCs w:val="32"/>
        </w:rPr>
        <w:t>0</w:t>
      </w:r>
      <w:r>
        <w:rPr>
          <w:rFonts w:ascii="TimesNewRoman" w:eastAsia="仿宋_GB2312" w:hAnsi="TimesNewRoman" w:cs="TimesNewRoman"/>
          <w:sz w:val="32"/>
          <w:szCs w:val="32"/>
        </w:rPr>
        <w:t>万元，比</w:t>
      </w:r>
      <w:r w:rsidR="00CF1D21">
        <w:rPr>
          <w:rFonts w:ascii="TimesNewRoman" w:eastAsia="仿宋_GB2312" w:hAnsi="TimesNewRoman" w:cs="TimesNewRoman" w:hint="eastAsia"/>
          <w:sz w:val="32"/>
          <w:szCs w:val="32"/>
        </w:rPr>
        <w:t>2025</w:t>
      </w:r>
      <w:r>
        <w:rPr>
          <w:rFonts w:ascii="TimesNewRoman" w:eastAsia="仿宋_GB2312" w:hAnsi="TimesNewRoman" w:cs="TimesNewRoman"/>
          <w:sz w:val="32"/>
          <w:szCs w:val="32"/>
        </w:rPr>
        <w:t>年预算减少（增加）</w:t>
      </w:r>
      <w:r>
        <w:rPr>
          <w:rFonts w:ascii="TimesNewRoman" w:eastAsia="仿宋_GB2312" w:hAnsi="TimesNewRoman" w:cs="TimesNewRoman" w:hint="eastAsia"/>
          <w:sz w:val="32"/>
          <w:szCs w:val="32"/>
        </w:rPr>
        <w:t>0</w:t>
      </w:r>
      <w:r>
        <w:rPr>
          <w:rFonts w:ascii="TimesNewRoman" w:eastAsia="仿宋_GB2312" w:hAnsi="TimesNewRoman" w:cs="TimesNewRoman"/>
          <w:sz w:val="32"/>
          <w:szCs w:val="32"/>
        </w:rPr>
        <w:t>元，下降（增长）</w:t>
      </w:r>
      <w:r>
        <w:rPr>
          <w:rFonts w:ascii="TimesNewRoman" w:eastAsia="仿宋_GB2312" w:hAnsi="TimesNewRoman" w:cs="TimesNewRoman" w:hint="eastAsia"/>
          <w:sz w:val="32"/>
          <w:szCs w:val="32"/>
        </w:rPr>
        <w:t>0</w:t>
      </w:r>
      <w:r>
        <w:rPr>
          <w:rFonts w:ascii="TimesNewRoman" w:eastAsia="仿宋_GB2312" w:hAnsi="TimesNewRoman" w:cs="TimesNewRoman"/>
          <w:sz w:val="32"/>
          <w:szCs w:val="32"/>
        </w:rPr>
        <w:t>%</w:t>
      </w:r>
      <w:r>
        <w:rPr>
          <w:rFonts w:ascii="TimesNewRoman" w:eastAsia="仿宋_GB2312" w:hAnsi="TimesNewRoman" w:cs="TimesNewRoman"/>
          <w:sz w:val="32"/>
          <w:szCs w:val="32"/>
        </w:rPr>
        <w:t>，下降（增长）原因主要是</w:t>
      </w:r>
      <w:r w:rsidRPr="005634F0">
        <w:rPr>
          <w:rFonts w:ascii="TimesNewRoman" w:eastAsia="仿宋_GB2312" w:hAnsi="TimesNewRoman" w:cs="TimesNewRoman"/>
          <w:sz w:val="32"/>
          <w:szCs w:val="32"/>
        </w:rPr>
        <w:t>本年</w:t>
      </w:r>
      <w:r>
        <w:rPr>
          <w:rFonts w:ascii="TimesNewRoman" w:eastAsia="仿宋_GB2312" w:hAnsi="TimesNewRoman" w:cs="TimesNewRoman" w:hint="eastAsia"/>
          <w:sz w:val="32"/>
          <w:szCs w:val="32"/>
        </w:rPr>
        <w:t>和上年均</w:t>
      </w:r>
      <w:r w:rsidRPr="005634F0">
        <w:rPr>
          <w:rFonts w:ascii="TimesNewRoman" w:eastAsia="仿宋_GB2312" w:hAnsi="TimesNewRoman" w:cs="TimesNewRoman"/>
          <w:sz w:val="32"/>
          <w:szCs w:val="32"/>
        </w:rPr>
        <w:t>未安排</w:t>
      </w:r>
      <w:r>
        <w:rPr>
          <w:rFonts w:ascii="TimesNewRoman" w:eastAsia="仿宋_GB2312" w:hAnsi="TimesNewRoman" w:cs="TimesNewRoman"/>
          <w:sz w:val="32"/>
          <w:szCs w:val="32"/>
        </w:rPr>
        <w:t>；该项经费主要用于</w:t>
      </w:r>
      <w:r>
        <w:rPr>
          <w:rFonts w:ascii="TimesNewRoman" w:eastAsia="仿宋_GB2312" w:hAnsi="TimesNewRoman" w:cs="TimesNewRoman" w:hint="eastAsia"/>
          <w:sz w:val="32"/>
          <w:szCs w:val="32"/>
        </w:rPr>
        <w:t>车辆购置</w:t>
      </w:r>
      <w:r>
        <w:rPr>
          <w:rFonts w:ascii="TimesNewRoman" w:eastAsia="仿宋_GB2312" w:hAnsi="TimesNewRoman" w:cs="TimesNewRoman"/>
          <w:sz w:val="32"/>
          <w:szCs w:val="32"/>
        </w:rPr>
        <w:t>。</w:t>
      </w:r>
    </w:p>
    <w:p w14:paraId="4CFFA8CD" w14:textId="30523097" w:rsidR="005634F0" w:rsidRDefault="005634F0" w:rsidP="005634F0">
      <w:pPr>
        <w:pStyle w:val="a7"/>
        <w:adjustRightInd w:val="0"/>
        <w:snapToGrid w:val="0"/>
        <w:spacing w:line="560" w:lineRule="exact"/>
        <w:ind w:firstLineChars="200" w:firstLine="643"/>
        <w:rPr>
          <w:rFonts w:ascii="TimesNewRoman" w:eastAsia="仿宋_GB2312" w:hAnsi="TimesNewRoman" w:cs="TimesNewRoman"/>
          <w:sz w:val="32"/>
          <w:szCs w:val="32"/>
        </w:rPr>
      </w:pPr>
      <w:r>
        <w:rPr>
          <w:rFonts w:ascii="TimesNewRoman" w:eastAsia="仿宋_GB2312" w:hAnsi="TimesNewRoman" w:cs="TimesNewRoman"/>
          <w:b/>
          <w:sz w:val="32"/>
          <w:szCs w:val="32"/>
        </w:rPr>
        <w:t>（三）公务接待费</w:t>
      </w:r>
      <w:r>
        <w:rPr>
          <w:rFonts w:ascii="TimesNewRoman" w:eastAsia="仿宋_GB2312" w:hAnsi="TimesNewRoman" w:cs="TimesNewRoman"/>
          <w:sz w:val="32"/>
          <w:szCs w:val="32"/>
        </w:rPr>
        <w:t>支出预算</w:t>
      </w:r>
      <w:r>
        <w:rPr>
          <w:rFonts w:ascii="TimesNewRoman" w:eastAsia="仿宋_GB2312" w:hAnsi="TimesNewRoman" w:cs="TimesNewRoman" w:hint="eastAsia"/>
          <w:sz w:val="32"/>
          <w:szCs w:val="32"/>
        </w:rPr>
        <w:t>0</w:t>
      </w:r>
      <w:r>
        <w:rPr>
          <w:rFonts w:ascii="TimesNewRoman" w:eastAsia="仿宋_GB2312" w:hAnsi="TimesNewRoman" w:cs="TimesNewRoman"/>
          <w:sz w:val="32"/>
          <w:szCs w:val="32"/>
        </w:rPr>
        <w:t>万元，比</w:t>
      </w:r>
      <w:r w:rsidR="00CF1D21">
        <w:rPr>
          <w:rFonts w:ascii="TimesNewRoman" w:eastAsia="仿宋_GB2312" w:hAnsi="TimesNewRoman" w:cs="TimesNewRoman" w:hint="eastAsia"/>
          <w:sz w:val="32"/>
          <w:szCs w:val="32"/>
        </w:rPr>
        <w:t>2025</w:t>
      </w:r>
      <w:r>
        <w:rPr>
          <w:rFonts w:ascii="TimesNewRoman" w:eastAsia="仿宋_GB2312" w:hAnsi="TimesNewRoman" w:cs="TimesNewRoman"/>
          <w:sz w:val="32"/>
          <w:szCs w:val="32"/>
        </w:rPr>
        <w:t>年预算减少（增加）</w:t>
      </w:r>
      <w:r>
        <w:rPr>
          <w:rFonts w:ascii="TimesNewRoman" w:eastAsia="仿宋_GB2312" w:hAnsi="TimesNewRoman" w:cs="TimesNewRoman" w:hint="eastAsia"/>
          <w:sz w:val="32"/>
          <w:szCs w:val="32"/>
        </w:rPr>
        <w:t>0</w:t>
      </w:r>
      <w:r>
        <w:rPr>
          <w:rFonts w:ascii="TimesNewRoman" w:eastAsia="仿宋_GB2312" w:hAnsi="TimesNewRoman" w:cs="TimesNewRoman"/>
          <w:sz w:val="32"/>
          <w:szCs w:val="32"/>
        </w:rPr>
        <w:t>万元，下降（增长）</w:t>
      </w:r>
      <w:r>
        <w:rPr>
          <w:rFonts w:ascii="TimesNewRoman" w:eastAsia="仿宋_GB2312" w:hAnsi="TimesNewRoman" w:cs="TimesNewRoman" w:hint="eastAsia"/>
          <w:sz w:val="32"/>
          <w:szCs w:val="32"/>
        </w:rPr>
        <w:t>0</w:t>
      </w:r>
      <w:r>
        <w:rPr>
          <w:rFonts w:ascii="TimesNewRoman" w:eastAsia="仿宋_GB2312" w:hAnsi="TimesNewRoman" w:cs="TimesNewRoman"/>
          <w:sz w:val="32"/>
          <w:szCs w:val="32"/>
        </w:rPr>
        <w:t>%</w:t>
      </w:r>
      <w:r>
        <w:rPr>
          <w:rFonts w:ascii="TimesNewRoman" w:eastAsia="仿宋_GB2312" w:hAnsi="TimesNewRoman" w:cs="TimesNewRoman"/>
          <w:sz w:val="32"/>
          <w:szCs w:val="32"/>
        </w:rPr>
        <w:t>，下降（增长）原因主要是</w:t>
      </w:r>
      <w:r w:rsidRPr="005634F0">
        <w:rPr>
          <w:rFonts w:ascii="TimesNewRoman" w:eastAsia="仿宋_GB2312" w:hAnsi="TimesNewRoman" w:cs="TimesNewRoman"/>
          <w:sz w:val="32"/>
          <w:szCs w:val="32"/>
        </w:rPr>
        <w:t>本年</w:t>
      </w:r>
      <w:r>
        <w:rPr>
          <w:rFonts w:ascii="TimesNewRoman" w:eastAsia="仿宋_GB2312" w:hAnsi="TimesNewRoman" w:cs="TimesNewRoman" w:hint="eastAsia"/>
          <w:sz w:val="32"/>
          <w:szCs w:val="32"/>
        </w:rPr>
        <w:t>和上年均</w:t>
      </w:r>
      <w:r w:rsidRPr="005634F0">
        <w:rPr>
          <w:rFonts w:ascii="TimesNewRoman" w:eastAsia="仿宋_GB2312" w:hAnsi="TimesNewRoman" w:cs="TimesNewRoman"/>
          <w:sz w:val="32"/>
          <w:szCs w:val="32"/>
        </w:rPr>
        <w:t>未安排</w:t>
      </w:r>
      <w:r>
        <w:rPr>
          <w:rFonts w:ascii="TimesNewRoman" w:eastAsia="仿宋_GB2312" w:hAnsi="TimesNewRoman" w:cs="TimesNewRoman"/>
          <w:sz w:val="32"/>
          <w:szCs w:val="32"/>
        </w:rPr>
        <w:t>。该项经费主要用于</w:t>
      </w:r>
      <w:r>
        <w:rPr>
          <w:rFonts w:ascii="TimesNewRoman" w:eastAsia="仿宋_GB2312" w:hAnsi="TimesNewRoman" w:cs="TimesNewRoman" w:hint="eastAsia"/>
          <w:sz w:val="32"/>
          <w:szCs w:val="32"/>
        </w:rPr>
        <w:t>公务接待</w:t>
      </w:r>
      <w:r>
        <w:rPr>
          <w:rFonts w:ascii="TimesNewRoman" w:eastAsia="仿宋_GB2312" w:hAnsi="TimesNewRoman" w:cs="TimesNewRoman"/>
          <w:sz w:val="32"/>
          <w:szCs w:val="32"/>
        </w:rPr>
        <w:t>。经费使用严格执行《党政机关厉行节约反对浪费条例》、《安徽省省直机关公务接待管理暂行办法》（</w:t>
      </w:r>
      <w:proofErr w:type="gramStart"/>
      <w:r>
        <w:rPr>
          <w:rFonts w:ascii="TimesNewRoman" w:eastAsia="仿宋_GB2312" w:hAnsi="TimesNewRoman" w:cs="TimesNewRoman"/>
          <w:sz w:val="32"/>
          <w:szCs w:val="32"/>
        </w:rPr>
        <w:t>财行〔</w:t>
      </w:r>
      <w:r>
        <w:rPr>
          <w:rFonts w:ascii="TimesNewRoman" w:eastAsia="仿宋_GB2312" w:hAnsi="TimesNewRoman" w:cs="TimesNewRoman"/>
          <w:sz w:val="32"/>
          <w:szCs w:val="32"/>
        </w:rPr>
        <w:t>2014</w:t>
      </w:r>
      <w:r>
        <w:rPr>
          <w:rFonts w:ascii="TimesNewRoman" w:eastAsia="仿宋_GB2312" w:hAnsi="TimesNewRoman" w:cs="TimesNewRoman"/>
          <w:sz w:val="32"/>
          <w:szCs w:val="32"/>
        </w:rPr>
        <w:t>〕</w:t>
      </w:r>
      <w:proofErr w:type="gramEnd"/>
      <w:r>
        <w:rPr>
          <w:rFonts w:ascii="TimesNewRoman" w:eastAsia="仿宋_GB2312" w:hAnsi="TimesNewRoman" w:cs="TimesNewRoman"/>
          <w:sz w:val="32"/>
          <w:szCs w:val="32"/>
        </w:rPr>
        <w:t>2066</w:t>
      </w:r>
      <w:r>
        <w:rPr>
          <w:rFonts w:ascii="TimesNewRoman" w:eastAsia="仿宋_GB2312" w:hAnsi="TimesNewRoman" w:cs="TimesNewRoman"/>
          <w:sz w:val="32"/>
          <w:szCs w:val="32"/>
        </w:rPr>
        <w:t>号）、《安徽省财政厅关于调整省直机关公务接待费用餐标准的通知》（</w:t>
      </w:r>
      <w:proofErr w:type="gramStart"/>
      <w:r>
        <w:rPr>
          <w:rFonts w:ascii="TimesNewRoman" w:eastAsia="仿宋_GB2312" w:hAnsi="TimesNewRoman" w:cs="TimesNewRoman"/>
          <w:sz w:val="32"/>
          <w:szCs w:val="32"/>
        </w:rPr>
        <w:t>财行〔</w:t>
      </w:r>
      <w:r>
        <w:rPr>
          <w:rFonts w:ascii="TimesNewRoman" w:eastAsia="仿宋_GB2312" w:hAnsi="TimesNewRoman" w:cs="TimesNewRoman"/>
          <w:sz w:val="32"/>
          <w:szCs w:val="32"/>
        </w:rPr>
        <w:t>2018</w:t>
      </w:r>
      <w:r>
        <w:rPr>
          <w:rFonts w:ascii="TimesNewRoman" w:eastAsia="仿宋_GB2312" w:hAnsi="TimesNewRoman" w:cs="TimesNewRoman"/>
          <w:sz w:val="32"/>
          <w:szCs w:val="32"/>
        </w:rPr>
        <w:t>〕</w:t>
      </w:r>
      <w:proofErr w:type="gramEnd"/>
      <w:r>
        <w:rPr>
          <w:rFonts w:ascii="TimesNewRoman" w:eastAsia="仿宋_GB2312" w:hAnsi="TimesNewRoman" w:cs="TimesNewRoman"/>
          <w:sz w:val="32"/>
          <w:szCs w:val="32"/>
        </w:rPr>
        <w:t>1096</w:t>
      </w:r>
      <w:r>
        <w:rPr>
          <w:rFonts w:ascii="TimesNewRoman" w:eastAsia="仿宋_GB2312" w:hAnsi="TimesNewRoman" w:cs="TimesNewRoman"/>
          <w:sz w:val="32"/>
          <w:szCs w:val="32"/>
        </w:rPr>
        <w:t>号）等相关规定。</w:t>
      </w:r>
    </w:p>
    <w:p w14:paraId="01C083FD" w14:textId="77777777" w:rsidR="00CC08C5" w:rsidRPr="005634F0" w:rsidRDefault="00CC08C5" w:rsidP="005634F0">
      <w:pPr>
        <w:pStyle w:val="a7"/>
        <w:widowControl/>
        <w:shd w:val="clear" w:color="auto" w:fill="FFFFFF"/>
        <w:spacing w:beforeAutospacing="0" w:afterAutospacing="0" w:line="540" w:lineRule="atLeast"/>
        <w:jc w:val="both"/>
      </w:pPr>
    </w:p>
    <w:sectPr w:rsidR="00CC08C5" w:rsidRPr="005634F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AD5B95" w14:textId="77777777" w:rsidR="004F19D0" w:rsidRDefault="004F19D0" w:rsidP="000D474E">
      <w:r>
        <w:separator/>
      </w:r>
    </w:p>
  </w:endnote>
  <w:endnote w:type="continuationSeparator" w:id="0">
    <w:p w14:paraId="264C91CC" w14:textId="77777777" w:rsidR="004F19D0" w:rsidRDefault="004F19D0" w:rsidP="000D47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NewRoman">
    <w:altName w:val="Times New Roman"/>
    <w:charset w:val="00"/>
    <w:family w:val="auto"/>
    <w:pitch w:val="default"/>
    <w:sig w:usb0="E0002EFF" w:usb1="D00078FF" w:usb2="00000029" w:usb3="00000000" w:csb0="600001FF" w:csb1="FFFF0000"/>
  </w:font>
  <w:font w:name="仿宋_GB2312">
    <w:altName w:val="微软雅黑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7E110F" w14:textId="77777777" w:rsidR="004F19D0" w:rsidRDefault="004F19D0" w:rsidP="000D474E">
      <w:r>
        <w:separator/>
      </w:r>
    </w:p>
  </w:footnote>
  <w:footnote w:type="continuationSeparator" w:id="0">
    <w:p w14:paraId="5F4E9F08" w14:textId="77777777" w:rsidR="004F19D0" w:rsidRDefault="004F19D0" w:rsidP="000D474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YWNkYzFkYzQ4ZGMzZDI1YzQ0Mzk3ZmI3Njg5NWQ2NDUifQ=="/>
  </w:docVars>
  <w:rsids>
    <w:rsidRoot w:val="00974662"/>
    <w:rsid w:val="00002301"/>
    <w:rsid w:val="000207E6"/>
    <w:rsid w:val="00021D5D"/>
    <w:rsid w:val="000D474E"/>
    <w:rsid w:val="001758CB"/>
    <w:rsid w:val="002751A7"/>
    <w:rsid w:val="00395379"/>
    <w:rsid w:val="003F70D2"/>
    <w:rsid w:val="004F19D0"/>
    <w:rsid w:val="00533DDC"/>
    <w:rsid w:val="005634F0"/>
    <w:rsid w:val="006D6F0B"/>
    <w:rsid w:val="007B6AC3"/>
    <w:rsid w:val="007D0DFB"/>
    <w:rsid w:val="00800977"/>
    <w:rsid w:val="008E2D1D"/>
    <w:rsid w:val="00974662"/>
    <w:rsid w:val="00B1796C"/>
    <w:rsid w:val="00B8787E"/>
    <w:rsid w:val="00BF1B32"/>
    <w:rsid w:val="00C82616"/>
    <w:rsid w:val="00CC08C5"/>
    <w:rsid w:val="00CF1D21"/>
    <w:rsid w:val="00CF6905"/>
    <w:rsid w:val="00D55E68"/>
    <w:rsid w:val="00D7043B"/>
    <w:rsid w:val="00D81719"/>
    <w:rsid w:val="00ED5CB2"/>
    <w:rsid w:val="00F972C9"/>
    <w:rsid w:val="12D262C4"/>
    <w:rsid w:val="312D4BC6"/>
    <w:rsid w:val="418D4870"/>
    <w:rsid w:val="5AC377D5"/>
    <w:rsid w:val="7030118C"/>
    <w:rsid w:val="721273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1024680"/>
  <w15:docId w15:val="{68E7892E-41DB-42E5-AF6C-389DEC3904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basedOn w:val="a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a8">
    <w:name w:val="Strong"/>
    <w:basedOn w:val="a0"/>
    <w:qFormat/>
    <w:rPr>
      <w:b/>
    </w:rPr>
  </w:style>
  <w:style w:type="character" w:customStyle="1" w:styleId="a6">
    <w:name w:val="页眉 字符"/>
    <w:basedOn w:val="a0"/>
    <w:link w:val="a5"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a4">
    <w:name w:val="页脚 字符"/>
    <w:basedOn w:val="a0"/>
    <w:link w:val="a3"/>
    <w:qFormat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449</Words>
  <Characters>481</Characters>
  <Application>Microsoft Office Word</Application>
  <DocSecurity>0</DocSecurity>
  <Lines>30</Lines>
  <Paragraphs>22</Paragraphs>
  <ScaleCrop>false</ScaleCrop>
  <Company/>
  <LinksUpToDate>false</LinksUpToDate>
  <CharactersWithSpaces>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510418</cp:lastModifiedBy>
  <cp:revision>16</cp:revision>
  <dcterms:created xsi:type="dcterms:W3CDTF">2023-02-13T09:25:00Z</dcterms:created>
  <dcterms:modified xsi:type="dcterms:W3CDTF">2026-02-02T14:07:00Z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FF97B095C9524203A5D7BB6F42CBD5EA_13</vt:lpwstr>
  </property>
</Properties>
</file>