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11192">
      <w:pPr>
        <w:rPr>
          <w:rFonts w:eastAsia="仿宋_GB2312"/>
          <w:color w:val="FF0000"/>
          <w:sz w:val="36"/>
          <w:szCs w:val="36"/>
        </w:rPr>
      </w:pPr>
      <w:bookmarkStart w:id="0" w:name="_Toc354926673"/>
    </w:p>
    <w:p w14:paraId="54631463">
      <w:pPr>
        <w:rPr>
          <w:rFonts w:eastAsia="仿宋_GB2312"/>
          <w:color w:val="FF0000"/>
          <w:sz w:val="36"/>
          <w:szCs w:val="36"/>
        </w:rPr>
      </w:pPr>
    </w:p>
    <w:p w14:paraId="126AF6C1">
      <w:pPr>
        <w:adjustRightInd w:val="0"/>
        <w:snapToGrid w:val="0"/>
        <w:jc w:val="center"/>
        <w:outlineLvl w:val="0"/>
        <w:rPr>
          <w:rFonts w:ascii="黑体" w:hAnsi="黑体" w:eastAsia="黑体"/>
          <w:bCs/>
          <w:sz w:val="66"/>
          <w:szCs w:val="66"/>
        </w:rPr>
      </w:pPr>
      <w:r>
        <w:rPr>
          <w:rFonts w:ascii="黑体" w:hAnsi="黑体" w:eastAsia="黑体"/>
          <w:bCs/>
          <w:sz w:val="66"/>
          <w:szCs w:val="66"/>
        </w:rPr>
        <w:t>建设项目环境影响报告表</w:t>
      </w:r>
    </w:p>
    <w:p w14:paraId="338A5176">
      <w:pPr>
        <w:adjustRightInd w:val="0"/>
        <w:snapToGrid w:val="0"/>
        <w:spacing w:before="249" w:beforeLines="80"/>
        <w:jc w:val="center"/>
        <w:rPr>
          <w:rFonts w:eastAsia="仿宋_GB2312"/>
          <w:bCs/>
          <w:sz w:val="48"/>
          <w:szCs w:val="48"/>
        </w:rPr>
      </w:pPr>
      <w:r>
        <w:rPr>
          <w:rFonts w:hAnsi="宋体" w:eastAsia="仿宋_GB2312"/>
          <w:bCs/>
          <w:sz w:val="48"/>
          <w:szCs w:val="48"/>
        </w:rPr>
        <w:t>（</w:t>
      </w:r>
      <w:r>
        <w:rPr>
          <w:rFonts w:hint="eastAsia" w:ascii="楷体" w:hAnsi="楷体" w:eastAsia="楷体"/>
          <w:bCs/>
          <w:sz w:val="44"/>
          <w:szCs w:val="48"/>
        </w:rPr>
        <w:t>污染</w:t>
      </w:r>
      <w:r>
        <w:rPr>
          <w:rFonts w:ascii="楷体" w:hAnsi="楷体" w:eastAsia="楷体"/>
          <w:bCs/>
          <w:sz w:val="44"/>
          <w:szCs w:val="48"/>
        </w:rPr>
        <w:t>影响类</w:t>
      </w:r>
      <w:r>
        <w:rPr>
          <w:rFonts w:hAnsi="宋体" w:eastAsia="仿宋_GB2312"/>
          <w:bCs/>
          <w:sz w:val="48"/>
          <w:szCs w:val="48"/>
        </w:rPr>
        <w:t>）</w:t>
      </w:r>
    </w:p>
    <w:p w14:paraId="130BE619">
      <w:pPr>
        <w:jc w:val="center"/>
        <w:rPr>
          <w:rFonts w:eastAsia="仿宋_GB2312"/>
          <w:sz w:val="52"/>
          <w:szCs w:val="52"/>
        </w:rPr>
      </w:pPr>
      <w:bookmarkStart w:id="1" w:name="_Hlk57883728"/>
    </w:p>
    <w:p w14:paraId="57D68F6A">
      <w:pPr>
        <w:ind w:firstLine="1040"/>
        <w:rPr>
          <w:rFonts w:hint="eastAsia" w:eastAsia="仿宋_GB2312"/>
          <w:sz w:val="44"/>
          <w:szCs w:val="44"/>
        </w:rPr>
      </w:pPr>
    </w:p>
    <w:p w14:paraId="1AD0B4D3">
      <w:pPr>
        <w:ind w:firstLine="1040"/>
        <w:rPr>
          <w:rFonts w:hint="eastAsia" w:eastAsia="仿宋_GB2312"/>
          <w:sz w:val="44"/>
          <w:szCs w:val="44"/>
        </w:rPr>
      </w:pPr>
    </w:p>
    <w:p w14:paraId="4917AD2A">
      <w:pPr>
        <w:ind w:firstLine="1040"/>
        <w:rPr>
          <w:rFonts w:hint="eastAsia" w:eastAsia="仿宋_GB2312"/>
          <w:sz w:val="44"/>
          <w:szCs w:val="44"/>
        </w:rPr>
      </w:pPr>
    </w:p>
    <w:p w14:paraId="5E238717">
      <w:pPr>
        <w:ind w:firstLine="1040"/>
        <w:rPr>
          <w:rFonts w:eastAsia="仿宋_GB2312"/>
          <w:sz w:val="44"/>
          <w:szCs w:val="44"/>
        </w:rPr>
      </w:pPr>
    </w:p>
    <w:p w14:paraId="1AA9B730">
      <w:pPr>
        <w:ind w:firstLine="1040"/>
        <w:rPr>
          <w:rFonts w:eastAsia="仿宋_GB2312"/>
          <w:sz w:val="44"/>
          <w:szCs w:val="44"/>
        </w:rPr>
      </w:pPr>
    </w:p>
    <w:tbl>
      <w:tblPr>
        <w:tblStyle w:val="34"/>
        <w:tblW w:w="8448" w:type="dxa"/>
        <w:jc w:val="center"/>
        <w:tblLayout w:type="autofit"/>
        <w:tblCellMar>
          <w:top w:w="0" w:type="dxa"/>
          <w:left w:w="108" w:type="dxa"/>
          <w:bottom w:w="0" w:type="dxa"/>
          <w:right w:w="108" w:type="dxa"/>
        </w:tblCellMar>
      </w:tblPr>
      <w:tblGrid>
        <w:gridCol w:w="2765"/>
        <w:gridCol w:w="5683"/>
      </w:tblGrid>
      <w:tr w14:paraId="36E119F8">
        <w:tblPrEx>
          <w:tblCellMar>
            <w:top w:w="0" w:type="dxa"/>
            <w:left w:w="108" w:type="dxa"/>
            <w:bottom w:w="0" w:type="dxa"/>
            <w:right w:w="108" w:type="dxa"/>
          </w:tblCellMar>
        </w:tblPrEx>
        <w:trPr>
          <w:jc w:val="center"/>
        </w:trPr>
        <w:tc>
          <w:tcPr>
            <w:tcW w:w="2765" w:type="dxa"/>
            <w:noWrap w:val="0"/>
            <w:vAlign w:val="top"/>
          </w:tcPr>
          <w:p w14:paraId="4F14F8C4">
            <w:pPr>
              <w:spacing w:before="93" w:beforeLines="30" w:line="220" w:lineRule="atLeast"/>
              <w:jc w:val="left"/>
              <w:rPr>
                <w:rFonts w:ascii="黑体" w:hAnsi="黑体" w:eastAsia="黑体"/>
                <w:color w:val="000000"/>
                <w:sz w:val="32"/>
                <w:szCs w:val="20"/>
              </w:rPr>
            </w:pPr>
            <w:r>
              <w:rPr>
                <w:rFonts w:hAnsi="宋体" w:eastAsia="仿宋_GB2312"/>
                <w:color w:val="000000"/>
                <w:sz w:val="32"/>
                <w:szCs w:val="36"/>
              </w:rPr>
              <w:t>项目名称</w:t>
            </w:r>
            <w:r>
              <w:rPr>
                <w:rFonts w:hint="eastAsia" w:hAnsi="宋体" w:eastAsia="仿宋_GB2312"/>
                <w:color w:val="000000"/>
                <w:sz w:val="32"/>
                <w:szCs w:val="36"/>
              </w:rPr>
              <w:t>：</w:t>
            </w:r>
          </w:p>
        </w:tc>
        <w:tc>
          <w:tcPr>
            <w:tcW w:w="5683" w:type="dxa"/>
            <w:tcBorders>
              <w:bottom w:val="single" w:color="auto" w:sz="4" w:space="0"/>
            </w:tcBorders>
            <w:noWrap w:val="0"/>
            <w:vAlign w:val="top"/>
          </w:tcPr>
          <w:p w14:paraId="3314FEC5">
            <w:pPr>
              <w:spacing w:before="93" w:beforeLines="30" w:line="300" w:lineRule="atLeast"/>
              <w:rPr>
                <w:rFonts w:ascii="黑体" w:hAnsi="黑体" w:eastAsia="黑体"/>
                <w:color w:val="000000"/>
                <w:sz w:val="32"/>
                <w:szCs w:val="20"/>
              </w:rPr>
            </w:pPr>
            <w:r>
              <w:rPr>
                <w:rFonts w:hint="eastAsia" w:hAnsi="宋体" w:eastAsia="仿宋_GB2312"/>
                <w:color w:val="000000"/>
                <w:sz w:val="32"/>
                <w:szCs w:val="36"/>
              </w:rPr>
              <w:t>年产9000万只荧光棒生产线建设项目</w:t>
            </w:r>
          </w:p>
        </w:tc>
      </w:tr>
      <w:tr w14:paraId="746A238D">
        <w:tblPrEx>
          <w:tblCellMar>
            <w:top w:w="0" w:type="dxa"/>
            <w:left w:w="108" w:type="dxa"/>
            <w:bottom w:w="0" w:type="dxa"/>
            <w:right w:w="108" w:type="dxa"/>
          </w:tblCellMar>
        </w:tblPrEx>
        <w:trPr>
          <w:jc w:val="center"/>
        </w:trPr>
        <w:tc>
          <w:tcPr>
            <w:tcW w:w="2765" w:type="dxa"/>
            <w:noWrap w:val="0"/>
            <w:vAlign w:val="top"/>
          </w:tcPr>
          <w:p w14:paraId="5CB6D617">
            <w:pPr>
              <w:spacing w:before="93" w:beforeLines="30" w:line="276" w:lineRule="auto"/>
              <w:jc w:val="center"/>
              <w:rPr>
                <w:rFonts w:hint="eastAsia" w:hAnsi="宋体" w:eastAsia="仿宋_GB2312"/>
                <w:color w:val="000000"/>
                <w:sz w:val="32"/>
                <w:szCs w:val="36"/>
              </w:rPr>
            </w:pPr>
            <w:r>
              <w:rPr>
                <w:rFonts w:hAnsi="宋体" w:eastAsia="仿宋_GB2312"/>
                <w:color w:val="000000"/>
                <w:sz w:val="32"/>
                <w:szCs w:val="36"/>
              </w:rPr>
              <w:t>建设单位（盖章）</w:t>
            </w:r>
            <w:r>
              <w:rPr>
                <w:rFonts w:hint="eastAsia" w:hAnsi="宋体" w:eastAsia="仿宋_GB2312"/>
                <w:color w:val="000000"/>
                <w:sz w:val="32"/>
                <w:szCs w:val="36"/>
              </w:rPr>
              <w:t>：</w:t>
            </w:r>
          </w:p>
        </w:tc>
        <w:tc>
          <w:tcPr>
            <w:tcW w:w="5683" w:type="dxa"/>
            <w:tcBorders>
              <w:top w:val="single" w:color="auto" w:sz="4" w:space="0"/>
              <w:bottom w:val="single" w:color="auto" w:sz="4" w:space="0"/>
            </w:tcBorders>
            <w:noWrap w:val="0"/>
            <w:vAlign w:val="top"/>
          </w:tcPr>
          <w:p w14:paraId="4E1A2343">
            <w:pPr>
              <w:spacing w:before="93" w:beforeLines="30" w:line="276" w:lineRule="auto"/>
              <w:jc w:val="center"/>
              <w:rPr>
                <w:rFonts w:hint="eastAsia" w:hAnsi="宋体" w:eastAsia="仿宋_GB2312"/>
                <w:color w:val="000000"/>
                <w:sz w:val="32"/>
                <w:szCs w:val="36"/>
              </w:rPr>
            </w:pPr>
            <w:r>
              <w:rPr>
                <w:rFonts w:hint="eastAsia" w:hAnsi="宋体" w:eastAsia="仿宋_GB2312"/>
                <w:color w:val="000000"/>
                <w:sz w:val="32"/>
                <w:szCs w:val="36"/>
              </w:rPr>
              <w:t>淮南市梦趣玩具有限公司</w:t>
            </w:r>
          </w:p>
        </w:tc>
      </w:tr>
      <w:tr w14:paraId="6C7FC331">
        <w:tblPrEx>
          <w:tblCellMar>
            <w:top w:w="0" w:type="dxa"/>
            <w:left w:w="108" w:type="dxa"/>
            <w:bottom w:w="0" w:type="dxa"/>
            <w:right w:w="108" w:type="dxa"/>
          </w:tblCellMar>
        </w:tblPrEx>
        <w:trPr>
          <w:jc w:val="center"/>
        </w:trPr>
        <w:tc>
          <w:tcPr>
            <w:tcW w:w="2765" w:type="dxa"/>
            <w:noWrap w:val="0"/>
            <w:vAlign w:val="top"/>
          </w:tcPr>
          <w:p w14:paraId="7514B0C5">
            <w:pPr>
              <w:spacing w:before="93" w:beforeLines="30" w:line="220" w:lineRule="atLeast"/>
              <w:jc w:val="left"/>
              <w:rPr>
                <w:rFonts w:ascii="黑体" w:hAnsi="黑体" w:eastAsia="黑体"/>
                <w:color w:val="000000"/>
                <w:sz w:val="32"/>
                <w:szCs w:val="20"/>
              </w:rPr>
            </w:pPr>
            <w:r>
              <w:rPr>
                <w:rFonts w:hint="eastAsia" w:hAnsi="宋体" w:eastAsia="仿宋_GB2312"/>
                <w:color w:val="000000"/>
                <w:sz w:val="32"/>
                <w:szCs w:val="36"/>
              </w:rPr>
              <w:t>编制日期：</w:t>
            </w:r>
          </w:p>
        </w:tc>
        <w:tc>
          <w:tcPr>
            <w:tcW w:w="5683" w:type="dxa"/>
            <w:tcBorders>
              <w:top w:val="single" w:color="auto" w:sz="4" w:space="0"/>
              <w:bottom w:val="single" w:color="auto" w:sz="4" w:space="0"/>
            </w:tcBorders>
            <w:noWrap w:val="0"/>
            <w:vAlign w:val="top"/>
          </w:tcPr>
          <w:p w14:paraId="1F8D9DD1">
            <w:pPr>
              <w:spacing w:before="93" w:beforeLines="30" w:line="276" w:lineRule="auto"/>
              <w:jc w:val="center"/>
              <w:rPr>
                <w:rFonts w:ascii="黑体" w:hAnsi="黑体" w:eastAsia="黑体"/>
                <w:color w:val="000000"/>
                <w:sz w:val="32"/>
                <w:szCs w:val="20"/>
              </w:rPr>
            </w:pPr>
            <w:r>
              <w:rPr>
                <w:rFonts w:hAnsi="宋体" w:eastAsia="仿宋_GB2312"/>
                <w:color w:val="000000"/>
                <w:sz w:val="32"/>
                <w:szCs w:val="36"/>
              </w:rPr>
              <w:t>202</w:t>
            </w:r>
            <w:r>
              <w:rPr>
                <w:rFonts w:hint="eastAsia" w:hAnsi="宋体" w:eastAsia="仿宋_GB2312"/>
                <w:color w:val="000000"/>
                <w:sz w:val="32"/>
                <w:szCs w:val="36"/>
              </w:rPr>
              <w:t>3</w:t>
            </w:r>
            <w:r>
              <w:rPr>
                <w:rFonts w:hAnsi="宋体" w:eastAsia="仿宋_GB2312"/>
                <w:color w:val="000000"/>
                <w:sz w:val="32"/>
                <w:szCs w:val="36"/>
              </w:rPr>
              <w:t>年</w:t>
            </w:r>
            <w:r>
              <w:rPr>
                <w:rFonts w:hint="eastAsia" w:hAnsi="宋体" w:eastAsia="仿宋_GB2312"/>
                <w:color w:val="000000"/>
                <w:sz w:val="32"/>
                <w:szCs w:val="36"/>
              </w:rPr>
              <w:t>11</w:t>
            </w:r>
            <w:r>
              <w:rPr>
                <w:rFonts w:hAnsi="宋体" w:eastAsia="仿宋_GB2312"/>
                <w:color w:val="000000"/>
                <w:sz w:val="32"/>
                <w:szCs w:val="36"/>
              </w:rPr>
              <w:t>月</w:t>
            </w:r>
          </w:p>
        </w:tc>
      </w:tr>
      <w:tr w14:paraId="5FB171DF">
        <w:tblPrEx>
          <w:tblCellMar>
            <w:top w:w="0" w:type="dxa"/>
            <w:left w:w="108" w:type="dxa"/>
            <w:bottom w:w="0" w:type="dxa"/>
            <w:right w:w="108" w:type="dxa"/>
          </w:tblCellMar>
        </w:tblPrEx>
        <w:trPr>
          <w:jc w:val="center"/>
        </w:trPr>
        <w:tc>
          <w:tcPr>
            <w:tcW w:w="2765" w:type="dxa"/>
            <w:noWrap w:val="0"/>
            <w:vAlign w:val="top"/>
          </w:tcPr>
          <w:p w14:paraId="6AA7874F">
            <w:pPr>
              <w:spacing w:line="220" w:lineRule="atLeast"/>
              <w:jc w:val="right"/>
              <w:rPr>
                <w:rFonts w:hint="eastAsia" w:ascii="黑体" w:hAnsi="黑体" w:eastAsia="黑体"/>
                <w:color w:val="000000"/>
                <w:sz w:val="32"/>
                <w:szCs w:val="32"/>
              </w:rPr>
            </w:pPr>
          </w:p>
        </w:tc>
        <w:tc>
          <w:tcPr>
            <w:tcW w:w="5683" w:type="dxa"/>
            <w:tcBorders>
              <w:top w:val="single" w:color="auto" w:sz="4" w:space="0"/>
            </w:tcBorders>
            <w:noWrap w:val="0"/>
            <w:vAlign w:val="top"/>
          </w:tcPr>
          <w:p w14:paraId="1ABF8813">
            <w:pPr>
              <w:spacing w:line="220" w:lineRule="atLeast"/>
              <w:rPr>
                <w:rFonts w:ascii="黑体" w:hAnsi="黑体" w:eastAsia="黑体"/>
                <w:color w:val="000000"/>
                <w:sz w:val="32"/>
                <w:szCs w:val="32"/>
              </w:rPr>
            </w:pPr>
          </w:p>
        </w:tc>
      </w:tr>
      <w:bookmarkEnd w:id="1"/>
    </w:tbl>
    <w:p w14:paraId="5EF7BA17">
      <w:pPr>
        <w:adjustRightInd w:val="0"/>
        <w:snapToGrid w:val="0"/>
        <w:spacing w:line="288" w:lineRule="auto"/>
        <w:ind w:firstLine="1040"/>
        <w:rPr>
          <w:rFonts w:eastAsia="仿宋_GB2312"/>
          <w:sz w:val="36"/>
          <w:szCs w:val="36"/>
        </w:rPr>
      </w:pPr>
    </w:p>
    <w:p w14:paraId="6B33461F">
      <w:pPr>
        <w:adjustRightInd w:val="0"/>
        <w:snapToGrid w:val="0"/>
        <w:spacing w:line="288" w:lineRule="auto"/>
        <w:ind w:firstLine="1040"/>
        <w:rPr>
          <w:rFonts w:eastAsia="仿宋_GB2312"/>
          <w:sz w:val="36"/>
          <w:szCs w:val="36"/>
        </w:rPr>
      </w:pPr>
    </w:p>
    <w:p w14:paraId="1FBEEE51">
      <w:pPr>
        <w:adjustRightInd w:val="0"/>
        <w:snapToGrid w:val="0"/>
        <w:spacing w:line="288" w:lineRule="auto"/>
        <w:ind w:firstLine="1040"/>
        <w:rPr>
          <w:rFonts w:eastAsia="仿宋_GB2312"/>
          <w:sz w:val="36"/>
          <w:szCs w:val="36"/>
        </w:rPr>
      </w:pPr>
    </w:p>
    <w:p w14:paraId="38478E7C">
      <w:pPr>
        <w:adjustRightInd w:val="0"/>
        <w:snapToGrid w:val="0"/>
        <w:spacing w:line="288" w:lineRule="auto"/>
        <w:ind w:firstLine="1040"/>
        <w:rPr>
          <w:rFonts w:eastAsia="仿宋_GB2312"/>
          <w:sz w:val="36"/>
          <w:szCs w:val="36"/>
        </w:rPr>
      </w:pPr>
    </w:p>
    <w:p w14:paraId="452ED592">
      <w:pPr>
        <w:adjustRightInd w:val="0"/>
        <w:snapToGrid w:val="0"/>
        <w:spacing w:line="288" w:lineRule="auto"/>
        <w:jc w:val="center"/>
        <w:rPr>
          <w:rFonts w:hint="eastAsia" w:ascii="楷体" w:hAnsi="楷体" w:eastAsia="楷体"/>
          <w:sz w:val="36"/>
          <w:szCs w:val="36"/>
        </w:rPr>
      </w:pPr>
      <w:r>
        <w:rPr>
          <w:rFonts w:hint="eastAsia" w:ascii="楷体" w:hAnsi="楷体" w:eastAsia="楷体"/>
          <w:sz w:val="36"/>
          <w:szCs w:val="36"/>
        </w:rPr>
        <w:t>中华人民共和国生态环境部制</w:t>
      </w:r>
    </w:p>
    <w:p w14:paraId="571146BF">
      <w:pPr>
        <w:rPr>
          <w:rFonts w:hint="eastAsia" w:eastAsia="宋体"/>
          <w:b/>
          <w:color w:val="000000"/>
          <w:sz w:val="24"/>
          <w:szCs w:val="20"/>
        </w:rPr>
      </w:pPr>
    </w:p>
    <w:p w14:paraId="57FBAD90">
      <w:pPr>
        <w:widowControl/>
        <w:jc w:val="center"/>
        <w:outlineLvl w:val="0"/>
        <w:rPr>
          <w:rFonts w:ascii="宋体" w:hAnsi="宋体"/>
          <w:b/>
          <w:bCs/>
          <w:kern w:val="0"/>
          <w:sz w:val="30"/>
          <w:szCs w:val="30"/>
        </w:rPr>
        <w:sectPr>
          <w:headerReference r:id="rId3" w:type="default"/>
          <w:footerReference r:id="rId5" w:type="default"/>
          <w:headerReference r:id="rId4" w:type="even"/>
          <w:footerReference r:id="rId6" w:type="even"/>
          <w:pgSz w:w="11906" w:h="16838"/>
          <w:pgMar w:top="1440" w:right="1508" w:bottom="1440" w:left="1797" w:header="851" w:footer="992" w:gutter="0"/>
          <w:cols w:space="720" w:num="1"/>
          <w:docGrid w:type="lines" w:linePitch="312" w:charSpace="0"/>
        </w:sectPr>
      </w:pPr>
    </w:p>
    <w:p w14:paraId="3F308414">
      <w:pPr>
        <w:widowControl/>
        <w:jc w:val="center"/>
        <w:outlineLvl w:val="0"/>
        <w:rPr>
          <w:rFonts w:ascii="宋体" w:hAnsi="宋体"/>
          <w:b/>
          <w:kern w:val="0"/>
          <w:sz w:val="30"/>
          <w:szCs w:val="30"/>
        </w:rPr>
      </w:pPr>
      <w:r>
        <w:rPr>
          <w:rFonts w:ascii="宋体" w:hAnsi="宋体"/>
          <w:b/>
          <w:bCs/>
          <w:kern w:val="0"/>
          <w:sz w:val="30"/>
          <w:szCs w:val="30"/>
        </w:rPr>
        <w:t>一</w:t>
      </w:r>
      <w:r>
        <w:rPr>
          <w:rFonts w:hint="eastAsia" w:ascii="宋体" w:hAnsi="宋体"/>
          <w:b/>
          <w:bCs/>
          <w:kern w:val="0"/>
          <w:sz w:val="30"/>
          <w:szCs w:val="30"/>
        </w:rPr>
        <w:t>、</w:t>
      </w:r>
      <w:r>
        <w:rPr>
          <w:rFonts w:ascii="宋体" w:hAnsi="宋体"/>
          <w:b/>
          <w:bCs/>
          <w:kern w:val="0"/>
          <w:sz w:val="30"/>
          <w:szCs w:val="30"/>
        </w:rPr>
        <w:t>建设项目</w:t>
      </w:r>
      <w:r>
        <w:rPr>
          <w:rFonts w:ascii="宋体" w:hAnsi="宋体"/>
          <w:b/>
          <w:kern w:val="0"/>
          <w:sz w:val="30"/>
          <w:szCs w:val="30"/>
        </w:rPr>
        <w:t>基本情况</w:t>
      </w:r>
      <w:bookmarkEnd w:id="0"/>
    </w:p>
    <w:tbl>
      <w:tblPr>
        <w:tblStyle w:val="34"/>
        <w:tblW w:w="505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
        <w:gridCol w:w="411"/>
        <w:gridCol w:w="1761"/>
        <w:gridCol w:w="1742"/>
        <w:gridCol w:w="204"/>
        <w:gridCol w:w="1913"/>
        <w:gridCol w:w="2649"/>
      </w:tblGrid>
      <w:tr w14:paraId="6F1B0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496" w:hRule="atLeast"/>
          <w:jc w:val="center"/>
        </w:trPr>
        <w:tc>
          <w:tcPr>
            <w:tcW w:w="1245" w:type="pct"/>
            <w:gridSpan w:val="2"/>
            <w:tcMar>
              <w:top w:w="16" w:type="dxa"/>
              <w:left w:w="16" w:type="dxa"/>
              <w:right w:w="16" w:type="dxa"/>
            </w:tcMar>
            <w:vAlign w:val="center"/>
          </w:tcPr>
          <w:p w14:paraId="7A193ED2">
            <w:pPr>
              <w:adjustRightInd w:val="0"/>
              <w:snapToGrid w:val="0"/>
              <w:jc w:val="center"/>
              <w:rPr>
                <w:rFonts w:ascii="宋体" w:hAnsi="宋体" w:cs="宋体"/>
                <w:sz w:val="24"/>
                <w:szCs w:val="24"/>
              </w:rPr>
            </w:pPr>
            <w:r>
              <w:rPr>
                <w:rFonts w:hint="eastAsia" w:ascii="宋体" w:hAnsi="宋体" w:cs="宋体"/>
                <w:sz w:val="24"/>
                <w:szCs w:val="24"/>
              </w:rPr>
              <w:t>建设项目名称</w:t>
            </w:r>
          </w:p>
        </w:tc>
        <w:tc>
          <w:tcPr>
            <w:tcW w:w="3730" w:type="pct"/>
            <w:gridSpan w:val="4"/>
            <w:vAlign w:val="center"/>
          </w:tcPr>
          <w:p w14:paraId="5580D112">
            <w:pPr>
              <w:adjustRightInd w:val="0"/>
              <w:snapToGrid w:val="0"/>
              <w:jc w:val="center"/>
              <w:rPr>
                <w:rFonts w:ascii="宋体" w:hAnsi="宋体" w:cs="宋体"/>
                <w:sz w:val="24"/>
                <w:szCs w:val="24"/>
              </w:rPr>
            </w:pPr>
            <w:r>
              <w:rPr>
                <w:rFonts w:hint="eastAsia"/>
                <w:sz w:val="24"/>
                <w:szCs w:val="24"/>
              </w:rPr>
              <w:t>年产9000万只荧光棒生产线建设项目</w:t>
            </w:r>
          </w:p>
        </w:tc>
      </w:tr>
      <w:tr w14:paraId="62640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496" w:hRule="atLeast"/>
          <w:jc w:val="center"/>
        </w:trPr>
        <w:tc>
          <w:tcPr>
            <w:tcW w:w="1245" w:type="pct"/>
            <w:gridSpan w:val="2"/>
            <w:tcMar>
              <w:top w:w="16" w:type="dxa"/>
              <w:left w:w="16" w:type="dxa"/>
              <w:right w:w="16" w:type="dxa"/>
            </w:tcMar>
            <w:vAlign w:val="center"/>
          </w:tcPr>
          <w:p w14:paraId="43F3B15B">
            <w:pPr>
              <w:adjustRightInd w:val="0"/>
              <w:snapToGrid w:val="0"/>
              <w:jc w:val="center"/>
              <w:rPr>
                <w:rFonts w:ascii="宋体" w:hAnsi="宋体" w:cs="宋体"/>
                <w:sz w:val="24"/>
                <w:szCs w:val="24"/>
              </w:rPr>
            </w:pPr>
            <w:r>
              <w:rPr>
                <w:rFonts w:hint="eastAsia" w:ascii="宋体" w:hAnsi="宋体" w:cs="宋体"/>
                <w:sz w:val="24"/>
                <w:szCs w:val="24"/>
              </w:rPr>
              <w:t>项目代码</w:t>
            </w:r>
          </w:p>
        </w:tc>
        <w:tc>
          <w:tcPr>
            <w:tcW w:w="3730" w:type="pct"/>
            <w:gridSpan w:val="4"/>
            <w:vAlign w:val="center"/>
          </w:tcPr>
          <w:p w14:paraId="6F7464C4">
            <w:pPr>
              <w:adjustRightInd w:val="0"/>
              <w:snapToGrid w:val="0"/>
              <w:jc w:val="center"/>
              <w:rPr>
                <w:rFonts w:ascii="宋体" w:hAnsi="宋体" w:cs="宋体"/>
                <w:sz w:val="24"/>
                <w:szCs w:val="24"/>
              </w:rPr>
            </w:pPr>
            <w:r>
              <w:rPr>
                <w:rFonts w:hint="eastAsia"/>
                <w:sz w:val="24"/>
                <w:szCs w:val="24"/>
              </w:rPr>
              <w:t>2020-340407-88-03-031706</w:t>
            </w:r>
          </w:p>
        </w:tc>
      </w:tr>
      <w:tr w14:paraId="7E93B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496" w:hRule="atLeast"/>
          <w:jc w:val="center"/>
        </w:trPr>
        <w:tc>
          <w:tcPr>
            <w:tcW w:w="1245" w:type="pct"/>
            <w:gridSpan w:val="2"/>
            <w:tcMar>
              <w:top w:w="16" w:type="dxa"/>
              <w:left w:w="16" w:type="dxa"/>
              <w:right w:w="16" w:type="dxa"/>
            </w:tcMar>
            <w:vAlign w:val="center"/>
          </w:tcPr>
          <w:p w14:paraId="5CD3F60F">
            <w:pPr>
              <w:adjustRightInd w:val="0"/>
              <w:snapToGrid w:val="0"/>
              <w:jc w:val="center"/>
              <w:rPr>
                <w:rFonts w:ascii="宋体" w:hAnsi="宋体" w:cs="宋体"/>
                <w:sz w:val="24"/>
                <w:szCs w:val="24"/>
              </w:rPr>
            </w:pPr>
            <w:r>
              <w:rPr>
                <w:rFonts w:hint="eastAsia" w:ascii="宋体" w:hAnsi="宋体" w:cs="宋体"/>
                <w:sz w:val="24"/>
                <w:szCs w:val="24"/>
              </w:rPr>
              <w:t>建设单位联系人</w:t>
            </w:r>
          </w:p>
        </w:tc>
        <w:tc>
          <w:tcPr>
            <w:tcW w:w="998" w:type="pct"/>
            <w:vAlign w:val="center"/>
          </w:tcPr>
          <w:p w14:paraId="398DA857">
            <w:pPr>
              <w:adjustRightInd w:val="0"/>
              <w:snapToGrid w:val="0"/>
              <w:jc w:val="center"/>
              <w:rPr>
                <w:rFonts w:ascii="宋体" w:hAnsi="宋体" w:cs="宋体"/>
                <w:sz w:val="24"/>
                <w:szCs w:val="24"/>
              </w:rPr>
            </w:pPr>
            <w:r>
              <w:fldChar w:fldCharType="begin"/>
            </w:r>
            <w:r>
              <w:instrText xml:space="preserve"> HYPERLINK "https://aiqicha.baidu.com/person?personId=05428dc2ec021c0185b47012d1d29123&amp;entry=2115" \t "_blank" </w:instrText>
            </w:r>
            <w:r>
              <w:fldChar w:fldCharType="separate"/>
            </w:r>
            <w:r>
              <w:rPr>
                <w:rStyle w:val="44"/>
                <w:rFonts w:ascii="宋体" w:hAnsi="宋体" w:cs="宋体"/>
                <w:color w:val="auto"/>
                <w:sz w:val="24"/>
                <w:szCs w:val="24"/>
              </w:rPr>
              <w:t>殷建波</w:t>
            </w:r>
            <w:r>
              <w:rPr>
                <w:rStyle w:val="44"/>
                <w:rFonts w:ascii="宋体" w:hAnsi="宋体" w:cs="宋体"/>
                <w:color w:val="auto"/>
                <w:sz w:val="24"/>
                <w:szCs w:val="24"/>
              </w:rPr>
              <w:fldChar w:fldCharType="end"/>
            </w:r>
          </w:p>
        </w:tc>
        <w:tc>
          <w:tcPr>
            <w:tcW w:w="1213" w:type="pct"/>
            <w:gridSpan w:val="2"/>
            <w:vAlign w:val="center"/>
          </w:tcPr>
          <w:p w14:paraId="0D536DE0">
            <w:pPr>
              <w:adjustRightInd w:val="0"/>
              <w:snapToGrid w:val="0"/>
              <w:jc w:val="center"/>
              <w:rPr>
                <w:rFonts w:ascii="宋体" w:hAnsi="宋体" w:cs="宋体"/>
                <w:sz w:val="24"/>
                <w:szCs w:val="24"/>
              </w:rPr>
            </w:pPr>
            <w:r>
              <w:rPr>
                <w:rFonts w:hint="eastAsia" w:ascii="宋体" w:hAnsi="宋体" w:cs="宋体"/>
                <w:sz w:val="24"/>
                <w:szCs w:val="24"/>
              </w:rPr>
              <w:t>联系方式</w:t>
            </w:r>
          </w:p>
        </w:tc>
        <w:tc>
          <w:tcPr>
            <w:tcW w:w="1518" w:type="pct"/>
            <w:vAlign w:val="center"/>
          </w:tcPr>
          <w:p w14:paraId="6AD75197">
            <w:pPr>
              <w:adjustRightInd w:val="0"/>
              <w:snapToGrid w:val="0"/>
              <w:jc w:val="center"/>
              <w:rPr>
                <w:rFonts w:ascii="宋体" w:hAnsi="宋体" w:cs="宋体"/>
                <w:sz w:val="24"/>
                <w:szCs w:val="24"/>
              </w:rPr>
            </w:pPr>
            <w:r>
              <w:rPr>
                <w:sz w:val="24"/>
                <w:szCs w:val="24"/>
              </w:rPr>
              <w:t>13345548857</w:t>
            </w:r>
          </w:p>
        </w:tc>
      </w:tr>
      <w:tr w14:paraId="7AD29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496" w:hRule="atLeast"/>
          <w:jc w:val="center"/>
        </w:trPr>
        <w:tc>
          <w:tcPr>
            <w:tcW w:w="1245" w:type="pct"/>
            <w:gridSpan w:val="2"/>
            <w:tcMar>
              <w:top w:w="16" w:type="dxa"/>
              <w:left w:w="16" w:type="dxa"/>
              <w:right w:w="16" w:type="dxa"/>
            </w:tcMar>
            <w:vAlign w:val="center"/>
          </w:tcPr>
          <w:p w14:paraId="1BB57317">
            <w:pPr>
              <w:adjustRightInd w:val="0"/>
              <w:snapToGrid w:val="0"/>
              <w:jc w:val="center"/>
              <w:rPr>
                <w:rFonts w:ascii="宋体" w:hAnsi="宋体" w:cs="宋体"/>
                <w:sz w:val="24"/>
                <w:szCs w:val="24"/>
              </w:rPr>
            </w:pPr>
            <w:r>
              <w:rPr>
                <w:rFonts w:hint="eastAsia" w:ascii="宋体" w:hAnsi="宋体" w:cs="宋体"/>
                <w:sz w:val="24"/>
                <w:szCs w:val="24"/>
              </w:rPr>
              <w:t>建设地点</w:t>
            </w:r>
          </w:p>
        </w:tc>
        <w:tc>
          <w:tcPr>
            <w:tcW w:w="3730" w:type="pct"/>
            <w:gridSpan w:val="4"/>
            <w:vAlign w:val="center"/>
          </w:tcPr>
          <w:p w14:paraId="7877C13F">
            <w:pPr>
              <w:adjustRightInd w:val="0"/>
              <w:snapToGrid w:val="0"/>
              <w:jc w:val="center"/>
              <w:rPr>
                <w:rFonts w:ascii="宋体" w:hAnsi="宋体" w:cs="宋体"/>
                <w:sz w:val="24"/>
                <w:szCs w:val="24"/>
              </w:rPr>
            </w:pPr>
            <w:r>
              <w:rPr>
                <w:rFonts w:hint="eastAsia"/>
                <w:sz w:val="24"/>
              </w:rPr>
              <w:t>安徽省淮南市毛集经济开发区工业城2号楼1层和3层</w:t>
            </w:r>
          </w:p>
        </w:tc>
      </w:tr>
      <w:tr w14:paraId="12F0D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496" w:hRule="atLeast"/>
          <w:jc w:val="center"/>
        </w:trPr>
        <w:tc>
          <w:tcPr>
            <w:tcW w:w="1245" w:type="pct"/>
            <w:gridSpan w:val="2"/>
            <w:tcMar>
              <w:top w:w="16" w:type="dxa"/>
              <w:left w:w="16" w:type="dxa"/>
              <w:right w:w="16" w:type="dxa"/>
            </w:tcMar>
            <w:vAlign w:val="center"/>
          </w:tcPr>
          <w:p w14:paraId="3D9C43F1">
            <w:pPr>
              <w:adjustRightInd w:val="0"/>
              <w:snapToGrid w:val="0"/>
              <w:jc w:val="center"/>
              <w:rPr>
                <w:rFonts w:ascii="宋体" w:hAnsi="宋体" w:cs="宋体"/>
                <w:sz w:val="24"/>
                <w:szCs w:val="24"/>
              </w:rPr>
            </w:pPr>
            <w:r>
              <w:rPr>
                <w:rFonts w:hint="eastAsia" w:ascii="宋体" w:hAnsi="宋体" w:cs="宋体"/>
                <w:sz w:val="24"/>
                <w:szCs w:val="24"/>
              </w:rPr>
              <w:t>地理坐标</w:t>
            </w:r>
          </w:p>
        </w:tc>
        <w:tc>
          <w:tcPr>
            <w:tcW w:w="3730" w:type="pct"/>
            <w:gridSpan w:val="4"/>
            <w:vAlign w:val="center"/>
          </w:tcPr>
          <w:p w14:paraId="733F4F9E">
            <w:pPr>
              <w:jc w:val="center"/>
              <w:rPr>
                <w:rFonts w:ascii="宋体" w:hAnsi="宋体" w:cs="宋体"/>
                <w:sz w:val="24"/>
                <w:szCs w:val="24"/>
              </w:rPr>
            </w:pPr>
            <w:r>
              <w:rPr>
                <w:rFonts w:hint="eastAsia" w:ascii="宋体" w:hAnsi="宋体" w:cs="宋体"/>
                <w:sz w:val="24"/>
                <w:szCs w:val="24"/>
              </w:rPr>
              <w:t>（</w:t>
            </w:r>
            <w:r>
              <w:rPr>
                <w:sz w:val="24"/>
                <w:szCs w:val="24"/>
                <w:u w:val="single"/>
              </w:rPr>
              <w:t>116</w:t>
            </w:r>
            <w:r>
              <w:rPr>
                <w:rFonts w:hint="eastAsia" w:ascii="宋体" w:hAnsi="宋体" w:cs="宋体"/>
                <w:sz w:val="24"/>
                <w:szCs w:val="24"/>
              </w:rPr>
              <w:t>度</w:t>
            </w:r>
            <w:r>
              <w:rPr>
                <w:rFonts w:hint="eastAsia"/>
                <w:sz w:val="24"/>
                <w:szCs w:val="24"/>
                <w:u w:val="single"/>
              </w:rPr>
              <w:t>35</w:t>
            </w:r>
            <w:r>
              <w:rPr>
                <w:rFonts w:hint="eastAsia" w:ascii="宋体" w:hAnsi="宋体" w:cs="宋体"/>
                <w:sz w:val="24"/>
                <w:szCs w:val="24"/>
              </w:rPr>
              <w:t>分</w:t>
            </w:r>
            <w:r>
              <w:rPr>
                <w:rFonts w:hint="eastAsia"/>
                <w:sz w:val="24"/>
                <w:szCs w:val="24"/>
                <w:u w:val="single"/>
              </w:rPr>
              <w:t>42.612</w:t>
            </w:r>
            <w:r>
              <w:rPr>
                <w:rFonts w:hint="eastAsia" w:ascii="宋体" w:hAnsi="宋体" w:cs="宋体"/>
                <w:sz w:val="24"/>
                <w:szCs w:val="24"/>
              </w:rPr>
              <w:t>秒，</w:t>
            </w:r>
            <w:r>
              <w:rPr>
                <w:sz w:val="24"/>
                <w:szCs w:val="24"/>
                <w:u w:val="single"/>
              </w:rPr>
              <w:t>3</w:t>
            </w:r>
            <w:r>
              <w:rPr>
                <w:rFonts w:hint="eastAsia"/>
                <w:sz w:val="24"/>
                <w:szCs w:val="24"/>
                <w:u w:val="single"/>
              </w:rPr>
              <w:t>2</w:t>
            </w:r>
            <w:r>
              <w:rPr>
                <w:rFonts w:hint="eastAsia" w:ascii="宋体" w:hAnsi="宋体" w:cs="宋体"/>
                <w:sz w:val="24"/>
                <w:szCs w:val="24"/>
              </w:rPr>
              <w:t>度</w:t>
            </w:r>
            <w:r>
              <w:rPr>
                <w:rFonts w:hint="eastAsia"/>
                <w:sz w:val="24"/>
                <w:szCs w:val="24"/>
                <w:u w:val="single"/>
              </w:rPr>
              <w:t>39</w:t>
            </w:r>
            <w:r>
              <w:rPr>
                <w:rFonts w:hint="eastAsia" w:ascii="宋体" w:hAnsi="宋体" w:cs="宋体"/>
                <w:sz w:val="24"/>
                <w:szCs w:val="24"/>
              </w:rPr>
              <w:t>分</w:t>
            </w:r>
            <w:r>
              <w:rPr>
                <w:rFonts w:hint="eastAsia"/>
                <w:sz w:val="24"/>
                <w:szCs w:val="24"/>
                <w:u w:val="single"/>
              </w:rPr>
              <w:t>34.417</w:t>
            </w:r>
            <w:r>
              <w:rPr>
                <w:rFonts w:hint="eastAsia" w:ascii="宋体" w:hAnsi="宋体" w:cs="宋体"/>
                <w:sz w:val="24"/>
                <w:szCs w:val="24"/>
              </w:rPr>
              <w:t>秒）</w:t>
            </w:r>
          </w:p>
        </w:tc>
      </w:tr>
      <w:tr w14:paraId="3C33B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560" w:hRule="atLeast"/>
          <w:jc w:val="center"/>
        </w:trPr>
        <w:tc>
          <w:tcPr>
            <w:tcW w:w="1245" w:type="pct"/>
            <w:gridSpan w:val="2"/>
            <w:tcMar>
              <w:top w:w="16" w:type="dxa"/>
              <w:left w:w="16" w:type="dxa"/>
              <w:right w:w="16" w:type="dxa"/>
            </w:tcMar>
            <w:vAlign w:val="center"/>
          </w:tcPr>
          <w:p w14:paraId="6E7C3757">
            <w:pPr>
              <w:adjustRightInd w:val="0"/>
              <w:snapToGrid w:val="0"/>
              <w:jc w:val="center"/>
              <w:rPr>
                <w:sz w:val="24"/>
                <w:szCs w:val="24"/>
              </w:rPr>
            </w:pPr>
            <w:r>
              <w:rPr>
                <w:rFonts w:hAnsi="宋体"/>
                <w:sz w:val="24"/>
                <w:szCs w:val="24"/>
              </w:rPr>
              <w:t>国民经济</w:t>
            </w:r>
          </w:p>
          <w:p w14:paraId="53863FAD">
            <w:pPr>
              <w:adjustRightInd w:val="0"/>
              <w:snapToGrid w:val="0"/>
              <w:jc w:val="center"/>
              <w:rPr>
                <w:sz w:val="24"/>
                <w:szCs w:val="24"/>
              </w:rPr>
            </w:pPr>
            <w:r>
              <w:rPr>
                <w:rFonts w:hAnsi="宋体"/>
                <w:sz w:val="24"/>
                <w:szCs w:val="24"/>
              </w:rPr>
              <w:t>行业类别</w:t>
            </w:r>
          </w:p>
        </w:tc>
        <w:tc>
          <w:tcPr>
            <w:tcW w:w="1115" w:type="pct"/>
            <w:gridSpan w:val="2"/>
            <w:vAlign w:val="center"/>
          </w:tcPr>
          <w:p w14:paraId="398A7B6D">
            <w:pPr>
              <w:adjustRightInd w:val="0"/>
              <w:snapToGrid w:val="0"/>
              <w:jc w:val="center"/>
              <w:rPr>
                <w:sz w:val="24"/>
              </w:rPr>
            </w:pPr>
            <w:r>
              <w:rPr>
                <w:rFonts w:hint="eastAsia"/>
                <w:sz w:val="24"/>
                <w:szCs w:val="24"/>
              </w:rPr>
              <w:t>C2459其他玩具制造</w:t>
            </w:r>
          </w:p>
        </w:tc>
        <w:tc>
          <w:tcPr>
            <w:tcW w:w="1096" w:type="pct"/>
            <w:vAlign w:val="center"/>
          </w:tcPr>
          <w:p w14:paraId="3BE5A914">
            <w:pPr>
              <w:adjustRightInd w:val="0"/>
              <w:snapToGrid w:val="0"/>
              <w:jc w:val="center"/>
              <w:rPr>
                <w:sz w:val="24"/>
                <w:szCs w:val="24"/>
              </w:rPr>
            </w:pPr>
            <w:bookmarkStart w:id="2" w:name="_Hlk49843745"/>
            <w:r>
              <w:rPr>
                <w:rFonts w:hAnsi="宋体"/>
                <w:sz w:val="24"/>
                <w:szCs w:val="24"/>
              </w:rPr>
              <w:t>建设项目</w:t>
            </w:r>
          </w:p>
          <w:p w14:paraId="1A138487">
            <w:pPr>
              <w:adjustRightInd w:val="0"/>
              <w:snapToGrid w:val="0"/>
              <w:jc w:val="center"/>
              <w:rPr>
                <w:sz w:val="24"/>
                <w:szCs w:val="24"/>
              </w:rPr>
            </w:pPr>
            <w:r>
              <w:rPr>
                <w:rFonts w:hAnsi="宋体"/>
                <w:sz w:val="24"/>
                <w:szCs w:val="24"/>
              </w:rPr>
              <w:t>行业类别</w:t>
            </w:r>
            <w:bookmarkEnd w:id="2"/>
          </w:p>
        </w:tc>
        <w:tc>
          <w:tcPr>
            <w:tcW w:w="1518" w:type="pct"/>
            <w:vAlign w:val="center"/>
          </w:tcPr>
          <w:p w14:paraId="487F8C6A">
            <w:pPr>
              <w:adjustRightInd w:val="0"/>
              <w:snapToGrid w:val="0"/>
              <w:jc w:val="center"/>
              <w:rPr>
                <w:sz w:val="24"/>
                <w:szCs w:val="24"/>
              </w:rPr>
            </w:pPr>
            <w:r>
              <w:rPr>
                <w:rFonts w:hint="eastAsia"/>
                <w:sz w:val="24"/>
                <w:szCs w:val="24"/>
              </w:rPr>
              <w:t>二十一、</w:t>
            </w:r>
            <w:r>
              <w:rPr>
                <w:sz w:val="24"/>
                <w:szCs w:val="24"/>
              </w:rPr>
              <w:t>文教、工美、体育和娱乐用品制造业</w:t>
            </w:r>
            <w:r>
              <w:rPr>
                <w:rFonts w:hint="eastAsia"/>
                <w:sz w:val="24"/>
                <w:szCs w:val="24"/>
              </w:rPr>
              <w:t xml:space="preserve"> 24 </w:t>
            </w:r>
            <w:r>
              <w:rPr>
                <w:sz w:val="24"/>
                <w:szCs w:val="24"/>
              </w:rPr>
              <w:t>玩具制造245</w:t>
            </w:r>
            <w:r>
              <w:rPr>
                <w:rFonts w:hint="eastAsia"/>
                <w:sz w:val="24"/>
                <w:szCs w:val="24"/>
              </w:rPr>
              <w:t>*</w:t>
            </w:r>
          </w:p>
        </w:tc>
      </w:tr>
      <w:tr w14:paraId="4B419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1216" w:hRule="atLeast"/>
          <w:jc w:val="center"/>
        </w:trPr>
        <w:tc>
          <w:tcPr>
            <w:tcW w:w="1245" w:type="pct"/>
            <w:gridSpan w:val="2"/>
            <w:tcMar>
              <w:top w:w="16" w:type="dxa"/>
              <w:left w:w="16" w:type="dxa"/>
              <w:right w:w="16" w:type="dxa"/>
            </w:tcMar>
            <w:vAlign w:val="center"/>
          </w:tcPr>
          <w:p w14:paraId="5783C9D4">
            <w:pPr>
              <w:adjustRightInd w:val="0"/>
              <w:snapToGrid w:val="0"/>
              <w:jc w:val="center"/>
              <w:rPr>
                <w:rFonts w:ascii="宋体" w:hAnsi="宋体" w:cs="宋体"/>
                <w:sz w:val="24"/>
                <w:szCs w:val="24"/>
              </w:rPr>
            </w:pPr>
            <w:r>
              <w:rPr>
                <w:rFonts w:hint="eastAsia" w:ascii="宋体" w:hAnsi="宋体" w:cs="宋体"/>
                <w:sz w:val="24"/>
                <w:szCs w:val="24"/>
              </w:rPr>
              <w:t>建设性质</w:t>
            </w:r>
          </w:p>
        </w:tc>
        <w:tc>
          <w:tcPr>
            <w:tcW w:w="1115" w:type="pct"/>
            <w:gridSpan w:val="2"/>
            <w:vAlign w:val="center"/>
          </w:tcPr>
          <w:p w14:paraId="0A14E834">
            <w:pPr>
              <w:jc w:val="left"/>
              <w:rPr>
                <w:rFonts w:ascii="宋体" w:hAnsi="宋体" w:cs="宋体"/>
                <w:sz w:val="24"/>
                <w:szCs w:val="24"/>
              </w:rPr>
            </w:pPr>
            <w:r>
              <w:rPr>
                <w:rFonts w:hint="eastAsia" w:ascii="宋体" w:hAnsi="宋体" w:cs="宋体"/>
                <w:sz w:val="24"/>
                <w:szCs w:val="24"/>
              </w:rPr>
              <w:sym w:font="Wingdings 2" w:char="F052"/>
            </w:r>
            <w:r>
              <w:rPr>
                <w:rFonts w:hint="eastAsia" w:ascii="宋体" w:hAnsi="宋体" w:cs="宋体"/>
                <w:sz w:val="24"/>
                <w:szCs w:val="24"/>
              </w:rPr>
              <w:t>新建（迁建）</w:t>
            </w:r>
          </w:p>
          <w:p w14:paraId="61689F94">
            <w:pPr>
              <w:jc w:val="left"/>
              <w:rPr>
                <w:rFonts w:ascii="宋体" w:hAnsi="宋体" w:cs="宋体"/>
                <w:sz w:val="24"/>
                <w:szCs w:val="24"/>
              </w:rPr>
            </w:pPr>
            <w:r>
              <w:rPr>
                <w:rFonts w:hint="eastAsia" w:ascii="宋体" w:hAnsi="宋体" w:cs="宋体"/>
                <w:sz w:val="24"/>
                <w:szCs w:val="24"/>
              </w:rPr>
              <w:t>□改建</w:t>
            </w:r>
          </w:p>
          <w:p w14:paraId="6FA84E28">
            <w:pPr>
              <w:jc w:val="left"/>
              <w:rPr>
                <w:rFonts w:ascii="宋体" w:hAnsi="宋体" w:cs="宋体"/>
                <w:sz w:val="24"/>
                <w:szCs w:val="24"/>
              </w:rPr>
            </w:pPr>
            <w:r>
              <w:rPr>
                <w:rFonts w:hint="eastAsia" w:ascii="宋体" w:hAnsi="宋体" w:cs="宋体"/>
                <w:sz w:val="24"/>
                <w:szCs w:val="24"/>
              </w:rPr>
              <w:t>□扩建</w:t>
            </w:r>
          </w:p>
          <w:p w14:paraId="767F518D">
            <w:pPr>
              <w:jc w:val="left"/>
              <w:rPr>
                <w:rFonts w:ascii="宋体" w:hAnsi="宋体" w:cs="宋体"/>
                <w:sz w:val="24"/>
                <w:szCs w:val="24"/>
              </w:rPr>
            </w:pPr>
            <w:r>
              <w:rPr>
                <w:rFonts w:hint="eastAsia" w:ascii="宋体" w:hAnsi="宋体" w:cs="宋体"/>
                <w:sz w:val="24"/>
                <w:szCs w:val="24"/>
              </w:rPr>
              <w:t>□技术改造</w:t>
            </w:r>
          </w:p>
        </w:tc>
        <w:tc>
          <w:tcPr>
            <w:tcW w:w="1096" w:type="pct"/>
            <w:vAlign w:val="center"/>
          </w:tcPr>
          <w:p w14:paraId="737BD71C">
            <w:pPr>
              <w:adjustRightInd w:val="0"/>
              <w:snapToGrid w:val="0"/>
              <w:jc w:val="center"/>
              <w:rPr>
                <w:rFonts w:ascii="宋体" w:hAnsi="宋体" w:cs="宋体"/>
                <w:sz w:val="24"/>
                <w:szCs w:val="24"/>
              </w:rPr>
            </w:pPr>
            <w:r>
              <w:rPr>
                <w:rFonts w:hint="eastAsia" w:ascii="宋体" w:hAnsi="宋体" w:cs="宋体"/>
                <w:sz w:val="24"/>
                <w:szCs w:val="24"/>
              </w:rPr>
              <w:t>建设项目</w:t>
            </w:r>
          </w:p>
          <w:p w14:paraId="215AD867">
            <w:pPr>
              <w:adjustRightInd w:val="0"/>
              <w:snapToGrid w:val="0"/>
              <w:jc w:val="center"/>
              <w:rPr>
                <w:rFonts w:ascii="宋体" w:hAnsi="宋体" w:cs="宋体"/>
                <w:sz w:val="24"/>
                <w:szCs w:val="24"/>
              </w:rPr>
            </w:pPr>
            <w:r>
              <w:rPr>
                <w:rFonts w:hint="eastAsia" w:ascii="宋体" w:hAnsi="宋体" w:cs="宋体"/>
                <w:sz w:val="24"/>
                <w:szCs w:val="24"/>
              </w:rPr>
              <w:t>申报情形</w:t>
            </w:r>
          </w:p>
        </w:tc>
        <w:tc>
          <w:tcPr>
            <w:tcW w:w="1518" w:type="pct"/>
            <w:vAlign w:val="center"/>
          </w:tcPr>
          <w:p w14:paraId="3D382FF4">
            <w:pPr>
              <w:jc w:val="left"/>
              <w:rPr>
                <w:rFonts w:ascii="宋体" w:hAnsi="宋体" w:cs="宋体"/>
                <w:sz w:val="24"/>
                <w:szCs w:val="24"/>
              </w:rPr>
            </w:pPr>
            <w:r>
              <w:rPr>
                <w:rFonts w:hint="eastAsia" w:ascii="宋体" w:hAnsi="宋体" w:cs="宋体"/>
                <w:sz w:val="24"/>
                <w:szCs w:val="24"/>
              </w:rPr>
              <w:sym w:font="Wingdings 2" w:char="F052"/>
            </w:r>
            <w:r>
              <w:rPr>
                <w:rFonts w:hint="eastAsia" w:ascii="宋体" w:hAnsi="宋体" w:cs="宋体"/>
                <w:sz w:val="24"/>
                <w:szCs w:val="24"/>
              </w:rPr>
              <w:t>首次申报项目</w:t>
            </w:r>
          </w:p>
          <w:p w14:paraId="6991F76A">
            <w:pPr>
              <w:jc w:val="left"/>
              <w:rPr>
                <w:rFonts w:ascii="宋体" w:hAnsi="宋体" w:cs="宋体"/>
                <w:sz w:val="24"/>
                <w:szCs w:val="24"/>
              </w:rPr>
            </w:pPr>
            <w:r>
              <w:rPr>
                <w:rFonts w:hint="eastAsia" w:ascii="宋体" w:hAnsi="宋体" w:cs="宋体"/>
                <w:sz w:val="24"/>
                <w:szCs w:val="24"/>
              </w:rPr>
              <w:t>□不予批准后再次申报项目</w:t>
            </w:r>
          </w:p>
          <w:p w14:paraId="65419B92">
            <w:pPr>
              <w:jc w:val="left"/>
              <w:rPr>
                <w:rFonts w:ascii="宋体" w:hAnsi="宋体" w:cs="宋体"/>
                <w:sz w:val="24"/>
                <w:szCs w:val="24"/>
              </w:rPr>
            </w:pPr>
            <w:r>
              <w:rPr>
                <w:rFonts w:hint="eastAsia" w:ascii="宋体" w:hAnsi="宋体" w:cs="宋体"/>
                <w:sz w:val="24"/>
                <w:szCs w:val="24"/>
              </w:rPr>
              <w:sym w:font="Wingdings 2" w:char="00A3"/>
            </w:r>
            <w:r>
              <w:rPr>
                <w:rFonts w:hint="eastAsia" w:ascii="宋体" w:hAnsi="宋体" w:cs="宋体"/>
                <w:sz w:val="24"/>
                <w:szCs w:val="24"/>
              </w:rPr>
              <w:t>超五年重新审核项目</w:t>
            </w:r>
            <w:r>
              <w:rPr>
                <w:rFonts w:ascii="宋体" w:hAnsi="宋体" w:cs="宋体"/>
                <w:sz w:val="24"/>
                <w:szCs w:val="24"/>
              </w:rPr>
              <w:t xml:space="preserve">     </w:t>
            </w:r>
          </w:p>
          <w:p w14:paraId="526D4F27">
            <w:pPr>
              <w:jc w:val="left"/>
              <w:rPr>
                <w:rFonts w:ascii="宋体" w:hAnsi="宋体" w:cs="宋体"/>
                <w:sz w:val="24"/>
                <w:szCs w:val="24"/>
              </w:rPr>
            </w:pPr>
            <w:r>
              <w:rPr>
                <w:rFonts w:hint="eastAsia" w:ascii="宋体" w:hAnsi="宋体" w:cs="宋体"/>
                <w:sz w:val="24"/>
                <w:szCs w:val="24"/>
              </w:rPr>
              <w:t>□重大变动重新报批项目</w:t>
            </w:r>
          </w:p>
        </w:tc>
      </w:tr>
      <w:tr w14:paraId="2DAE6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849" w:hRule="atLeast"/>
          <w:jc w:val="center"/>
        </w:trPr>
        <w:tc>
          <w:tcPr>
            <w:tcW w:w="1245" w:type="pct"/>
            <w:gridSpan w:val="2"/>
            <w:tcMar>
              <w:top w:w="16" w:type="dxa"/>
              <w:left w:w="16" w:type="dxa"/>
              <w:right w:w="16" w:type="dxa"/>
            </w:tcMar>
            <w:vAlign w:val="center"/>
          </w:tcPr>
          <w:p w14:paraId="46960FA5">
            <w:pPr>
              <w:adjustRightInd w:val="0"/>
              <w:snapToGrid w:val="0"/>
              <w:jc w:val="center"/>
              <w:rPr>
                <w:rFonts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14:paraId="7CD84108">
            <w:pPr>
              <w:adjustRightInd w:val="0"/>
              <w:snapToGrid w:val="0"/>
              <w:jc w:val="center"/>
              <w:rPr>
                <w:rFonts w:ascii="宋体" w:hAnsi="宋体" w:cs="宋体"/>
                <w:sz w:val="24"/>
                <w:szCs w:val="24"/>
              </w:rPr>
            </w:pPr>
            <w:r>
              <w:rPr>
                <w:rFonts w:hint="eastAsia" w:ascii="宋体" w:hAnsi="宋体" w:cs="宋体"/>
                <w:sz w:val="24"/>
                <w:szCs w:val="24"/>
              </w:rPr>
              <w:t>备案）部门（选填）</w:t>
            </w:r>
          </w:p>
        </w:tc>
        <w:tc>
          <w:tcPr>
            <w:tcW w:w="1115" w:type="pct"/>
            <w:gridSpan w:val="2"/>
            <w:vAlign w:val="center"/>
          </w:tcPr>
          <w:p w14:paraId="36670E24">
            <w:pPr>
              <w:adjustRightInd w:val="0"/>
              <w:snapToGrid w:val="0"/>
              <w:jc w:val="center"/>
              <w:rPr>
                <w:rFonts w:ascii="宋体" w:hAnsi="宋体" w:cs="宋体"/>
                <w:sz w:val="24"/>
                <w:szCs w:val="24"/>
              </w:rPr>
            </w:pPr>
            <w:r>
              <w:rPr>
                <w:rFonts w:ascii="宋体" w:hAnsi="宋体" w:cs="宋体"/>
                <w:sz w:val="24"/>
                <w:szCs w:val="24"/>
              </w:rPr>
              <w:t>淮南市毛集社会发展综合实验区发展改革局</w:t>
            </w:r>
          </w:p>
        </w:tc>
        <w:tc>
          <w:tcPr>
            <w:tcW w:w="1096" w:type="pct"/>
            <w:vAlign w:val="center"/>
          </w:tcPr>
          <w:p w14:paraId="72F5E7A6">
            <w:pPr>
              <w:adjustRightInd w:val="0"/>
              <w:snapToGrid w:val="0"/>
              <w:jc w:val="center"/>
              <w:rPr>
                <w:rFonts w:ascii="宋体" w:hAnsi="宋体" w:cs="宋体"/>
                <w:sz w:val="24"/>
                <w:szCs w:val="24"/>
              </w:rPr>
            </w:pPr>
            <w:r>
              <w:rPr>
                <w:rFonts w:hint="eastAsia" w:ascii="宋体" w:hAnsi="宋体" w:cs="宋体"/>
                <w:sz w:val="24"/>
                <w:szCs w:val="24"/>
              </w:rPr>
              <w:t>项目审批（核准</w:t>
            </w:r>
            <w:r>
              <w:rPr>
                <w:rFonts w:ascii="宋体" w:hAnsi="宋体" w:cs="宋体"/>
                <w:sz w:val="24"/>
                <w:szCs w:val="24"/>
              </w:rPr>
              <w:t>/</w:t>
            </w:r>
          </w:p>
          <w:p w14:paraId="5BAFBD4A">
            <w:pPr>
              <w:adjustRightInd w:val="0"/>
              <w:snapToGrid w:val="0"/>
              <w:jc w:val="center"/>
              <w:rPr>
                <w:rFonts w:ascii="宋体" w:hAnsi="宋体" w:cs="宋体"/>
                <w:sz w:val="24"/>
                <w:szCs w:val="24"/>
              </w:rPr>
            </w:pPr>
            <w:r>
              <w:rPr>
                <w:rFonts w:hint="eastAsia" w:ascii="宋体" w:hAnsi="宋体" w:cs="宋体"/>
                <w:sz w:val="24"/>
                <w:szCs w:val="24"/>
              </w:rPr>
              <w:t>备案）文号（选填）</w:t>
            </w:r>
          </w:p>
        </w:tc>
        <w:tc>
          <w:tcPr>
            <w:tcW w:w="1518" w:type="pct"/>
            <w:vAlign w:val="center"/>
          </w:tcPr>
          <w:p w14:paraId="233A62BB">
            <w:pPr>
              <w:adjustRightInd w:val="0"/>
              <w:snapToGrid w:val="0"/>
              <w:jc w:val="center"/>
              <w:rPr>
                <w:rFonts w:ascii="宋体" w:hAnsi="宋体" w:cs="宋体"/>
                <w:sz w:val="24"/>
                <w:szCs w:val="24"/>
              </w:rPr>
            </w:pPr>
            <w:r>
              <w:rPr>
                <w:rFonts w:hint="eastAsia" w:ascii="宋体" w:hAnsi="宋体" w:cs="宋体"/>
                <w:sz w:val="24"/>
                <w:szCs w:val="24"/>
              </w:rPr>
              <w:t>/</w:t>
            </w:r>
          </w:p>
        </w:tc>
      </w:tr>
      <w:tr w14:paraId="0FB6B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496" w:hRule="atLeast"/>
          <w:jc w:val="center"/>
        </w:trPr>
        <w:tc>
          <w:tcPr>
            <w:tcW w:w="1245" w:type="pct"/>
            <w:gridSpan w:val="2"/>
            <w:tcMar>
              <w:top w:w="16" w:type="dxa"/>
              <w:left w:w="16" w:type="dxa"/>
              <w:right w:w="16" w:type="dxa"/>
            </w:tcMar>
            <w:vAlign w:val="center"/>
          </w:tcPr>
          <w:p w14:paraId="6D6027EC">
            <w:pPr>
              <w:adjustRightInd w:val="0"/>
              <w:snapToGrid w:val="0"/>
              <w:jc w:val="center"/>
              <w:rPr>
                <w:sz w:val="24"/>
                <w:szCs w:val="24"/>
              </w:rPr>
            </w:pPr>
            <w:r>
              <w:rPr>
                <w:rFonts w:hAnsi="宋体"/>
                <w:sz w:val="24"/>
                <w:szCs w:val="24"/>
              </w:rPr>
              <w:t>总投资（万元）</w:t>
            </w:r>
          </w:p>
        </w:tc>
        <w:tc>
          <w:tcPr>
            <w:tcW w:w="1115" w:type="pct"/>
            <w:gridSpan w:val="2"/>
            <w:vAlign w:val="center"/>
          </w:tcPr>
          <w:p w14:paraId="798423C8">
            <w:pPr>
              <w:adjustRightInd w:val="0"/>
              <w:snapToGrid w:val="0"/>
              <w:jc w:val="center"/>
              <w:rPr>
                <w:sz w:val="24"/>
                <w:szCs w:val="24"/>
              </w:rPr>
            </w:pPr>
            <w:r>
              <w:rPr>
                <w:rFonts w:hint="eastAsia"/>
                <w:sz w:val="24"/>
                <w:szCs w:val="24"/>
              </w:rPr>
              <w:t>5000</w:t>
            </w:r>
          </w:p>
        </w:tc>
        <w:tc>
          <w:tcPr>
            <w:tcW w:w="1096" w:type="pct"/>
            <w:tcMar>
              <w:top w:w="16" w:type="dxa"/>
              <w:left w:w="16" w:type="dxa"/>
              <w:right w:w="16" w:type="dxa"/>
            </w:tcMar>
            <w:vAlign w:val="center"/>
          </w:tcPr>
          <w:p w14:paraId="2EFFA4B0">
            <w:pPr>
              <w:adjustRightInd w:val="0"/>
              <w:snapToGrid w:val="0"/>
              <w:jc w:val="center"/>
              <w:rPr>
                <w:sz w:val="24"/>
                <w:szCs w:val="24"/>
              </w:rPr>
            </w:pPr>
            <w:r>
              <w:rPr>
                <w:rFonts w:hAnsi="宋体"/>
                <w:sz w:val="24"/>
                <w:szCs w:val="24"/>
              </w:rPr>
              <w:t>环保投资（万元）</w:t>
            </w:r>
          </w:p>
        </w:tc>
        <w:tc>
          <w:tcPr>
            <w:tcW w:w="1518" w:type="pct"/>
            <w:vAlign w:val="center"/>
          </w:tcPr>
          <w:p w14:paraId="6BB442C3">
            <w:pPr>
              <w:adjustRightInd w:val="0"/>
              <w:snapToGrid w:val="0"/>
              <w:jc w:val="center"/>
              <w:rPr>
                <w:sz w:val="24"/>
                <w:szCs w:val="24"/>
              </w:rPr>
            </w:pPr>
            <w:r>
              <w:rPr>
                <w:rFonts w:hint="eastAsia"/>
                <w:sz w:val="24"/>
                <w:szCs w:val="24"/>
              </w:rPr>
              <w:t>250</w:t>
            </w:r>
          </w:p>
        </w:tc>
      </w:tr>
      <w:tr w14:paraId="778C9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496" w:hRule="atLeast"/>
          <w:jc w:val="center"/>
        </w:trPr>
        <w:tc>
          <w:tcPr>
            <w:tcW w:w="1245" w:type="pct"/>
            <w:gridSpan w:val="2"/>
            <w:tcMar>
              <w:top w:w="16" w:type="dxa"/>
              <w:left w:w="16" w:type="dxa"/>
              <w:right w:w="16" w:type="dxa"/>
            </w:tcMar>
            <w:vAlign w:val="center"/>
          </w:tcPr>
          <w:p w14:paraId="4BFEA9D7">
            <w:pPr>
              <w:adjustRightInd w:val="0"/>
              <w:snapToGrid w:val="0"/>
              <w:jc w:val="center"/>
              <w:rPr>
                <w:sz w:val="24"/>
                <w:szCs w:val="24"/>
              </w:rPr>
            </w:pPr>
            <w:r>
              <w:rPr>
                <w:rFonts w:hAnsi="宋体"/>
                <w:sz w:val="24"/>
                <w:szCs w:val="24"/>
              </w:rPr>
              <w:t>环保投资占比（</w:t>
            </w:r>
            <w:r>
              <w:rPr>
                <w:sz w:val="24"/>
                <w:szCs w:val="24"/>
              </w:rPr>
              <w:t>%</w:t>
            </w:r>
            <w:r>
              <w:rPr>
                <w:rFonts w:hAnsi="宋体"/>
                <w:sz w:val="24"/>
                <w:szCs w:val="24"/>
              </w:rPr>
              <w:t>）</w:t>
            </w:r>
          </w:p>
        </w:tc>
        <w:tc>
          <w:tcPr>
            <w:tcW w:w="1115" w:type="pct"/>
            <w:gridSpan w:val="2"/>
            <w:vAlign w:val="center"/>
          </w:tcPr>
          <w:p w14:paraId="26D099E0">
            <w:pPr>
              <w:adjustRightInd w:val="0"/>
              <w:snapToGrid w:val="0"/>
              <w:jc w:val="center"/>
              <w:rPr>
                <w:sz w:val="24"/>
                <w:szCs w:val="24"/>
              </w:rPr>
            </w:pPr>
            <w:r>
              <w:rPr>
                <w:rFonts w:hint="eastAsia"/>
                <w:sz w:val="24"/>
                <w:szCs w:val="24"/>
              </w:rPr>
              <w:t>5</w:t>
            </w:r>
          </w:p>
        </w:tc>
        <w:tc>
          <w:tcPr>
            <w:tcW w:w="1096" w:type="pct"/>
            <w:tcMar>
              <w:top w:w="16" w:type="dxa"/>
              <w:left w:w="16" w:type="dxa"/>
              <w:right w:w="16" w:type="dxa"/>
            </w:tcMar>
            <w:vAlign w:val="center"/>
          </w:tcPr>
          <w:p w14:paraId="6EBC079E">
            <w:pPr>
              <w:adjustRightInd w:val="0"/>
              <w:snapToGrid w:val="0"/>
              <w:jc w:val="center"/>
              <w:rPr>
                <w:sz w:val="24"/>
                <w:szCs w:val="24"/>
              </w:rPr>
            </w:pPr>
            <w:r>
              <w:rPr>
                <w:rFonts w:hAnsi="宋体"/>
                <w:sz w:val="24"/>
                <w:szCs w:val="24"/>
              </w:rPr>
              <w:t>施工工期</w:t>
            </w:r>
          </w:p>
        </w:tc>
        <w:tc>
          <w:tcPr>
            <w:tcW w:w="1518" w:type="pct"/>
            <w:vAlign w:val="center"/>
          </w:tcPr>
          <w:p w14:paraId="1210E968">
            <w:pPr>
              <w:adjustRightInd w:val="0"/>
              <w:snapToGrid w:val="0"/>
              <w:jc w:val="center"/>
              <w:rPr>
                <w:sz w:val="24"/>
                <w:szCs w:val="24"/>
              </w:rPr>
            </w:pPr>
            <w:r>
              <w:rPr>
                <w:rFonts w:hint="eastAsia"/>
                <w:sz w:val="24"/>
                <w:szCs w:val="24"/>
              </w:rPr>
              <w:t>/</w:t>
            </w:r>
          </w:p>
        </w:tc>
      </w:tr>
      <w:tr w14:paraId="5F184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26" w:type="pct"/>
          <w:trHeight w:val="496" w:hRule="atLeast"/>
          <w:jc w:val="center"/>
        </w:trPr>
        <w:tc>
          <w:tcPr>
            <w:tcW w:w="1245" w:type="pct"/>
            <w:gridSpan w:val="2"/>
            <w:tcMar>
              <w:top w:w="16" w:type="dxa"/>
              <w:left w:w="16" w:type="dxa"/>
              <w:right w:w="16" w:type="dxa"/>
            </w:tcMar>
            <w:vAlign w:val="center"/>
          </w:tcPr>
          <w:p w14:paraId="41A8D821">
            <w:pPr>
              <w:adjustRightInd w:val="0"/>
              <w:snapToGrid w:val="0"/>
              <w:jc w:val="center"/>
              <w:rPr>
                <w:rFonts w:ascii="宋体" w:hAnsi="宋体" w:cs="宋体"/>
                <w:sz w:val="24"/>
                <w:szCs w:val="24"/>
              </w:rPr>
            </w:pPr>
            <w:r>
              <w:rPr>
                <w:rFonts w:hint="eastAsia" w:ascii="宋体" w:hAnsi="宋体" w:cs="宋体"/>
                <w:sz w:val="24"/>
                <w:szCs w:val="24"/>
              </w:rPr>
              <w:t>是否开工建设</w:t>
            </w:r>
          </w:p>
        </w:tc>
        <w:tc>
          <w:tcPr>
            <w:tcW w:w="1115" w:type="pct"/>
            <w:gridSpan w:val="2"/>
            <w:vAlign w:val="center"/>
          </w:tcPr>
          <w:p w14:paraId="0CA95215">
            <w:pPr>
              <w:adjustRightInd w:val="0"/>
              <w:snapToGrid w:val="0"/>
              <w:rPr>
                <w:rFonts w:ascii="宋体" w:hAnsi="宋体" w:cs="宋体"/>
                <w:sz w:val="24"/>
                <w:szCs w:val="24"/>
              </w:rPr>
            </w:pPr>
            <w:r>
              <w:rPr>
                <w:rFonts w:hint="eastAsia" w:ascii="宋体" w:hAnsi="宋体" w:cs="宋体"/>
                <w:sz w:val="24"/>
                <w:szCs w:val="24"/>
              </w:rPr>
              <w:sym w:font="Wingdings 2" w:char="F052"/>
            </w:r>
            <w:r>
              <w:rPr>
                <w:rFonts w:hint="eastAsia" w:ascii="宋体" w:hAnsi="宋体" w:cs="宋体"/>
                <w:sz w:val="24"/>
                <w:szCs w:val="24"/>
              </w:rPr>
              <w:t>否</w:t>
            </w:r>
          </w:p>
          <w:p w14:paraId="6041E649">
            <w:pPr>
              <w:adjustRightInd w:val="0"/>
              <w:snapToGrid w:val="0"/>
              <w:rPr>
                <w:rFonts w:ascii="宋体" w:hAnsi="宋体" w:cs="宋体"/>
                <w:sz w:val="24"/>
                <w:szCs w:val="24"/>
              </w:rPr>
            </w:pPr>
            <w:r>
              <w:rPr>
                <w:rFonts w:hint="eastAsia" w:ascii="宋体" w:hAnsi="宋体" w:cs="宋体"/>
                <w:sz w:val="24"/>
                <w:szCs w:val="24"/>
              </w:rPr>
              <w:t>□是：</w:t>
            </w:r>
            <w:r>
              <w:rPr>
                <w:rFonts w:hint="eastAsia" w:ascii="宋体" w:hAnsi="宋体" w:cs="宋体"/>
                <w:sz w:val="24"/>
                <w:szCs w:val="24"/>
                <w:u w:val="single"/>
              </w:rPr>
              <w:t xml:space="preserve">      </w:t>
            </w:r>
          </w:p>
        </w:tc>
        <w:tc>
          <w:tcPr>
            <w:tcW w:w="1096" w:type="pct"/>
            <w:tcMar>
              <w:top w:w="16" w:type="dxa"/>
              <w:left w:w="16" w:type="dxa"/>
              <w:right w:w="16" w:type="dxa"/>
            </w:tcMar>
            <w:vAlign w:val="center"/>
          </w:tcPr>
          <w:p w14:paraId="2E818577">
            <w:pPr>
              <w:adjustRightInd w:val="0"/>
              <w:snapToGrid w:val="0"/>
              <w:jc w:val="center"/>
              <w:rPr>
                <w:rFonts w:ascii="宋体" w:hAnsi="宋体" w:cs="宋体"/>
                <w:spacing w:val="-6"/>
                <w:sz w:val="24"/>
                <w:szCs w:val="24"/>
              </w:rPr>
            </w:pPr>
            <w:r>
              <w:rPr>
                <w:rFonts w:hint="eastAsia" w:ascii="宋体" w:hAnsi="宋体" w:cs="宋体"/>
                <w:spacing w:val="-6"/>
                <w:sz w:val="24"/>
                <w:szCs w:val="24"/>
              </w:rPr>
              <w:t>用地（用海）</w:t>
            </w:r>
          </w:p>
          <w:p w14:paraId="06CFEAF7">
            <w:pPr>
              <w:adjustRightInd w:val="0"/>
              <w:snapToGrid w:val="0"/>
              <w:jc w:val="center"/>
              <w:rPr>
                <w:rFonts w:ascii="宋体" w:hAnsi="宋体" w:cs="宋体"/>
                <w:sz w:val="24"/>
                <w:szCs w:val="24"/>
              </w:rPr>
            </w:pPr>
            <w:r>
              <w:rPr>
                <w:rFonts w:hint="eastAsia" w:ascii="宋体" w:hAnsi="宋体" w:cs="宋体"/>
                <w:spacing w:val="-6"/>
                <w:sz w:val="24"/>
                <w:szCs w:val="24"/>
              </w:rPr>
              <w:t>面积（</w:t>
            </w:r>
            <w:r>
              <w:rPr>
                <w:spacing w:val="-6"/>
                <w:sz w:val="24"/>
                <w:szCs w:val="24"/>
              </w:rPr>
              <w:t>m</w:t>
            </w:r>
            <w:r>
              <w:rPr>
                <w:spacing w:val="-6"/>
                <w:sz w:val="24"/>
                <w:szCs w:val="24"/>
                <w:vertAlign w:val="superscript"/>
              </w:rPr>
              <w:t>2</w:t>
            </w:r>
            <w:r>
              <w:rPr>
                <w:rFonts w:hint="eastAsia" w:ascii="宋体" w:hAnsi="宋体" w:cs="宋体"/>
                <w:spacing w:val="-6"/>
                <w:sz w:val="24"/>
                <w:szCs w:val="24"/>
              </w:rPr>
              <w:t>）</w:t>
            </w:r>
          </w:p>
        </w:tc>
        <w:tc>
          <w:tcPr>
            <w:tcW w:w="1518" w:type="pct"/>
            <w:vAlign w:val="center"/>
          </w:tcPr>
          <w:p w14:paraId="7C008A98">
            <w:pPr>
              <w:adjustRightInd w:val="0"/>
              <w:snapToGrid w:val="0"/>
              <w:jc w:val="center"/>
              <w:rPr>
                <w:sz w:val="24"/>
                <w:szCs w:val="24"/>
              </w:rPr>
            </w:pPr>
            <w:r>
              <w:rPr>
                <w:rFonts w:hint="eastAsia"/>
                <w:sz w:val="24"/>
                <w:szCs w:val="24"/>
              </w:rPr>
              <w:t>建筑面积2800</w:t>
            </w:r>
            <w:r>
              <w:rPr>
                <w:spacing w:val="-6"/>
                <w:sz w:val="24"/>
                <w:szCs w:val="24"/>
              </w:rPr>
              <w:t>m</w:t>
            </w:r>
            <w:r>
              <w:rPr>
                <w:spacing w:val="-6"/>
                <w:sz w:val="24"/>
                <w:szCs w:val="24"/>
                <w:vertAlign w:val="superscript"/>
              </w:rPr>
              <w:t>2</w:t>
            </w:r>
          </w:p>
        </w:tc>
      </w:tr>
      <w:tr w14:paraId="223B5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26" w:type="pct"/>
          <w:trHeight w:val="1018" w:hRule="atLeast"/>
          <w:jc w:val="center"/>
        </w:trPr>
        <w:tc>
          <w:tcPr>
            <w:tcW w:w="1245" w:type="pct"/>
            <w:gridSpan w:val="2"/>
            <w:vAlign w:val="center"/>
          </w:tcPr>
          <w:p w14:paraId="1A2EC668">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3730" w:type="pct"/>
            <w:gridSpan w:val="4"/>
            <w:vAlign w:val="center"/>
          </w:tcPr>
          <w:p w14:paraId="23C8FAE0">
            <w:pPr>
              <w:autoSpaceDE w:val="0"/>
              <w:autoSpaceDN w:val="0"/>
              <w:adjustRightInd w:val="0"/>
              <w:snapToGrid w:val="0"/>
              <w:spacing w:line="360" w:lineRule="auto"/>
              <w:rPr>
                <w:sz w:val="24"/>
              </w:rPr>
            </w:pPr>
            <w:r>
              <w:rPr>
                <w:rFonts w:hint="eastAsia"/>
                <w:sz w:val="24"/>
              </w:rPr>
              <w:t>无，判定依据详见下表：</w:t>
            </w:r>
          </w:p>
          <w:p w14:paraId="243D6D21">
            <w:pPr>
              <w:autoSpaceDE w:val="0"/>
              <w:autoSpaceDN w:val="0"/>
              <w:adjustRightInd w:val="0"/>
              <w:snapToGrid w:val="0"/>
              <w:jc w:val="center"/>
              <w:rPr>
                <w:rFonts w:hAnsi="黑体" w:eastAsia="黑体"/>
                <w:sz w:val="24"/>
                <w:szCs w:val="24"/>
              </w:rPr>
            </w:pPr>
          </w:p>
          <w:p w14:paraId="0AA26D97">
            <w:pPr>
              <w:autoSpaceDE w:val="0"/>
              <w:autoSpaceDN w:val="0"/>
              <w:adjustRightInd w:val="0"/>
              <w:snapToGrid w:val="0"/>
              <w:jc w:val="center"/>
              <w:rPr>
                <w:rFonts w:hAnsi="黑体" w:eastAsia="黑体"/>
                <w:sz w:val="24"/>
                <w:szCs w:val="24"/>
              </w:rPr>
            </w:pPr>
          </w:p>
          <w:p w14:paraId="1E375139">
            <w:pPr>
              <w:autoSpaceDE w:val="0"/>
              <w:autoSpaceDN w:val="0"/>
              <w:adjustRightInd w:val="0"/>
              <w:snapToGrid w:val="0"/>
              <w:jc w:val="center"/>
              <w:rPr>
                <w:rFonts w:hAnsi="黑体" w:eastAsia="黑体"/>
                <w:sz w:val="24"/>
                <w:szCs w:val="24"/>
              </w:rPr>
            </w:pPr>
          </w:p>
          <w:p w14:paraId="220EA22A">
            <w:pPr>
              <w:autoSpaceDE w:val="0"/>
              <w:autoSpaceDN w:val="0"/>
              <w:adjustRightInd w:val="0"/>
              <w:snapToGrid w:val="0"/>
              <w:jc w:val="center"/>
              <w:rPr>
                <w:rFonts w:hAnsi="黑体" w:eastAsia="黑体"/>
                <w:sz w:val="24"/>
                <w:szCs w:val="24"/>
              </w:rPr>
            </w:pPr>
          </w:p>
          <w:p w14:paraId="5C76FBA6">
            <w:pPr>
              <w:autoSpaceDE w:val="0"/>
              <w:autoSpaceDN w:val="0"/>
              <w:adjustRightInd w:val="0"/>
              <w:snapToGrid w:val="0"/>
              <w:jc w:val="center"/>
              <w:rPr>
                <w:rFonts w:hAnsi="黑体" w:eastAsia="黑体"/>
                <w:sz w:val="24"/>
                <w:szCs w:val="24"/>
              </w:rPr>
            </w:pPr>
          </w:p>
          <w:p w14:paraId="4CF13860">
            <w:pPr>
              <w:autoSpaceDE w:val="0"/>
              <w:autoSpaceDN w:val="0"/>
              <w:adjustRightInd w:val="0"/>
              <w:snapToGrid w:val="0"/>
              <w:jc w:val="center"/>
              <w:rPr>
                <w:rFonts w:hAnsi="黑体" w:eastAsia="黑体"/>
                <w:sz w:val="24"/>
                <w:szCs w:val="24"/>
              </w:rPr>
            </w:pPr>
          </w:p>
          <w:p w14:paraId="15349AA9">
            <w:pPr>
              <w:autoSpaceDE w:val="0"/>
              <w:autoSpaceDN w:val="0"/>
              <w:adjustRightInd w:val="0"/>
              <w:snapToGrid w:val="0"/>
              <w:jc w:val="center"/>
              <w:rPr>
                <w:rFonts w:hAnsi="黑体" w:eastAsia="黑体"/>
                <w:sz w:val="24"/>
                <w:szCs w:val="24"/>
              </w:rPr>
            </w:pPr>
          </w:p>
          <w:p w14:paraId="4E49EFF1">
            <w:pPr>
              <w:autoSpaceDE w:val="0"/>
              <w:autoSpaceDN w:val="0"/>
              <w:adjustRightInd w:val="0"/>
              <w:snapToGrid w:val="0"/>
              <w:jc w:val="center"/>
              <w:rPr>
                <w:rFonts w:hAnsi="黑体" w:eastAsia="黑体"/>
                <w:sz w:val="24"/>
                <w:szCs w:val="24"/>
              </w:rPr>
            </w:pPr>
          </w:p>
          <w:p w14:paraId="66A4DA57">
            <w:pPr>
              <w:autoSpaceDE w:val="0"/>
              <w:autoSpaceDN w:val="0"/>
              <w:adjustRightInd w:val="0"/>
              <w:snapToGrid w:val="0"/>
              <w:jc w:val="center"/>
              <w:rPr>
                <w:rFonts w:hAnsi="黑体" w:eastAsia="黑体"/>
                <w:sz w:val="24"/>
                <w:szCs w:val="24"/>
              </w:rPr>
            </w:pPr>
          </w:p>
          <w:p w14:paraId="5549E87C">
            <w:pPr>
              <w:autoSpaceDE w:val="0"/>
              <w:autoSpaceDN w:val="0"/>
              <w:adjustRightInd w:val="0"/>
              <w:snapToGrid w:val="0"/>
              <w:jc w:val="center"/>
              <w:rPr>
                <w:rFonts w:hAnsi="黑体" w:eastAsia="黑体"/>
                <w:sz w:val="24"/>
                <w:szCs w:val="24"/>
              </w:rPr>
            </w:pPr>
          </w:p>
          <w:p w14:paraId="7FCE0FA9">
            <w:pPr>
              <w:autoSpaceDE w:val="0"/>
              <w:autoSpaceDN w:val="0"/>
              <w:adjustRightInd w:val="0"/>
              <w:snapToGrid w:val="0"/>
              <w:jc w:val="center"/>
              <w:rPr>
                <w:rFonts w:hAnsi="黑体" w:eastAsia="黑体"/>
                <w:sz w:val="24"/>
                <w:szCs w:val="24"/>
              </w:rPr>
            </w:pPr>
          </w:p>
          <w:p w14:paraId="747EA6DD">
            <w:pPr>
              <w:autoSpaceDE w:val="0"/>
              <w:autoSpaceDN w:val="0"/>
              <w:adjustRightInd w:val="0"/>
              <w:snapToGrid w:val="0"/>
              <w:jc w:val="center"/>
              <w:rPr>
                <w:rFonts w:hAnsi="黑体" w:eastAsia="黑体"/>
                <w:sz w:val="24"/>
                <w:szCs w:val="24"/>
              </w:rPr>
            </w:pPr>
          </w:p>
          <w:p w14:paraId="41CC7D12">
            <w:pPr>
              <w:autoSpaceDE w:val="0"/>
              <w:autoSpaceDN w:val="0"/>
              <w:adjustRightInd w:val="0"/>
              <w:snapToGrid w:val="0"/>
              <w:jc w:val="center"/>
              <w:rPr>
                <w:rFonts w:hAnsi="黑体" w:eastAsia="黑体"/>
                <w:sz w:val="24"/>
                <w:szCs w:val="24"/>
              </w:rPr>
            </w:pPr>
          </w:p>
          <w:p w14:paraId="49F3CAA8">
            <w:pPr>
              <w:autoSpaceDE w:val="0"/>
              <w:autoSpaceDN w:val="0"/>
              <w:adjustRightInd w:val="0"/>
              <w:snapToGrid w:val="0"/>
              <w:jc w:val="center"/>
              <w:rPr>
                <w:rFonts w:hAnsi="黑体" w:eastAsia="黑体"/>
                <w:sz w:val="24"/>
                <w:szCs w:val="24"/>
              </w:rPr>
            </w:pPr>
          </w:p>
          <w:p w14:paraId="54BEAE69">
            <w:pPr>
              <w:autoSpaceDE w:val="0"/>
              <w:autoSpaceDN w:val="0"/>
              <w:adjustRightInd w:val="0"/>
              <w:snapToGrid w:val="0"/>
              <w:jc w:val="center"/>
              <w:rPr>
                <w:rFonts w:hAnsi="黑体" w:eastAsia="黑体"/>
                <w:sz w:val="24"/>
                <w:szCs w:val="24"/>
              </w:rPr>
            </w:pPr>
          </w:p>
          <w:p w14:paraId="17E9727B">
            <w:pPr>
              <w:autoSpaceDE w:val="0"/>
              <w:autoSpaceDN w:val="0"/>
              <w:adjustRightInd w:val="0"/>
              <w:snapToGrid w:val="0"/>
              <w:jc w:val="center"/>
              <w:rPr>
                <w:rFonts w:hAnsi="黑体" w:eastAsia="黑体"/>
                <w:sz w:val="24"/>
                <w:szCs w:val="24"/>
              </w:rPr>
            </w:pPr>
          </w:p>
          <w:p w14:paraId="59C8FCA1">
            <w:pPr>
              <w:autoSpaceDE w:val="0"/>
              <w:autoSpaceDN w:val="0"/>
              <w:adjustRightInd w:val="0"/>
              <w:snapToGrid w:val="0"/>
              <w:jc w:val="center"/>
              <w:rPr>
                <w:rFonts w:eastAsia="黑体"/>
                <w:sz w:val="24"/>
                <w:szCs w:val="24"/>
              </w:rPr>
            </w:pPr>
            <w:r>
              <w:rPr>
                <w:rFonts w:hint="eastAsia" w:hAnsi="黑体" w:eastAsia="黑体"/>
                <w:sz w:val="24"/>
                <w:szCs w:val="24"/>
              </w:rPr>
              <w:t>表</w:t>
            </w:r>
            <w:r>
              <w:rPr>
                <w:rFonts w:eastAsia="黑体"/>
                <w:sz w:val="24"/>
                <w:szCs w:val="24"/>
              </w:rPr>
              <w:t xml:space="preserve">1  </w:t>
            </w:r>
            <w:r>
              <w:rPr>
                <w:rFonts w:hint="eastAsia" w:hAnsi="黑体" w:eastAsia="黑体"/>
                <w:sz w:val="24"/>
                <w:szCs w:val="24"/>
              </w:rPr>
              <w:t>专项评价设置原则表</w:t>
            </w:r>
          </w:p>
          <w:tbl>
            <w:tblPr>
              <w:tblStyle w:val="3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2102"/>
              <w:gridCol w:w="1961"/>
              <w:gridCol w:w="1075"/>
            </w:tblGrid>
            <w:tr w14:paraId="1D49D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tcBorders>
                    <w:top w:val="single" w:color="auto" w:sz="12" w:space="0"/>
                    <w:left w:val="nil"/>
                    <w:bottom w:val="single" w:color="auto" w:sz="4" w:space="0"/>
                    <w:right w:val="single" w:color="auto" w:sz="4" w:space="0"/>
                  </w:tcBorders>
                  <w:vAlign w:val="center"/>
                </w:tcPr>
                <w:p w14:paraId="09964231">
                  <w:pPr>
                    <w:autoSpaceDE w:val="0"/>
                    <w:autoSpaceDN w:val="0"/>
                    <w:spacing w:line="276" w:lineRule="auto"/>
                    <w:jc w:val="center"/>
                    <w:rPr>
                      <w:b/>
                      <w:szCs w:val="21"/>
                    </w:rPr>
                  </w:pPr>
                  <w:r>
                    <w:rPr>
                      <w:rFonts w:hint="eastAsia" w:hAnsi="宋体"/>
                      <w:b/>
                      <w:szCs w:val="21"/>
                    </w:rPr>
                    <w:t>专项评价的类别</w:t>
                  </w:r>
                </w:p>
              </w:tc>
              <w:tc>
                <w:tcPr>
                  <w:tcW w:w="2127" w:type="dxa"/>
                  <w:tcBorders>
                    <w:top w:val="single" w:color="auto" w:sz="12" w:space="0"/>
                    <w:left w:val="single" w:color="auto" w:sz="4" w:space="0"/>
                    <w:bottom w:val="single" w:color="auto" w:sz="4" w:space="0"/>
                    <w:right w:val="single" w:color="auto" w:sz="4" w:space="0"/>
                  </w:tcBorders>
                  <w:vAlign w:val="center"/>
                </w:tcPr>
                <w:p w14:paraId="193CC3CE">
                  <w:pPr>
                    <w:autoSpaceDE w:val="0"/>
                    <w:autoSpaceDN w:val="0"/>
                    <w:spacing w:line="276" w:lineRule="auto"/>
                    <w:jc w:val="center"/>
                    <w:rPr>
                      <w:b/>
                      <w:szCs w:val="21"/>
                    </w:rPr>
                  </w:pPr>
                  <w:r>
                    <w:rPr>
                      <w:rFonts w:hint="eastAsia" w:hAnsi="宋体"/>
                      <w:b/>
                      <w:szCs w:val="21"/>
                    </w:rPr>
                    <w:t>设置原则</w:t>
                  </w:r>
                </w:p>
              </w:tc>
              <w:tc>
                <w:tcPr>
                  <w:tcW w:w="1984" w:type="dxa"/>
                  <w:tcBorders>
                    <w:top w:val="single" w:color="auto" w:sz="12" w:space="0"/>
                    <w:left w:val="single" w:color="auto" w:sz="4" w:space="0"/>
                    <w:bottom w:val="single" w:color="auto" w:sz="4" w:space="0"/>
                    <w:right w:val="single" w:color="auto" w:sz="4" w:space="0"/>
                  </w:tcBorders>
                  <w:vAlign w:val="center"/>
                </w:tcPr>
                <w:p w14:paraId="25B8B28D">
                  <w:pPr>
                    <w:autoSpaceDE w:val="0"/>
                    <w:autoSpaceDN w:val="0"/>
                    <w:spacing w:line="276" w:lineRule="auto"/>
                    <w:jc w:val="center"/>
                    <w:rPr>
                      <w:b/>
                      <w:szCs w:val="21"/>
                    </w:rPr>
                  </w:pPr>
                  <w:r>
                    <w:rPr>
                      <w:rFonts w:hint="eastAsia" w:hAnsi="宋体"/>
                      <w:b/>
                      <w:szCs w:val="21"/>
                    </w:rPr>
                    <w:t>本项目</w:t>
                  </w:r>
                </w:p>
              </w:tc>
              <w:tc>
                <w:tcPr>
                  <w:tcW w:w="1088" w:type="dxa"/>
                  <w:tcBorders>
                    <w:top w:val="single" w:color="auto" w:sz="12" w:space="0"/>
                    <w:left w:val="single" w:color="auto" w:sz="4" w:space="0"/>
                    <w:bottom w:val="single" w:color="auto" w:sz="4" w:space="0"/>
                    <w:right w:val="nil"/>
                  </w:tcBorders>
                  <w:vAlign w:val="center"/>
                </w:tcPr>
                <w:p w14:paraId="0B7CF01E">
                  <w:pPr>
                    <w:autoSpaceDE w:val="0"/>
                    <w:autoSpaceDN w:val="0"/>
                    <w:spacing w:line="276" w:lineRule="auto"/>
                    <w:jc w:val="center"/>
                    <w:rPr>
                      <w:b/>
                      <w:szCs w:val="21"/>
                    </w:rPr>
                  </w:pPr>
                  <w:r>
                    <w:rPr>
                      <w:rFonts w:hint="eastAsia" w:hAnsi="宋体"/>
                      <w:b/>
                      <w:szCs w:val="21"/>
                    </w:rPr>
                    <w:t>是否设置专项评价</w:t>
                  </w:r>
                </w:p>
              </w:tc>
            </w:tr>
            <w:tr w14:paraId="52DE1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tcBorders>
                    <w:top w:val="single" w:color="auto" w:sz="4" w:space="0"/>
                    <w:left w:val="nil"/>
                    <w:bottom w:val="single" w:color="auto" w:sz="4" w:space="0"/>
                    <w:right w:val="single" w:color="auto" w:sz="4" w:space="0"/>
                  </w:tcBorders>
                  <w:vAlign w:val="center"/>
                </w:tcPr>
                <w:p w14:paraId="3C613088">
                  <w:pPr>
                    <w:autoSpaceDE w:val="0"/>
                    <w:autoSpaceDN w:val="0"/>
                    <w:spacing w:line="276" w:lineRule="auto"/>
                    <w:jc w:val="center"/>
                    <w:rPr>
                      <w:szCs w:val="21"/>
                    </w:rPr>
                  </w:pPr>
                  <w:r>
                    <w:rPr>
                      <w:rFonts w:hint="eastAsia" w:hAnsi="宋体"/>
                      <w:szCs w:val="21"/>
                    </w:rPr>
                    <w:t>大气</w:t>
                  </w:r>
                </w:p>
              </w:tc>
              <w:tc>
                <w:tcPr>
                  <w:tcW w:w="2127" w:type="dxa"/>
                  <w:tcBorders>
                    <w:top w:val="single" w:color="auto" w:sz="4" w:space="0"/>
                    <w:left w:val="single" w:color="auto" w:sz="4" w:space="0"/>
                    <w:bottom w:val="single" w:color="auto" w:sz="4" w:space="0"/>
                    <w:right w:val="single" w:color="auto" w:sz="4" w:space="0"/>
                  </w:tcBorders>
                  <w:vAlign w:val="center"/>
                </w:tcPr>
                <w:p w14:paraId="6FC47B93">
                  <w:pPr>
                    <w:spacing w:line="276" w:lineRule="auto"/>
                    <w:jc w:val="center"/>
                    <w:rPr>
                      <w:szCs w:val="21"/>
                    </w:rPr>
                  </w:pPr>
                  <w:r>
                    <w:rPr>
                      <w:rFonts w:hint="eastAsia"/>
                      <w:szCs w:val="21"/>
                    </w:rPr>
                    <w:t>排放废气含有毒有害污染物、二噁英、苯并</w:t>
                  </w:r>
                  <w:r>
                    <w:rPr>
                      <w:szCs w:val="21"/>
                    </w:rPr>
                    <w:t>[a]</w:t>
                  </w:r>
                  <w:r>
                    <w:rPr>
                      <w:rFonts w:hint="eastAsia"/>
                      <w:szCs w:val="21"/>
                    </w:rPr>
                    <w:t>芘、氰化物、氯气且厂界外</w:t>
                  </w:r>
                  <w:r>
                    <w:rPr>
                      <w:szCs w:val="21"/>
                    </w:rPr>
                    <w:t>500</w:t>
                  </w:r>
                  <w:r>
                    <w:rPr>
                      <w:rFonts w:hint="eastAsia"/>
                      <w:szCs w:val="21"/>
                    </w:rPr>
                    <w:t>米范围内有环境空气保护目标的建设项目</w:t>
                  </w:r>
                </w:p>
              </w:tc>
              <w:tc>
                <w:tcPr>
                  <w:tcW w:w="1984" w:type="dxa"/>
                  <w:tcBorders>
                    <w:top w:val="single" w:color="auto" w:sz="4" w:space="0"/>
                    <w:left w:val="single" w:color="auto" w:sz="4" w:space="0"/>
                    <w:bottom w:val="single" w:color="auto" w:sz="4" w:space="0"/>
                    <w:right w:val="single" w:color="auto" w:sz="4" w:space="0"/>
                  </w:tcBorders>
                  <w:vAlign w:val="center"/>
                </w:tcPr>
                <w:p w14:paraId="67939532">
                  <w:pPr>
                    <w:autoSpaceDE w:val="0"/>
                    <w:autoSpaceDN w:val="0"/>
                    <w:spacing w:line="276" w:lineRule="auto"/>
                    <w:jc w:val="center"/>
                    <w:rPr>
                      <w:szCs w:val="21"/>
                    </w:rPr>
                  </w:pPr>
                  <w:r>
                    <w:rPr>
                      <w:rFonts w:hint="eastAsia" w:hAnsi="宋体"/>
                      <w:kern w:val="0"/>
                      <w:szCs w:val="21"/>
                    </w:rPr>
                    <w:t>本项目排放废气主要为非甲烷总烃、颗粒物、SO</w:t>
                  </w:r>
                  <w:r>
                    <w:rPr>
                      <w:rFonts w:hint="eastAsia" w:hAnsi="宋体"/>
                      <w:kern w:val="0"/>
                      <w:szCs w:val="21"/>
                      <w:vertAlign w:val="subscript"/>
                    </w:rPr>
                    <w:t>2</w:t>
                  </w:r>
                  <w:r>
                    <w:rPr>
                      <w:rFonts w:hint="eastAsia" w:hAnsi="宋体"/>
                      <w:kern w:val="0"/>
                      <w:szCs w:val="21"/>
                    </w:rPr>
                    <w:t>、NO</w:t>
                  </w:r>
                  <w:r>
                    <w:rPr>
                      <w:rFonts w:hint="eastAsia" w:hAnsi="宋体"/>
                      <w:kern w:val="0"/>
                      <w:szCs w:val="21"/>
                      <w:vertAlign w:val="subscript"/>
                    </w:rPr>
                    <w:t>2</w:t>
                  </w:r>
                  <w:r>
                    <w:rPr>
                      <w:rFonts w:hint="eastAsia"/>
                      <w:szCs w:val="21"/>
                    </w:rPr>
                    <w:t>，均不属于二噁英、苯并</w:t>
                  </w:r>
                  <w:r>
                    <w:rPr>
                      <w:szCs w:val="21"/>
                    </w:rPr>
                    <w:t>[a]</w:t>
                  </w:r>
                  <w:r>
                    <w:rPr>
                      <w:rFonts w:hint="eastAsia"/>
                      <w:szCs w:val="21"/>
                    </w:rPr>
                    <w:t>芘、氰化物、氯气以及《有毒有害大气污染物名录》中的有毒有害污染物</w:t>
                  </w:r>
                </w:p>
              </w:tc>
              <w:tc>
                <w:tcPr>
                  <w:tcW w:w="1088" w:type="dxa"/>
                  <w:tcBorders>
                    <w:top w:val="single" w:color="auto" w:sz="4" w:space="0"/>
                    <w:left w:val="single" w:color="auto" w:sz="4" w:space="0"/>
                    <w:bottom w:val="single" w:color="auto" w:sz="4" w:space="0"/>
                    <w:right w:val="nil"/>
                  </w:tcBorders>
                  <w:vAlign w:val="center"/>
                </w:tcPr>
                <w:p w14:paraId="644353AD">
                  <w:pPr>
                    <w:autoSpaceDE w:val="0"/>
                    <w:autoSpaceDN w:val="0"/>
                    <w:spacing w:line="276" w:lineRule="auto"/>
                    <w:jc w:val="center"/>
                    <w:rPr>
                      <w:szCs w:val="21"/>
                      <w:lang w:eastAsia="en-US"/>
                    </w:rPr>
                  </w:pPr>
                  <w:r>
                    <w:rPr>
                      <w:rFonts w:hint="eastAsia" w:hAnsi="宋体"/>
                      <w:szCs w:val="21"/>
                    </w:rPr>
                    <w:t>否</w:t>
                  </w:r>
                </w:p>
              </w:tc>
            </w:tr>
            <w:tr w14:paraId="5D3DE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tcBorders>
                    <w:top w:val="single" w:color="auto" w:sz="4" w:space="0"/>
                    <w:left w:val="nil"/>
                    <w:bottom w:val="single" w:color="auto" w:sz="4" w:space="0"/>
                    <w:right w:val="single" w:color="auto" w:sz="4" w:space="0"/>
                  </w:tcBorders>
                  <w:vAlign w:val="center"/>
                </w:tcPr>
                <w:p w14:paraId="6DE679A1">
                  <w:pPr>
                    <w:autoSpaceDE w:val="0"/>
                    <w:autoSpaceDN w:val="0"/>
                    <w:spacing w:line="276" w:lineRule="auto"/>
                    <w:jc w:val="center"/>
                    <w:rPr>
                      <w:szCs w:val="21"/>
                      <w:lang w:eastAsia="en-US"/>
                    </w:rPr>
                  </w:pPr>
                  <w:r>
                    <w:rPr>
                      <w:rFonts w:hint="eastAsia" w:hAnsi="宋体"/>
                      <w:szCs w:val="21"/>
                    </w:rPr>
                    <w:t>地表水</w:t>
                  </w:r>
                </w:p>
              </w:tc>
              <w:tc>
                <w:tcPr>
                  <w:tcW w:w="2127" w:type="dxa"/>
                  <w:tcBorders>
                    <w:top w:val="single" w:color="auto" w:sz="4" w:space="0"/>
                    <w:left w:val="single" w:color="auto" w:sz="4" w:space="0"/>
                    <w:bottom w:val="single" w:color="auto" w:sz="4" w:space="0"/>
                    <w:right w:val="single" w:color="auto" w:sz="4" w:space="0"/>
                  </w:tcBorders>
                  <w:vAlign w:val="center"/>
                </w:tcPr>
                <w:p w14:paraId="20005CEC">
                  <w:pPr>
                    <w:spacing w:line="276" w:lineRule="auto"/>
                    <w:jc w:val="center"/>
                    <w:rPr>
                      <w:szCs w:val="21"/>
                    </w:rPr>
                  </w:pPr>
                  <w:r>
                    <w:rPr>
                      <w:rFonts w:hint="eastAsia" w:hAnsi="宋体"/>
                      <w:szCs w:val="21"/>
                    </w:rPr>
                    <w:t>新增工业废水直排建设项目（槽罐车外送污水处理厂的除外）；新增废水直排的污水集中处理厂</w:t>
                  </w:r>
                </w:p>
              </w:tc>
              <w:tc>
                <w:tcPr>
                  <w:tcW w:w="1984" w:type="dxa"/>
                  <w:tcBorders>
                    <w:top w:val="single" w:color="auto" w:sz="4" w:space="0"/>
                    <w:left w:val="single" w:color="auto" w:sz="4" w:space="0"/>
                    <w:bottom w:val="single" w:color="auto" w:sz="4" w:space="0"/>
                    <w:right w:val="single" w:color="auto" w:sz="4" w:space="0"/>
                  </w:tcBorders>
                  <w:vAlign w:val="center"/>
                </w:tcPr>
                <w:p w14:paraId="5D7C20F8">
                  <w:pPr>
                    <w:autoSpaceDE w:val="0"/>
                    <w:autoSpaceDN w:val="0"/>
                    <w:spacing w:line="276" w:lineRule="auto"/>
                    <w:jc w:val="center"/>
                    <w:rPr>
                      <w:szCs w:val="21"/>
                    </w:rPr>
                  </w:pPr>
                  <w:r>
                    <w:rPr>
                      <w:rFonts w:hint="eastAsia"/>
                      <w:szCs w:val="21"/>
                    </w:rPr>
                    <w:t>项目生活污水经化粪池预处理后接管排入毛集实验区污水处理厂；项目不涉及新增</w:t>
                  </w:r>
                  <w:r>
                    <w:rPr>
                      <w:rFonts w:hint="eastAsia" w:hAnsi="宋体"/>
                      <w:szCs w:val="21"/>
                    </w:rPr>
                    <w:t>工业废水直排建设项目</w:t>
                  </w:r>
                </w:p>
              </w:tc>
              <w:tc>
                <w:tcPr>
                  <w:tcW w:w="1088" w:type="dxa"/>
                  <w:tcBorders>
                    <w:top w:val="single" w:color="auto" w:sz="4" w:space="0"/>
                    <w:left w:val="single" w:color="auto" w:sz="4" w:space="0"/>
                    <w:bottom w:val="single" w:color="auto" w:sz="4" w:space="0"/>
                    <w:right w:val="nil"/>
                  </w:tcBorders>
                  <w:vAlign w:val="center"/>
                </w:tcPr>
                <w:p w14:paraId="2F60B7CD">
                  <w:pPr>
                    <w:autoSpaceDE w:val="0"/>
                    <w:autoSpaceDN w:val="0"/>
                    <w:spacing w:line="276" w:lineRule="auto"/>
                    <w:jc w:val="center"/>
                    <w:rPr>
                      <w:szCs w:val="21"/>
                      <w:lang w:eastAsia="en-US"/>
                    </w:rPr>
                  </w:pPr>
                  <w:r>
                    <w:rPr>
                      <w:rFonts w:hint="eastAsia" w:hAnsi="宋体"/>
                      <w:szCs w:val="21"/>
                    </w:rPr>
                    <w:t>否</w:t>
                  </w:r>
                </w:p>
              </w:tc>
            </w:tr>
            <w:tr w14:paraId="1DE6A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tcBorders>
                    <w:top w:val="single" w:color="auto" w:sz="4" w:space="0"/>
                    <w:left w:val="nil"/>
                    <w:bottom w:val="single" w:color="auto" w:sz="4" w:space="0"/>
                    <w:right w:val="single" w:color="auto" w:sz="4" w:space="0"/>
                  </w:tcBorders>
                  <w:vAlign w:val="center"/>
                </w:tcPr>
                <w:p w14:paraId="4B2F959A">
                  <w:pPr>
                    <w:autoSpaceDE w:val="0"/>
                    <w:autoSpaceDN w:val="0"/>
                    <w:spacing w:line="276" w:lineRule="auto"/>
                    <w:jc w:val="center"/>
                    <w:rPr>
                      <w:szCs w:val="21"/>
                      <w:lang w:eastAsia="en-US"/>
                    </w:rPr>
                  </w:pPr>
                  <w:r>
                    <w:rPr>
                      <w:rFonts w:hint="eastAsia" w:hAnsi="宋体"/>
                      <w:szCs w:val="21"/>
                    </w:rPr>
                    <w:t>环境风险</w:t>
                  </w:r>
                </w:p>
              </w:tc>
              <w:tc>
                <w:tcPr>
                  <w:tcW w:w="2127" w:type="dxa"/>
                  <w:tcBorders>
                    <w:top w:val="single" w:color="auto" w:sz="4" w:space="0"/>
                    <w:left w:val="single" w:color="auto" w:sz="4" w:space="0"/>
                    <w:bottom w:val="single" w:color="auto" w:sz="4" w:space="0"/>
                    <w:right w:val="single" w:color="auto" w:sz="4" w:space="0"/>
                  </w:tcBorders>
                  <w:vAlign w:val="center"/>
                </w:tcPr>
                <w:p w14:paraId="3ED7FE3D">
                  <w:pPr>
                    <w:autoSpaceDE w:val="0"/>
                    <w:autoSpaceDN w:val="0"/>
                    <w:spacing w:line="276" w:lineRule="auto"/>
                    <w:jc w:val="center"/>
                    <w:rPr>
                      <w:szCs w:val="21"/>
                    </w:rPr>
                  </w:pPr>
                  <w:r>
                    <w:rPr>
                      <w:rFonts w:hint="eastAsia" w:hAnsi="宋体"/>
                      <w:szCs w:val="21"/>
                    </w:rPr>
                    <w:t>有毒有害和易燃易爆危险物质存储量超过临界量的建设项目</w:t>
                  </w:r>
                </w:p>
              </w:tc>
              <w:tc>
                <w:tcPr>
                  <w:tcW w:w="1984" w:type="dxa"/>
                  <w:tcBorders>
                    <w:top w:val="single" w:color="auto" w:sz="4" w:space="0"/>
                    <w:left w:val="single" w:color="auto" w:sz="4" w:space="0"/>
                    <w:bottom w:val="single" w:color="auto" w:sz="4" w:space="0"/>
                    <w:right w:val="single" w:color="auto" w:sz="4" w:space="0"/>
                  </w:tcBorders>
                  <w:vAlign w:val="center"/>
                </w:tcPr>
                <w:p w14:paraId="350A79A4">
                  <w:pPr>
                    <w:autoSpaceDE w:val="0"/>
                    <w:autoSpaceDN w:val="0"/>
                    <w:spacing w:line="276" w:lineRule="auto"/>
                    <w:jc w:val="center"/>
                    <w:rPr>
                      <w:szCs w:val="21"/>
                    </w:rPr>
                  </w:pPr>
                  <w:r>
                    <w:rPr>
                      <w:rFonts w:hint="eastAsia" w:hAnsi="宋体"/>
                      <w:szCs w:val="21"/>
                    </w:rPr>
                    <w:t>本项目危险物质存储量未超过临界值</w:t>
                  </w:r>
                </w:p>
              </w:tc>
              <w:tc>
                <w:tcPr>
                  <w:tcW w:w="1088" w:type="dxa"/>
                  <w:tcBorders>
                    <w:top w:val="single" w:color="auto" w:sz="4" w:space="0"/>
                    <w:left w:val="single" w:color="auto" w:sz="4" w:space="0"/>
                    <w:bottom w:val="single" w:color="auto" w:sz="4" w:space="0"/>
                    <w:right w:val="nil"/>
                  </w:tcBorders>
                  <w:vAlign w:val="center"/>
                </w:tcPr>
                <w:p w14:paraId="495CE17F">
                  <w:pPr>
                    <w:autoSpaceDE w:val="0"/>
                    <w:autoSpaceDN w:val="0"/>
                    <w:spacing w:line="276" w:lineRule="auto"/>
                    <w:jc w:val="center"/>
                    <w:rPr>
                      <w:szCs w:val="21"/>
                      <w:lang w:eastAsia="en-US"/>
                    </w:rPr>
                  </w:pPr>
                  <w:r>
                    <w:rPr>
                      <w:rFonts w:hint="eastAsia" w:hAnsi="宋体"/>
                      <w:szCs w:val="21"/>
                    </w:rPr>
                    <w:t>否</w:t>
                  </w:r>
                </w:p>
              </w:tc>
            </w:tr>
            <w:tr w14:paraId="3F559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tcBorders>
                    <w:top w:val="single" w:color="auto" w:sz="4" w:space="0"/>
                    <w:left w:val="nil"/>
                    <w:bottom w:val="single" w:color="auto" w:sz="4" w:space="0"/>
                    <w:right w:val="single" w:color="auto" w:sz="4" w:space="0"/>
                  </w:tcBorders>
                  <w:vAlign w:val="center"/>
                </w:tcPr>
                <w:p w14:paraId="605B998D">
                  <w:pPr>
                    <w:autoSpaceDE w:val="0"/>
                    <w:autoSpaceDN w:val="0"/>
                    <w:spacing w:line="276" w:lineRule="auto"/>
                    <w:jc w:val="center"/>
                    <w:rPr>
                      <w:szCs w:val="21"/>
                      <w:lang w:eastAsia="en-US"/>
                    </w:rPr>
                  </w:pPr>
                  <w:r>
                    <w:rPr>
                      <w:rFonts w:hint="eastAsia" w:hAnsi="宋体"/>
                      <w:szCs w:val="21"/>
                    </w:rPr>
                    <w:t>生态</w:t>
                  </w:r>
                </w:p>
              </w:tc>
              <w:tc>
                <w:tcPr>
                  <w:tcW w:w="2127" w:type="dxa"/>
                  <w:tcBorders>
                    <w:top w:val="single" w:color="auto" w:sz="4" w:space="0"/>
                    <w:left w:val="single" w:color="auto" w:sz="4" w:space="0"/>
                    <w:bottom w:val="single" w:color="auto" w:sz="4" w:space="0"/>
                    <w:right w:val="single" w:color="auto" w:sz="4" w:space="0"/>
                  </w:tcBorders>
                  <w:vAlign w:val="center"/>
                </w:tcPr>
                <w:p w14:paraId="49A75B69">
                  <w:pPr>
                    <w:spacing w:line="276" w:lineRule="auto"/>
                    <w:jc w:val="center"/>
                    <w:rPr>
                      <w:szCs w:val="21"/>
                    </w:rPr>
                  </w:pPr>
                  <w:r>
                    <w:rPr>
                      <w:rFonts w:hint="eastAsia" w:hAnsi="宋体"/>
                      <w:szCs w:val="21"/>
                    </w:rPr>
                    <w:t>取水口下游</w:t>
                  </w:r>
                  <w:r>
                    <w:rPr>
                      <w:szCs w:val="21"/>
                    </w:rPr>
                    <w:t>500</w:t>
                  </w:r>
                  <w:r>
                    <w:rPr>
                      <w:rFonts w:hint="eastAsia" w:hAnsi="宋体"/>
                      <w:szCs w:val="21"/>
                    </w:rPr>
                    <w:t>米范围内有重要水生生物的自然产卵场、索饵场、越冬场和洄游通道的新增河道取水的污染类建设项目</w:t>
                  </w:r>
                </w:p>
              </w:tc>
              <w:tc>
                <w:tcPr>
                  <w:tcW w:w="1984" w:type="dxa"/>
                  <w:tcBorders>
                    <w:top w:val="single" w:color="auto" w:sz="4" w:space="0"/>
                    <w:left w:val="single" w:color="auto" w:sz="4" w:space="0"/>
                    <w:bottom w:val="single" w:color="auto" w:sz="4" w:space="0"/>
                    <w:right w:val="single" w:color="auto" w:sz="4" w:space="0"/>
                  </w:tcBorders>
                  <w:vAlign w:val="center"/>
                </w:tcPr>
                <w:p w14:paraId="20662C53">
                  <w:pPr>
                    <w:autoSpaceDE w:val="0"/>
                    <w:autoSpaceDN w:val="0"/>
                    <w:spacing w:line="276" w:lineRule="auto"/>
                    <w:jc w:val="center"/>
                    <w:rPr>
                      <w:szCs w:val="21"/>
                    </w:rPr>
                  </w:pPr>
                  <w:r>
                    <w:rPr>
                      <w:rFonts w:hint="eastAsia" w:hAnsi="宋体"/>
                      <w:szCs w:val="21"/>
                    </w:rPr>
                    <w:t>不涉及</w:t>
                  </w:r>
                </w:p>
              </w:tc>
              <w:tc>
                <w:tcPr>
                  <w:tcW w:w="1088" w:type="dxa"/>
                  <w:tcBorders>
                    <w:top w:val="single" w:color="auto" w:sz="4" w:space="0"/>
                    <w:left w:val="single" w:color="auto" w:sz="4" w:space="0"/>
                    <w:bottom w:val="single" w:color="auto" w:sz="4" w:space="0"/>
                    <w:right w:val="nil"/>
                  </w:tcBorders>
                  <w:vAlign w:val="center"/>
                </w:tcPr>
                <w:p w14:paraId="61BB868A">
                  <w:pPr>
                    <w:autoSpaceDE w:val="0"/>
                    <w:autoSpaceDN w:val="0"/>
                    <w:spacing w:line="276" w:lineRule="auto"/>
                    <w:jc w:val="center"/>
                    <w:rPr>
                      <w:szCs w:val="21"/>
                      <w:lang w:eastAsia="en-US"/>
                    </w:rPr>
                  </w:pPr>
                  <w:r>
                    <w:rPr>
                      <w:rFonts w:hint="eastAsia" w:hAnsi="宋体"/>
                      <w:szCs w:val="21"/>
                    </w:rPr>
                    <w:t>否</w:t>
                  </w:r>
                </w:p>
              </w:tc>
            </w:tr>
            <w:tr w14:paraId="209B4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3" w:type="dxa"/>
                  <w:tcBorders>
                    <w:top w:val="single" w:color="auto" w:sz="4" w:space="0"/>
                    <w:left w:val="nil"/>
                    <w:bottom w:val="single" w:color="auto" w:sz="12" w:space="0"/>
                    <w:right w:val="single" w:color="auto" w:sz="4" w:space="0"/>
                  </w:tcBorders>
                  <w:vAlign w:val="center"/>
                </w:tcPr>
                <w:p w14:paraId="5277F794">
                  <w:pPr>
                    <w:autoSpaceDE w:val="0"/>
                    <w:autoSpaceDN w:val="0"/>
                    <w:spacing w:line="276" w:lineRule="auto"/>
                    <w:jc w:val="center"/>
                    <w:rPr>
                      <w:szCs w:val="21"/>
                      <w:lang w:eastAsia="en-US"/>
                    </w:rPr>
                  </w:pPr>
                  <w:r>
                    <w:rPr>
                      <w:rFonts w:hint="eastAsia" w:hAnsi="宋体"/>
                      <w:szCs w:val="21"/>
                    </w:rPr>
                    <w:t>海洋</w:t>
                  </w:r>
                </w:p>
              </w:tc>
              <w:tc>
                <w:tcPr>
                  <w:tcW w:w="2127" w:type="dxa"/>
                  <w:tcBorders>
                    <w:top w:val="single" w:color="auto" w:sz="4" w:space="0"/>
                    <w:left w:val="single" w:color="auto" w:sz="4" w:space="0"/>
                    <w:bottom w:val="single" w:color="auto" w:sz="12" w:space="0"/>
                    <w:right w:val="single" w:color="auto" w:sz="4" w:space="0"/>
                  </w:tcBorders>
                  <w:vAlign w:val="center"/>
                </w:tcPr>
                <w:p w14:paraId="3C252325">
                  <w:pPr>
                    <w:autoSpaceDE w:val="0"/>
                    <w:autoSpaceDN w:val="0"/>
                    <w:spacing w:line="276" w:lineRule="auto"/>
                    <w:jc w:val="center"/>
                    <w:rPr>
                      <w:szCs w:val="21"/>
                    </w:rPr>
                  </w:pPr>
                  <w:r>
                    <w:rPr>
                      <w:rFonts w:hint="eastAsia" w:hAnsi="宋体"/>
                      <w:szCs w:val="21"/>
                    </w:rPr>
                    <w:t>直接向海排放污染物的海洋工程建设项目</w:t>
                  </w:r>
                </w:p>
              </w:tc>
              <w:tc>
                <w:tcPr>
                  <w:tcW w:w="1984" w:type="dxa"/>
                  <w:tcBorders>
                    <w:top w:val="single" w:color="auto" w:sz="4" w:space="0"/>
                    <w:left w:val="single" w:color="auto" w:sz="4" w:space="0"/>
                    <w:bottom w:val="single" w:color="auto" w:sz="12" w:space="0"/>
                    <w:right w:val="single" w:color="auto" w:sz="4" w:space="0"/>
                  </w:tcBorders>
                  <w:vAlign w:val="center"/>
                </w:tcPr>
                <w:p w14:paraId="271427FE">
                  <w:pPr>
                    <w:autoSpaceDE w:val="0"/>
                    <w:autoSpaceDN w:val="0"/>
                    <w:spacing w:line="276" w:lineRule="auto"/>
                    <w:jc w:val="center"/>
                    <w:rPr>
                      <w:b/>
                      <w:szCs w:val="21"/>
                    </w:rPr>
                  </w:pPr>
                  <w:r>
                    <w:rPr>
                      <w:rFonts w:hint="eastAsia" w:hAnsi="宋体"/>
                      <w:szCs w:val="21"/>
                    </w:rPr>
                    <w:t>不涉及</w:t>
                  </w:r>
                </w:p>
              </w:tc>
              <w:tc>
                <w:tcPr>
                  <w:tcW w:w="1088" w:type="dxa"/>
                  <w:tcBorders>
                    <w:top w:val="single" w:color="auto" w:sz="4" w:space="0"/>
                    <w:left w:val="single" w:color="auto" w:sz="4" w:space="0"/>
                    <w:bottom w:val="single" w:color="auto" w:sz="12" w:space="0"/>
                    <w:right w:val="nil"/>
                  </w:tcBorders>
                  <w:vAlign w:val="center"/>
                </w:tcPr>
                <w:p w14:paraId="3416B68F">
                  <w:pPr>
                    <w:autoSpaceDE w:val="0"/>
                    <w:autoSpaceDN w:val="0"/>
                    <w:spacing w:line="276" w:lineRule="auto"/>
                    <w:jc w:val="center"/>
                    <w:rPr>
                      <w:szCs w:val="21"/>
                    </w:rPr>
                  </w:pPr>
                  <w:r>
                    <w:rPr>
                      <w:rFonts w:hint="eastAsia" w:hAnsi="宋体"/>
                      <w:szCs w:val="21"/>
                    </w:rPr>
                    <w:t>否</w:t>
                  </w:r>
                </w:p>
              </w:tc>
            </w:tr>
          </w:tbl>
          <w:p w14:paraId="5F50FC46">
            <w:pPr>
              <w:autoSpaceDE w:val="0"/>
              <w:autoSpaceDN w:val="0"/>
              <w:adjustRightInd w:val="0"/>
              <w:snapToGrid w:val="0"/>
              <w:jc w:val="center"/>
              <w:rPr>
                <w:rFonts w:ascii="宋体" w:hAnsi="宋体" w:cs="宋体"/>
                <w:kern w:val="0"/>
                <w:sz w:val="24"/>
                <w:szCs w:val="24"/>
              </w:rPr>
            </w:pPr>
          </w:p>
        </w:tc>
      </w:tr>
      <w:tr w14:paraId="36C02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26" w:type="pct"/>
          <w:trHeight w:val="1018" w:hRule="atLeast"/>
          <w:jc w:val="center"/>
        </w:trPr>
        <w:tc>
          <w:tcPr>
            <w:tcW w:w="1245" w:type="pct"/>
            <w:gridSpan w:val="2"/>
            <w:vAlign w:val="center"/>
          </w:tcPr>
          <w:p w14:paraId="21A844E3">
            <w:pPr>
              <w:autoSpaceDE w:val="0"/>
              <w:autoSpaceDN w:val="0"/>
              <w:adjustRightInd w:val="0"/>
              <w:snapToGrid w:val="0"/>
              <w:jc w:val="center"/>
              <w:rPr>
                <w:rFonts w:ascii="宋体" w:hAnsi="宋体" w:cs="宋体"/>
                <w:kern w:val="0"/>
                <w:sz w:val="24"/>
                <w:szCs w:val="24"/>
              </w:rPr>
            </w:pPr>
            <w:r>
              <w:rPr>
                <w:rFonts w:hint="eastAsia" w:ascii="宋体" w:hAnsi="宋体" w:cs="宋体"/>
                <w:sz w:val="24"/>
                <w:szCs w:val="24"/>
              </w:rPr>
              <w:t>规划情况</w:t>
            </w:r>
          </w:p>
        </w:tc>
        <w:tc>
          <w:tcPr>
            <w:tcW w:w="3730" w:type="pct"/>
            <w:gridSpan w:val="4"/>
            <w:vAlign w:val="center"/>
          </w:tcPr>
          <w:p w14:paraId="6FE8F63A">
            <w:pPr>
              <w:pStyle w:val="225"/>
              <w:ind w:firstLine="0" w:firstLineChars="0"/>
              <w:jc w:val="left"/>
              <w:rPr>
                <w:rFonts w:hAnsi="宋体"/>
                <w:szCs w:val="24"/>
              </w:rPr>
            </w:pPr>
            <w:r>
              <w:rPr>
                <w:rFonts w:hint="eastAsia"/>
              </w:rPr>
              <w:t>规划名称：</w:t>
            </w:r>
            <w:r>
              <w:rPr>
                <w:rFonts w:hAnsi="宋体"/>
                <w:szCs w:val="24"/>
              </w:rPr>
              <w:t>《</w:t>
            </w:r>
            <w:r>
              <w:rPr>
                <w:rFonts w:hint="eastAsia" w:hAnsi="宋体"/>
                <w:szCs w:val="24"/>
              </w:rPr>
              <w:t>安徽淮南毛集经济开发区总体规划</w:t>
            </w:r>
            <w:r>
              <w:rPr>
                <w:rFonts w:hAnsi="宋体"/>
                <w:szCs w:val="24"/>
              </w:rPr>
              <w:t>（</w:t>
            </w:r>
            <w:r>
              <w:rPr>
                <w:szCs w:val="24"/>
              </w:rPr>
              <w:t>201</w:t>
            </w:r>
            <w:r>
              <w:rPr>
                <w:rFonts w:hint="eastAsia"/>
                <w:szCs w:val="24"/>
              </w:rPr>
              <w:t>6</w:t>
            </w:r>
            <w:r>
              <w:rPr>
                <w:szCs w:val="24"/>
              </w:rPr>
              <w:t>-2030</w:t>
            </w:r>
            <w:r>
              <w:rPr>
                <w:rFonts w:hAnsi="宋体"/>
                <w:szCs w:val="24"/>
              </w:rPr>
              <w:t>）》</w:t>
            </w:r>
          </w:p>
          <w:p w14:paraId="0F8D9895">
            <w:pPr>
              <w:pStyle w:val="225"/>
              <w:ind w:firstLine="0" w:firstLineChars="0"/>
              <w:jc w:val="left"/>
              <w:rPr>
                <w:rFonts w:hAnsi="宋体"/>
                <w:szCs w:val="24"/>
              </w:rPr>
            </w:pPr>
            <w:r>
              <w:rPr>
                <w:rFonts w:hint="eastAsia" w:hAnsi="宋体"/>
                <w:szCs w:val="24"/>
              </w:rPr>
              <w:t>审查机关：安徽省人民政府</w:t>
            </w:r>
          </w:p>
          <w:p w14:paraId="21DDF61F">
            <w:pPr>
              <w:pStyle w:val="225"/>
              <w:ind w:firstLine="0" w:firstLineChars="0"/>
              <w:jc w:val="left"/>
              <w:rPr>
                <w:rFonts w:hAnsi="宋体"/>
                <w:szCs w:val="24"/>
              </w:rPr>
            </w:pPr>
            <w:r>
              <w:rPr>
                <w:rFonts w:hint="eastAsia" w:hAnsi="宋体"/>
                <w:szCs w:val="24"/>
              </w:rPr>
              <w:t>审查意见及文号：《安徽省人民政府关于同意筹建安徽淮南毛集经济开发区的批复》（皖政秘[2010]37号）</w:t>
            </w:r>
          </w:p>
          <w:p w14:paraId="531FF483">
            <w:pPr>
              <w:pStyle w:val="225"/>
              <w:ind w:firstLine="0" w:firstLineChars="0"/>
              <w:jc w:val="left"/>
              <w:rPr>
                <w:rFonts w:hAnsi="宋体"/>
                <w:szCs w:val="24"/>
              </w:rPr>
            </w:pPr>
          </w:p>
        </w:tc>
      </w:tr>
      <w:tr w14:paraId="62790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26" w:type="pct"/>
          <w:trHeight w:val="132" w:hRule="atLeast"/>
          <w:jc w:val="center"/>
        </w:trPr>
        <w:tc>
          <w:tcPr>
            <w:tcW w:w="1245" w:type="pct"/>
            <w:gridSpan w:val="2"/>
            <w:vAlign w:val="center"/>
          </w:tcPr>
          <w:p w14:paraId="458BF3C6">
            <w:pPr>
              <w:adjustRightInd w:val="0"/>
              <w:snapToGrid w:val="0"/>
              <w:jc w:val="center"/>
              <w:rPr>
                <w:rFonts w:ascii="宋体" w:hAnsi="宋体" w:cs="宋体"/>
                <w:sz w:val="24"/>
                <w:szCs w:val="24"/>
              </w:rPr>
            </w:pPr>
            <w:r>
              <w:rPr>
                <w:rFonts w:hint="eastAsia" w:ascii="宋体" w:hAnsi="宋体" w:cs="宋体"/>
                <w:sz w:val="24"/>
                <w:szCs w:val="24"/>
              </w:rPr>
              <w:t>规划环境影响</w:t>
            </w:r>
          </w:p>
          <w:p w14:paraId="5ADA96A2">
            <w:pPr>
              <w:adjustRightInd w:val="0"/>
              <w:snapToGrid w:val="0"/>
              <w:jc w:val="center"/>
              <w:rPr>
                <w:rFonts w:ascii="宋体" w:hAnsi="宋体" w:cs="宋体"/>
                <w:kern w:val="0"/>
                <w:sz w:val="24"/>
                <w:szCs w:val="24"/>
              </w:rPr>
            </w:pPr>
            <w:r>
              <w:rPr>
                <w:rFonts w:hint="eastAsia" w:ascii="宋体" w:hAnsi="宋体" w:cs="宋体"/>
                <w:sz w:val="24"/>
                <w:szCs w:val="24"/>
              </w:rPr>
              <w:t>评价情况</w:t>
            </w:r>
          </w:p>
        </w:tc>
        <w:tc>
          <w:tcPr>
            <w:tcW w:w="3730" w:type="pct"/>
            <w:gridSpan w:val="4"/>
            <w:vAlign w:val="center"/>
          </w:tcPr>
          <w:p w14:paraId="0D7672CD">
            <w:pPr>
              <w:pStyle w:val="225"/>
              <w:ind w:firstLine="0" w:firstLineChars="0"/>
              <w:jc w:val="left"/>
              <w:rPr>
                <w:rFonts w:hAnsi="宋体"/>
                <w:szCs w:val="24"/>
              </w:rPr>
            </w:pPr>
            <w:r>
              <w:rPr>
                <w:rFonts w:hint="eastAsia"/>
              </w:rPr>
              <w:t>规划环境影响评价文件名称：</w:t>
            </w:r>
            <w:r>
              <w:rPr>
                <w:rFonts w:hAnsi="宋体"/>
                <w:szCs w:val="24"/>
              </w:rPr>
              <w:t>《安徽淮南毛集经济开发区规划环境影响报告书》</w:t>
            </w:r>
          </w:p>
          <w:p w14:paraId="534960FA">
            <w:pPr>
              <w:pStyle w:val="225"/>
              <w:ind w:firstLine="0" w:firstLineChars="0"/>
              <w:jc w:val="left"/>
              <w:rPr>
                <w:rFonts w:hAnsi="宋体"/>
                <w:szCs w:val="24"/>
              </w:rPr>
            </w:pPr>
            <w:r>
              <w:rPr>
                <w:rFonts w:hint="eastAsia" w:hAnsi="宋体"/>
                <w:szCs w:val="24"/>
              </w:rPr>
              <w:t>审查机关：原安徽省环境保护厅</w:t>
            </w:r>
          </w:p>
          <w:p w14:paraId="6E53A555">
            <w:pPr>
              <w:pStyle w:val="225"/>
              <w:ind w:firstLine="0" w:firstLineChars="0"/>
              <w:jc w:val="left"/>
            </w:pPr>
            <w:r>
              <w:rPr>
                <w:rFonts w:hint="eastAsia" w:hAnsi="宋体"/>
                <w:szCs w:val="24"/>
              </w:rPr>
              <w:t>审查意见及文号：《安徽省环境保护厅关于安徽淮南毛集经济开发区规划环境影响报告书审查意见的函》</w:t>
            </w:r>
            <w:r>
              <w:rPr>
                <w:rFonts w:hAnsi="宋体"/>
                <w:szCs w:val="24"/>
              </w:rPr>
              <w:t>皖环函</w:t>
            </w:r>
            <w:r>
              <w:rPr>
                <w:rFonts w:hint="eastAsia" w:hAnsi="宋体"/>
                <w:szCs w:val="24"/>
              </w:rPr>
              <w:t>[2012]1306号</w:t>
            </w:r>
          </w:p>
          <w:p w14:paraId="682995C8">
            <w:pPr>
              <w:pStyle w:val="225"/>
              <w:ind w:firstLine="0" w:firstLineChars="0"/>
              <w:jc w:val="left"/>
              <w:rPr>
                <w:rFonts w:hAnsi="宋体"/>
                <w:szCs w:val="24"/>
              </w:rPr>
            </w:pPr>
            <w:r>
              <w:rPr>
                <w:rFonts w:hint="eastAsia"/>
              </w:rPr>
              <w:t>规划环境影响评价文件名称：</w:t>
            </w:r>
            <w:r>
              <w:rPr>
                <w:rFonts w:hAnsi="宋体"/>
                <w:szCs w:val="24"/>
              </w:rPr>
              <w:t>《安徽淮南毛集经济开发区规划环境影响跟踪评价报告书》</w:t>
            </w:r>
          </w:p>
          <w:p w14:paraId="29B19218">
            <w:pPr>
              <w:pStyle w:val="225"/>
              <w:ind w:firstLine="0" w:firstLineChars="0"/>
              <w:jc w:val="left"/>
              <w:rPr>
                <w:rFonts w:hAnsi="宋体"/>
                <w:szCs w:val="24"/>
              </w:rPr>
            </w:pPr>
            <w:r>
              <w:rPr>
                <w:rFonts w:hint="eastAsia" w:hAnsi="宋体"/>
                <w:szCs w:val="24"/>
              </w:rPr>
              <w:t>审查机关：淮南市生态环境局</w:t>
            </w:r>
          </w:p>
          <w:p w14:paraId="631A9AC6">
            <w:pPr>
              <w:pStyle w:val="225"/>
              <w:ind w:firstLine="0" w:firstLineChars="0"/>
            </w:pPr>
            <w:r>
              <w:rPr>
                <w:rFonts w:hint="eastAsia" w:hAnsi="宋体"/>
                <w:szCs w:val="24"/>
              </w:rPr>
              <w:t>审查意见及文号：</w:t>
            </w:r>
            <w:r>
              <w:rPr>
                <w:rFonts w:hAnsi="宋体"/>
                <w:szCs w:val="24"/>
              </w:rPr>
              <w:t>《</w:t>
            </w:r>
            <w:r>
              <w:rPr>
                <w:rFonts w:hint="eastAsia" w:hAnsi="宋体"/>
                <w:szCs w:val="24"/>
              </w:rPr>
              <w:t>淮南市生态环境局关于安徽淮南毛集经济开发区规划环境影响跟踪评价审查意见的函</w:t>
            </w:r>
            <w:r>
              <w:rPr>
                <w:rFonts w:hAnsi="宋体"/>
                <w:szCs w:val="24"/>
              </w:rPr>
              <w:t>》（</w:t>
            </w:r>
            <w:r>
              <w:rPr>
                <w:rFonts w:hint="eastAsia" w:hAnsi="宋体"/>
                <w:szCs w:val="24"/>
              </w:rPr>
              <w:t>淮环函[2020]40号</w:t>
            </w:r>
            <w:r>
              <w:rPr>
                <w:rFonts w:hAnsi="宋体"/>
                <w:szCs w:val="24"/>
              </w:rPr>
              <w:t>）</w:t>
            </w:r>
          </w:p>
        </w:tc>
      </w:tr>
      <w:tr w14:paraId="453F6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26" w:type="pct"/>
          <w:trHeight w:val="5093" w:hRule="atLeast"/>
          <w:jc w:val="center"/>
        </w:trPr>
        <w:tc>
          <w:tcPr>
            <w:tcW w:w="1245" w:type="pct"/>
            <w:gridSpan w:val="2"/>
            <w:vAlign w:val="center"/>
          </w:tcPr>
          <w:p w14:paraId="3BF6A4BB">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规划及规划环境</w:t>
            </w:r>
          </w:p>
          <w:p w14:paraId="6E2EB9D2">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影响评价符合性分析</w:t>
            </w:r>
          </w:p>
        </w:tc>
        <w:tc>
          <w:tcPr>
            <w:tcW w:w="3730" w:type="pct"/>
            <w:gridSpan w:val="4"/>
            <w:vAlign w:val="center"/>
          </w:tcPr>
          <w:p w14:paraId="74339F04">
            <w:pPr>
              <w:autoSpaceDE w:val="0"/>
              <w:autoSpaceDN w:val="0"/>
              <w:spacing w:line="360" w:lineRule="auto"/>
              <w:jc w:val="left"/>
              <w:rPr>
                <w:rFonts w:hAnsi="宋体"/>
                <w:b/>
                <w:sz w:val="24"/>
              </w:rPr>
            </w:pPr>
            <w:r>
              <w:rPr>
                <w:rFonts w:hint="eastAsia" w:hAnsi="宋体"/>
                <w:b/>
                <w:sz w:val="24"/>
              </w:rPr>
              <w:t>1、与《安徽淮南毛集经济开发区总体规划</w:t>
            </w:r>
            <w:r>
              <w:rPr>
                <w:rFonts w:hAnsi="宋体"/>
                <w:b/>
                <w:sz w:val="24"/>
              </w:rPr>
              <w:t>（201</w:t>
            </w:r>
            <w:r>
              <w:rPr>
                <w:rFonts w:hint="eastAsia" w:hAnsi="宋体"/>
                <w:b/>
                <w:sz w:val="24"/>
              </w:rPr>
              <w:t>6</w:t>
            </w:r>
            <w:r>
              <w:rPr>
                <w:rFonts w:hAnsi="宋体"/>
                <w:b/>
                <w:sz w:val="24"/>
              </w:rPr>
              <w:t>-2030）</w:t>
            </w:r>
            <w:r>
              <w:rPr>
                <w:rFonts w:hint="eastAsia" w:hAnsi="宋体"/>
                <w:b/>
                <w:sz w:val="24"/>
              </w:rPr>
              <w:t>》符合性分析</w:t>
            </w:r>
          </w:p>
          <w:p w14:paraId="299010B8">
            <w:pPr>
              <w:pStyle w:val="225"/>
              <w:ind w:firstLine="480"/>
              <w:jc w:val="left"/>
            </w:pPr>
            <w:r>
              <w:rPr>
                <w:rFonts w:hint="eastAsia"/>
              </w:rPr>
              <w:t>建设项目位于安徽省淮南市毛集经济开发区工业城2号楼1层和3层。结合《安徽淮南毛集经济开发区总体规划</w:t>
            </w:r>
            <w:r>
              <w:t>（201</w:t>
            </w:r>
            <w:r>
              <w:rPr>
                <w:rFonts w:hint="eastAsia"/>
              </w:rPr>
              <w:t>6</w:t>
            </w:r>
            <w:r>
              <w:t>-2030）</w:t>
            </w:r>
            <w:r>
              <w:rPr>
                <w:rFonts w:hint="eastAsia"/>
              </w:rPr>
              <w:t>》用地布局规划图，本项目所在地属于规划的工业用地，企业选址不在自然保护区、风景名胜区、饮用水水源保护区和其他需要特别保护的区域，项目建设用地性质符合毛集经济开发区总体规划要求，项目选址基本合理。</w:t>
            </w:r>
          </w:p>
          <w:p w14:paraId="79BF20EB">
            <w:pPr>
              <w:pStyle w:val="225"/>
              <w:ind w:firstLine="480"/>
              <w:jc w:val="left"/>
            </w:pPr>
            <w:r>
              <w:rPr>
                <w:rFonts w:hint="eastAsia"/>
              </w:rPr>
              <w:t>毛集经济开发区产业发展形成了以农副产品深加工、先进制造、高新技术等为主导产业。本项目属C2459其他玩具制造，为轻工产业范畴，不在开发区负面清单范围内，符合总体规划要求。开发区负面清单详见下表2。</w:t>
            </w:r>
          </w:p>
          <w:p w14:paraId="3079EA1E">
            <w:pPr>
              <w:pStyle w:val="225"/>
              <w:ind w:firstLine="480"/>
              <w:jc w:val="left"/>
            </w:pPr>
          </w:p>
          <w:p w14:paraId="610FADD2">
            <w:pPr>
              <w:pStyle w:val="225"/>
              <w:ind w:firstLine="480"/>
              <w:jc w:val="left"/>
            </w:pPr>
          </w:p>
          <w:p w14:paraId="2A6BCDC0">
            <w:pPr>
              <w:pStyle w:val="225"/>
              <w:ind w:firstLine="480"/>
              <w:jc w:val="left"/>
            </w:pPr>
          </w:p>
          <w:p w14:paraId="52DF1E7F">
            <w:pPr>
              <w:pStyle w:val="225"/>
              <w:ind w:firstLine="480"/>
              <w:jc w:val="left"/>
            </w:pPr>
          </w:p>
          <w:p w14:paraId="3D8ED507">
            <w:pPr>
              <w:pStyle w:val="225"/>
              <w:ind w:firstLine="480"/>
              <w:jc w:val="left"/>
            </w:pPr>
          </w:p>
          <w:p w14:paraId="3D0277C8">
            <w:pPr>
              <w:pStyle w:val="225"/>
              <w:spacing w:line="240" w:lineRule="auto"/>
              <w:ind w:firstLine="480"/>
              <w:jc w:val="left"/>
            </w:pPr>
          </w:p>
          <w:p w14:paraId="3B1F9E1C">
            <w:pPr>
              <w:autoSpaceDE w:val="0"/>
              <w:autoSpaceDN w:val="0"/>
              <w:adjustRightInd w:val="0"/>
              <w:snapToGrid w:val="0"/>
              <w:jc w:val="center"/>
              <w:rPr>
                <w:rFonts w:hAnsi="黑体" w:eastAsia="黑体"/>
                <w:szCs w:val="21"/>
              </w:rPr>
            </w:pPr>
            <w:r>
              <w:rPr>
                <w:rFonts w:hint="eastAsia" w:hAnsi="黑体" w:eastAsia="黑体"/>
                <w:sz w:val="24"/>
                <w:szCs w:val="24"/>
              </w:rPr>
              <w:t>表2</w:t>
            </w:r>
            <w:r>
              <w:rPr>
                <w:rFonts w:hAnsi="黑体" w:eastAsia="黑体"/>
                <w:sz w:val="24"/>
                <w:szCs w:val="24"/>
              </w:rPr>
              <w:t xml:space="preserve">  </w:t>
            </w:r>
            <w:r>
              <w:rPr>
                <w:rFonts w:hint="eastAsia" w:hAnsi="黑体" w:eastAsia="黑体"/>
                <w:sz w:val="24"/>
                <w:szCs w:val="24"/>
              </w:rPr>
              <w:t>开发区产业发展环境准入负面清单</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39"/>
              <w:gridCol w:w="5153"/>
            </w:tblGrid>
            <w:tr w14:paraId="61C032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pct"/>
                  <w:vAlign w:val="center"/>
                </w:tcPr>
                <w:p w14:paraId="2BA5228D">
                  <w:pPr>
                    <w:pStyle w:val="225"/>
                    <w:spacing w:line="276" w:lineRule="auto"/>
                    <w:ind w:firstLine="0" w:firstLineChars="0"/>
                    <w:jc w:val="center"/>
                    <w:rPr>
                      <w:b/>
                      <w:sz w:val="21"/>
                    </w:rPr>
                  </w:pPr>
                  <w:r>
                    <w:rPr>
                      <w:rFonts w:hAnsi="宋体"/>
                      <w:b/>
                      <w:sz w:val="21"/>
                    </w:rPr>
                    <w:t>类型</w:t>
                  </w:r>
                </w:p>
              </w:tc>
              <w:tc>
                <w:tcPr>
                  <w:tcW w:w="4095" w:type="pct"/>
                  <w:vAlign w:val="center"/>
                </w:tcPr>
                <w:p w14:paraId="060095D7">
                  <w:pPr>
                    <w:pStyle w:val="225"/>
                    <w:spacing w:line="276" w:lineRule="auto"/>
                    <w:ind w:firstLine="0" w:firstLineChars="0"/>
                    <w:jc w:val="center"/>
                    <w:rPr>
                      <w:b/>
                      <w:sz w:val="21"/>
                    </w:rPr>
                  </w:pPr>
                  <w:r>
                    <w:rPr>
                      <w:rFonts w:hAnsi="宋体"/>
                      <w:b/>
                      <w:sz w:val="21"/>
                    </w:rPr>
                    <w:t>负面清单要求</w:t>
                  </w:r>
                </w:p>
              </w:tc>
            </w:tr>
            <w:tr w14:paraId="1C6552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pct"/>
                  <w:vAlign w:val="center"/>
                </w:tcPr>
                <w:p w14:paraId="4377E1ED">
                  <w:pPr>
                    <w:pStyle w:val="225"/>
                    <w:spacing w:line="276" w:lineRule="auto"/>
                    <w:ind w:firstLine="0" w:firstLineChars="0"/>
                    <w:jc w:val="center"/>
                    <w:rPr>
                      <w:sz w:val="21"/>
                    </w:rPr>
                  </w:pPr>
                  <w:r>
                    <w:rPr>
                      <w:rFonts w:hAnsi="宋体"/>
                      <w:sz w:val="21"/>
                    </w:rPr>
                    <w:t>产业导向</w:t>
                  </w:r>
                </w:p>
              </w:tc>
              <w:tc>
                <w:tcPr>
                  <w:tcW w:w="4095" w:type="pct"/>
                  <w:vAlign w:val="center"/>
                </w:tcPr>
                <w:p w14:paraId="53FA1DE0">
                  <w:pPr>
                    <w:pStyle w:val="225"/>
                    <w:spacing w:line="276" w:lineRule="auto"/>
                    <w:ind w:firstLine="0" w:firstLineChars="0"/>
                    <w:jc w:val="left"/>
                    <w:rPr>
                      <w:sz w:val="21"/>
                    </w:rPr>
                  </w:pPr>
                  <w:r>
                    <w:rPr>
                      <w:rFonts w:hAnsi="宋体"/>
                      <w:sz w:val="21"/>
                    </w:rPr>
                    <w:t>①禁止引入国家明令禁止建设或投资的</w:t>
                  </w:r>
                  <w:r>
                    <w:rPr>
                      <w:rFonts w:ascii="宋体" w:hAnsi="宋体"/>
                      <w:sz w:val="21"/>
                    </w:rPr>
                    <w:t>、列入《产业结构调整指导目录(</w:t>
                  </w:r>
                  <w:r>
                    <w:rPr>
                      <w:sz w:val="21"/>
                    </w:rPr>
                    <w:t>2019</w:t>
                  </w:r>
                  <w:r>
                    <w:rPr>
                      <w:rFonts w:ascii="宋体" w:hAnsi="宋体"/>
                      <w:sz w:val="21"/>
                    </w:rPr>
                    <w:t>年本)》、《外商投资产业指导目录(</w:t>
                  </w:r>
                  <w:r>
                    <w:rPr>
                      <w:sz w:val="21"/>
                    </w:rPr>
                    <w:t>2017</w:t>
                  </w:r>
                  <w:r>
                    <w:rPr>
                      <w:rFonts w:ascii="宋体" w:hAnsi="宋体"/>
                      <w:sz w:val="21"/>
                    </w:rPr>
                    <w:t>年修订)》、《市场准入负面清单草案(试点版)》、《安徽省淮河流域水污染防治条例(</w:t>
                  </w:r>
                  <w:r>
                    <w:rPr>
                      <w:sz w:val="21"/>
                    </w:rPr>
                    <w:t>2018</w:t>
                  </w:r>
                  <w:r>
                    <w:rPr>
                      <w:rFonts w:ascii="宋体" w:hAnsi="宋体"/>
                      <w:sz w:val="21"/>
                    </w:rPr>
                    <w:t>年修订)》等相关产业政策中禁止或淘汰类的项目</w:t>
                  </w:r>
                  <w:r>
                    <w:rPr>
                      <w:rFonts w:hAnsi="宋体"/>
                      <w:sz w:val="21"/>
                    </w:rPr>
                    <w:t>。</w:t>
                  </w:r>
                </w:p>
                <w:p w14:paraId="6CEDFAF1">
                  <w:pPr>
                    <w:pStyle w:val="225"/>
                    <w:spacing w:line="276" w:lineRule="auto"/>
                    <w:ind w:firstLine="0" w:firstLineChars="0"/>
                    <w:jc w:val="left"/>
                    <w:rPr>
                      <w:sz w:val="21"/>
                    </w:rPr>
                  </w:pPr>
                  <w:r>
                    <w:rPr>
                      <w:rFonts w:hAnsi="宋体"/>
                      <w:sz w:val="21"/>
                    </w:rPr>
                    <w:t>②禁止新引入基础化学原料、农药、油性涂料产品制造、合成材料制造、专用化学产品制造、炸药、火工及焰火产品制造以及原料药、制剂、兽药制造等污染较重的化工医药类项目</w:t>
                  </w:r>
                  <w:r>
                    <w:rPr>
                      <w:rFonts w:ascii="宋体" w:hAnsi="宋体"/>
                      <w:sz w:val="21"/>
                    </w:rPr>
                    <w:t>(单纯混合和分装除外)</w:t>
                  </w:r>
                  <w:r>
                    <w:rPr>
                      <w:rFonts w:hAnsi="宋体"/>
                      <w:sz w:val="21"/>
                    </w:rPr>
                    <w:t>。</w:t>
                  </w:r>
                </w:p>
                <w:p w14:paraId="39C67E9B">
                  <w:pPr>
                    <w:pStyle w:val="225"/>
                    <w:spacing w:line="276" w:lineRule="auto"/>
                    <w:ind w:firstLine="0" w:firstLineChars="0"/>
                    <w:jc w:val="left"/>
                    <w:rPr>
                      <w:sz w:val="21"/>
                    </w:rPr>
                  </w:pPr>
                  <w:r>
                    <w:rPr>
                      <w:rFonts w:hAnsi="宋体"/>
                      <w:sz w:val="21"/>
                    </w:rPr>
                    <w:t>③禁止引入规模效益差、能源资源消耗大、环境影响严重的企业，包括钢铁、黑色金属冶炼、有色金属原矿冶炼、水泥、印染、染整、铅酸电池、皮革彝制、毛皮稣制、纸浆制造、造纸等制造业项目。</w:t>
                  </w:r>
                </w:p>
                <w:p w14:paraId="63410412">
                  <w:pPr>
                    <w:pStyle w:val="225"/>
                    <w:spacing w:line="276" w:lineRule="auto"/>
                    <w:ind w:firstLine="0" w:firstLineChars="0"/>
                    <w:jc w:val="left"/>
                    <w:rPr>
                      <w:sz w:val="21"/>
                    </w:rPr>
                  </w:pPr>
                  <w:r>
                    <w:rPr>
                      <w:rFonts w:hAnsi="宋体"/>
                      <w:sz w:val="21"/>
                    </w:rPr>
                    <w:t>④严格控制非主导产业类项目入区。</w:t>
                  </w:r>
                </w:p>
              </w:tc>
            </w:tr>
            <w:tr w14:paraId="47914E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pct"/>
                  <w:vAlign w:val="center"/>
                </w:tcPr>
                <w:p w14:paraId="483CFD6C">
                  <w:pPr>
                    <w:pStyle w:val="225"/>
                    <w:spacing w:line="276" w:lineRule="auto"/>
                    <w:ind w:firstLine="0" w:firstLineChars="0"/>
                    <w:jc w:val="center"/>
                    <w:rPr>
                      <w:sz w:val="21"/>
                    </w:rPr>
                  </w:pPr>
                  <w:r>
                    <w:rPr>
                      <w:rFonts w:hAnsi="宋体"/>
                      <w:sz w:val="21"/>
                    </w:rPr>
                    <w:t>生产工艺</w:t>
                  </w:r>
                </w:p>
              </w:tc>
              <w:tc>
                <w:tcPr>
                  <w:tcW w:w="4095" w:type="pct"/>
                  <w:vAlign w:val="center"/>
                </w:tcPr>
                <w:p w14:paraId="6CAA77EA">
                  <w:pPr>
                    <w:pStyle w:val="225"/>
                    <w:spacing w:line="276" w:lineRule="auto"/>
                    <w:ind w:firstLine="0" w:firstLineChars="0"/>
                    <w:jc w:val="left"/>
                    <w:rPr>
                      <w:sz w:val="21"/>
                    </w:rPr>
                  </w:pPr>
                  <w:r>
                    <w:rPr>
                      <w:rFonts w:hAnsi="宋体"/>
                      <w:sz w:val="21"/>
                    </w:rPr>
                    <w:t>①禁止引入电镀等金属表面处理类项目</w:t>
                  </w:r>
                  <w:r>
                    <w:rPr>
                      <w:rFonts w:hint="eastAsia" w:hAnsi="宋体"/>
                      <w:sz w:val="21"/>
                    </w:rPr>
                    <w:t>。</w:t>
                  </w:r>
                </w:p>
                <w:p w14:paraId="4E33A25F">
                  <w:pPr>
                    <w:pStyle w:val="225"/>
                    <w:spacing w:line="276" w:lineRule="auto"/>
                    <w:ind w:firstLine="0" w:firstLineChars="0"/>
                    <w:jc w:val="left"/>
                    <w:rPr>
                      <w:sz w:val="21"/>
                    </w:rPr>
                  </w:pPr>
                  <w:r>
                    <w:rPr>
                      <w:rFonts w:hAnsi="宋体"/>
                      <w:sz w:val="21"/>
                    </w:rPr>
                    <w:t>②禁止引入专门从事贮存、运输有毒有害危险化学品的项目。</w:t>
                  </w:r>
                </w:p>
                <w:p w14:paraId="145095FD">
                  <w:pPr>
                    <w:pStyle w:val="225"/>
                    <w:spacing w:line="276" w:lineRule="auto"/>
                    <w:ind w:firstLine="0" w:firstLineChars="0"/>
                    <w:jc w:val="left"/>
                    <w:rPr>
                      <w:sz w:val="21"/>
                    </w:rPr>
                  </w:pPr>
                  <w:r>
                    <w:rPr>
                      <w:rFonts w:hAnsi="宋体"/>
                      <w:sz w:val="21"/>
                    </w:rPr>
                    <w:t>③为主导产业及配套的上下游及延伸产业链项目的生产工艺、设备、污染治理技术等未达到清洁生产国内先进水平的、不符合环保相关要求的项目，禁止引入。</w:t>
                  </w:r>
                </w:p>
              </w:tc>
            </w:tr>
            <w:tr w14:paraId="3A116D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pct"/>
                  <w:vAlign w:val="center"/>
                </w:tcPr>
                <w:p w14:paraId="4D4B8737">
                  <w:pPr>
                    <w:pStyle w:val="225"/>
                    <w:spacing w:line="276" w:lineRule="auto"/>
                    <w:ind w:firstLine="0" w:firstLineChars="0"/>
                    <w:jc w:val="center"/>
                    <w:rPr>
                      <w:sz w:val="21"/>
                    </w:rPr>
                  </w:pPr>
                  <w:r>
                    <w:rPr>
                      <w:rFonts w:hAnsi="宋体"/>
                      <w:sz w:val="21"/>
                    </w:rPr>
                    <w:t>环保要求</w:t>
                  </w:r>
                </w:p>
              </w:tc>
              <w:tc>
                <w:tcPr>
                  <w:tcW w:w="4095" w:type="pct"/>
                  <w:vAlign w:val="center"/>
                </w:tcPr>
                <w:p w14:paraId="47946B13">
                  <w:pPr>
                    <w:pStyle w:val="225"/>
                    <w:spacing w:line="276" w:lineRule="auto"/>
                    <w:ind w:firstLine="0" w:firstLineChars="0"/>
                    <w:jc w:val="left"/>
                    <w:rPr>
                      <w:sz w:val="21"/>
                    </w:rPr>
                  </w:pPr>
                  <w:r>
                    <w:rPr>
                      <w:rFonts w:hAnsi="宋体"/>
                      <w:sz w:val="21"/>
                    </w:rPr>
                    <w:t>禁止引入尚需自行建设燃煤锅炉的企业入区，引进项目必须使用清洁能源。</w:t>
                  </w:r>
                </w:p>
              </w:tc>
            </w:tr>
            <w:tr w14:paraId="0BF699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05" w:type="pct"/>
                  <w:vAlign w:val="center"/>
                </w:tcPr>
                <w:p w14:paraId="66CE644F">
                  <w:pPr>
                    <w:pStyle w:val="225"/>
                    <w:spacing w:line="276" w:lineRule="auto"/>
                    <w:ind w:firstLine="0" w:firstLineChars="0"/>
                    <w:jc w:val="center"/>
                    <w:rPr>
                      <w:sz w:val="21"/>
                    </w:rPr>
                  </w:pPr>
                  <w:r>
                    <w:rPr>
                      <w:rFonts w:hAnsi="宋体"/>
                      <w:sz w:val="21"/>
                    </w:rPr>
                    <w:t>清洁生产</w:t>
                  </w:r>
                </w:p>
              </w:tc>
              <w:tc>
                <w:tcPr>
                  <w:tcW w:w="4095" w:type="pct"/>
                  <w:vAlign w:val="center"/>
                </w:tcPr>
                <w:p w14:paraId="1AFD9738">
                  <w:pPr>
                    <w:pStyle w:val="225"/>
                    <w:spacing w:line="276" w:lineRule="auto"/>
                    <w:ind w:firstLine="0" w:firstLineChars="0"/>
                    <w:jc w:val="left"/>
                    <w:rPr>
                      <w:sz w:val="21"/>
                    </w:rPr>
                  </w:pPr>
                  <w:r>
                    <w:rPr>
                      <w:rFonts w:hAnsi="宋体"/>
                      <w:sz w:val="21"/>
                    </w:rPr>
                    <w:t>禁止引入清洁生产低于国内先进水平的项目</w:t>
                  </w:r>
                  <w:r>
                    <w:rPr>
                      <w:rFonts w:hint="eastAsia" w:hAnsi="宋体"/>
                      <w:sz w:val="21"/>
                    </w:rPr>
                    <w:t>。</w:t>
                  </w:r>
                </w:p>
              </w:tc>
            </w:tr>
          </w:tbl>
          <w:p w14:paraId="05FABC8A">
            <w:pPr>
              <w:pStyle w:val="225"/>
              <w:ind w:firstLine="0" w:firstLineChars="0"/>
              <w:jc w:val="left"/>
              <w:rPr>
                <w:b/>
              </w:rPr>
            </w:pPr>
            <w:r>
              <w:rPr>
                <w:rFonts w:hint="eastAsia"/>
                <w:b/>
              </w:rPr>
              <w:t>2、规划环境影响评价及审查意见的符合性分析</w:t>
            </w:r>
          </w:p>
          <w:p w14:paraId="2F14CB99">
            <w:pPr>
              <w:pStyle w:val="225"/>
              <w:ind w:firstLine="480"/>
              <w:jc w:val="left"/>
            </w:pPr>
            <w:r>
              <w:t>（</w:t>
            </w:r>
            <w:r>
              <w:rPr>
                <w:rFonts w:hint="eastAsia"/>
              </w:rPr>
              <w:t>1</w:t>
            </w:r>
            <w:r>
              <w:t>）本项目与</w:t>
            </w:r>
            <w:r>
              <w:rPr>
                <w:rFonts w:hint="eastAsia"/>
              </w:rPr>
              <w:t>《</w:t>
            </w:r>
            <w:r>
              <w:rPr>
                <w:rFonts w:hint="eastAsia" w:hAnsi="宋体"/>
                <w:szCs w:val="24"/>
              </w:rPr>
              <w:t>安徽淮南毛集经济开发区规划环境影响报告书</w:t>
            </w:r>
            <w:r>
              <w:rPr>
                <w:rFonts w:hint="eastAsia"/>
              </w:rPr>
              <w:t>》及其审查意见符合性分析详见下表：</w:t>
            </w:r>
          </w:p>
          <w:p w14:paraId="20D227F6">
            <w:pPr>
              <w:autoSpaceDE w:val="0"/>
              <w:autoSpaceDN w:val="0"/>
              <w:adjustRightInd w:val="0"/>
              <w:snapToGrid w:val="0"/>
              <w:jc w:val="center"/>
              <w:rPr>
                <w:rFonts w:hAnsi="黑体" w:eastAsia="黑体"/>
                <w:sz w:val="24"/>
                <w:szCs w:val="24"/>
              </w:rPr>
            </w:pPr>
          </w:p>
          <w:p w14:paraId="517ADFDB">
            <w:pPr>
              <w:autoSpaceDE w:val="0"/>
              <w:autoSpaceDN w:val="0"/>
              <w:adjustRightInd w:val="0"/>
              <w:snapToGrid w:val="0"/>
              <w:jc w:val="center"/>
              <w:rPr>
                <w:rFonts w:hAnsi="黑体" w:eastAsia="黑体"/>
                <w:sz w:val="24"/>
                <w:szCs w:val="24"/>
              </w:rPr>
            </w:pPr>
          </w:p>
          <w:p w14:paraId="50B4660B">
            <w:pPr>
              <w:autoSpaceDE w:val="0"/>
              <w:autoSpaceDN w:val="0"/>
              <w:adjustRightInd w:val="0"/>
              <w:snapToGrid w:val="0"/>
              <w:jc w:val="center"/>
              <w:rPr>
                <w:rFonts w:hAnsi="黑体" w:eastAsia="黑体"/>
                <w:sz w:val="24"/>
                <w:szCs w:val="24"/>
              </w:rPr>
            </w:pPr>
          </w:p>
          <w:p w14:paraId="6B62D4B6">
            <w:pPr>
              <w:autoSpaceDE w:val="0"/>
              <w:autoSpaceDN w:val="0"/>
              <w:adjustRightInd w:val="0"/>
              <w:snapToGrid w:val="0"/>
              <w:jc w:val="center"/>
              <w:rPr>
                <w:rFonts w:hAnsi="黑体" w:eastAsia="黑体"/>
                <w:sz w:val="24"/>
                <w:szCs w:val="24"/>
              </w:rPr>
            </w:pPr>
          </w:p>
          <w:p w14:paraId="275F4EF3">
            <w:pPr>
              <w:autoSpaceDE w:val="0"/>
              <w:autoSpaceDN w:val="0"/>
              <w:adjustRightInd w:val="0"/>
              <w:snapToGrid w:val="0"/>
              <w:jc w:val="center"/>
              <w:rPr>
                <w:rFonts w:hAnsi="黑体" w:eastAsia="黑体"/>
                <w:sz w:val="24"/>
                <w:szCs w:val="24"/>
              </w:rPr>
            </w:pPr>
          </w:p>
          <w:p w14:paraId="5C41B551">
            <w:pPr>
              <w:autoSpaceDE w:val="0"/>
              <w:autoSpaceDN w:val="0"/>
              <w:adjustRightInd w:val="0"/>
              <w:snapToGrid w:val="0"/>
              <w:jc w:val="center"/>
              <w:rPr>
                <w:rFonts w:hAnsi="黑体" w:eastAsia="黑体"/>
                <w:sz w:val="24"/>
                <w:szCs w:val="24"/>
              </w:rPr>
            </w:pPr>
          </w:p>
          <w:p w14:paraId="23AF0453">
            <w:pPr>
              <w:autoSpaceDE w:val="0"/>
              <w:autoSpaceDN w:val="0"/>
              <w:adjustRightInd w:val="0"/>
              <w:snapToGrid w:val="0"/>
              <w:jc w:val="center"/>
              <w:rPr>
                <w:rFonts w:hAnsi="黑体" w:eastAsia="黑体"/>
                <w:sz w:val="24"/>
                <w:szCs w:val="24"/>
              </w:rPr>
            </w:pPr>
          </w:p>
          <w:p w14:paraId="3CB23AF1">
            <w:pPr>
              <w:autoSpaceDE w:val="0"/>
              <w:autoSpaceDN w:val="0"/>
              <w:adjustRightInd w:val="0"/>
              <w:snapToGrid w:val="0"/>
              <w:jc w:val="center"/>
              <w:rPr>
                <w:rFonts w:hAnsi="黑体" w:eastAsia="黑体"/>
                <w:sz w:val="24"/>
                <w:szCs w:val="24"/>
              </w:rPr>
            </w:pPr>
          </w:p>
          <w:p w14:paraId="67283172">
            <w:pPr>
              <w:autoSpaceDE w:val="0"/>
              <w:autoSpaceDN w:val="0"/>
              <w:adjustRightInd w:val="0"/>
              <w:snapToGrid w:val="0"/>
              <w:jc w:val="center"/>
              <w:rPr>
                <w:rFonts w:hAnsi="黑体" w:eastAsia="黑体"/>
                <w:sz w:val="24"/>
                <w:szCs w:val="24"/>
              </w:rPr>
            </w:pPr>
          </w:p>
          <w:p w14:paraId="4CA465EA">
            <w:pPr>
              <w:autoSpaceDE w:val="0"/>
              <w:autoSpaceDN w:val="0"/>
              <w:adjustRightInd w:val="0"/>
              <w:snapToGrid w:val="0"/>
              <w:jc w:val="center"/>
              <w:rPr>
                <w:rFonts w:hAnsi="黑体" w:eastAsia="黑体"/>
                <w:sz w:val="24"/>
                <w:szCs w:val="24"/>
              </w:rPr>
            </w:pPr>
          </w:p>
          <w:p w14:paraId="6F04EB6F">
            <w:pPr>
              <w:autoSpaceDE w:val="0"/>
              <w:autoSpaceDN w:val="0"/>
              <w:adjustRightInd w:val="0"/>
              <w:snapToGrid w:val="0"/>
              <w:jc w:val="center"/>
              <w:rPr>
                <w:rFonts w:hAnsi="黑体" w:eastAsia="黑体"/>
                <w:sz w:val="24"/>
                <w:szCs w:val="24"/>
              </w:rPr>
            </w:pPr>
          </w:p>
          <w:p w14:paraId="2C5F22CB">
            <w:pPr>
              <w:autoSpaceDE w:val="0"/>
              <w:autoSpaceDN w:val="0"/>
              <w:adjustRightInd w:val="0"/>
              <w:snapToGrid w:val="0"/>
              <w:jc w:val="center"/>
              <w:rPr>
                <w:rFonts w:hAnsi="黑体" w:eastAsia="黑体"/>
                <w:sz w:val="24"/>
                <w:szCs w:val="24"/>
              </w:rPr>
            </w:pPr>
          </w:p>
          <w:p w14:paraId="40F48301">
            <w:pPr>
              <w:autoSpaceDE w:val="0"/>
              <w:autoSpaceDN w:val="0"/>
              <w:adjustRightInd w:val="0"/>
              <w:snapToGrid w:val="0"/>
              <w:jc w:val="center"/>
              <w:rPr>
                <w:rFonts w:hAnsi="黑体" w:eastAsia="黑体"/>
                <w:szCs w:val="21"/>
              </w:rPr>
            </w:pPr>
            <w:r>
              <w:rPr>
                <w:rFonts w:hint="eastAsia" w:hAnsi="黑体" w:eastAsia="黑体"/>
                <w:sz w:val="24"/>
                <w:szCs w:val="24"/>
              </w:rPr>
              <w:t xml:space="preserve">表3  </w:t>
            </w:r>
            <w:r>
              <w:rPr>
                <w:rFonts w:hAnsi="黑体" w:eastAsia="黑体"/>
                <w:sz w:val="24"/>
                <w:szCs w:val="24"/>
              </w:rPr>
              <w:t>与</w:t>
            </w:r>
            <w:r>
              <w:rPr>
                <w:rFonts w:hint="eastAsia" w:hAnsi="黑体" w:eastAsia="黑体"/>
                <w:sz w:val="24"/>
                <w:szCs w:val="24"/>
              </w:rPr>
              <w:t>《安徽淮南毛集经济开发区规划环境影响报告书》及其审查意见符合性分析</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13"/>
              <w:gridCol w:w="2360"/>
              <w:gridCol w:w="2319"/>
              <w:gridCol w:w="900"/>
            </w:tblGrid>
            <w:tr w14:paraId="55BFD4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Align w:val="center"/>
                </w:tcPr>
                <w:p w14:paraId="73095DEA">
                  <w:pPr>
                    <w:pStyle w:val="225"/>
                    <w:spacing w:line="276" w:lineRule="auto"/>
                    <w:ind w:firstLine="0" w:firstLineChars="0"/>
                    <w:jc w:val="center"/>
                    <w:rPr>
                      <w:b/>
                      <w:sz w:val="21"/>
                    </w:rPr>
                  </w:pPr>
                  <w:r>
                    <w:rPr>
                      <w:rFonts w:hint="eastAsia"/>
                      <w:b/>
                      <w:sz w:val="21"/>
                    </w:rPr>
                    <w:t>序号</w:t>
                  </w:r>
                </w:p>
              </w:tc>
              <w:tc>
                <w:tcPr>
                  <w:tcW w:w="1875" w:type="pct"/>
                  <w:vAlign w:val="center"/>
                </w:tcPr>
                <w:p w14:paraId="04F53629">
                  <w:pPr>
                    <w:pStyle w:val="225"/>
                    <w:spacing w:line="276" w:lineRule="auto"/>
                    <w:ind w:firstLine="0" w:firstLineChars="0"/>
                    <w:jc w:val="center"/>
                    <w:rPr>
                      <w:b/>
                      <w:sz w:val="21"/>
                    </w:rPr>
                  </w:pPr>
                  <w:r>
                    <w:rPr>
                      <w:rFonts w:hint="eastAsia"/>
                      <w:b/>
                      <w:sz w:val="21"/>
                    </w:rPr>
                    <w:t>规划环评及审查意见要求</w:t>
                  </w:r>
                </w:p>
              </w:tc>
              <w:tc>
                <w:tcPr>
                  <w:tcW w:w="1843" w:type="pct"/>
                  <w:vAlign w:val="center"/>
                </w:tcPr>
                <w:p w14:paraId="1DB2172A">
                  <w:pPr>
                    <w:pStyle w:val="225"/>
                    <w:spacing w:line="276" w:lineRule="auto"/>
                    <w:ind w:firstLine="0" w:firstLineChars="0"/>
                    <w:jc w:val="center"/>
                    <w:rPr>
                      <w:b/>
                      <w:sz w:val="21"/>
                    </w:rPr>
                  </w:pPr>
                  <w:r>
                    <w:rPr>
                      <w:rFonts w:hint="eastAsia"/>
                      <w:b/>
                      <w:sz w:val="21"/>
                    </w:rPr>
                    <w:t>本项目情况</w:t>
                  </w:r>
                </w:p>
              </w:tc>
              <w:tc>
                <w:tcPr>
                  <w:tcW w:w="715" w:type="pct"/>
                  <w:vAlign w:val="center"/>
                </w:tcPr>
                <w:p w14:paraId="09132190">
                  <w:pPr>
                    <w:pStyle w:val="225"/>
                    <w:spacing w:line="276" w:lineRule="auto"/>
                    <w:ind w:firstLine="0" w:firstLineChars="0"/>
                    <w:jc w:val="center"/>
                    <w:rPr>
                      <w:b/>
                      <w:sz w:val="21"/>
                    </w:rPr>
                  </w:pPr>
                  <w:r>
                    <w:rPr>
                      <w:rFonts w:hint="eastAsia"/>
                      <w:b/>
                      <w:sz w:val="21"/>
                    </w:rPr>
                    <w:t>相符性</w:t>
                  </w:r>
                </w:p>
              </w:tc>
            </w:tr>
            <w:tr w14:paraId="21BA9F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Merge w:val="restart"/>
                  <w:vAlign w:val="center"/>
                </w:tcPr>
                <w:p w14:paraId="3EFD22ED">
                  <w:pPr>
                    <w:pStyle w:val="225"/>
                    <w:spacing w:line="276" w:lineRule="auto"/>
                    <w:ind w:firstLine="0" w:firstLineChars="0"/>
                    <w:jc w:val="center"/>
                    <w:rPr>
                      <w:sz w:val="21"/>
                    </w:rPr>
                  </w:pPr>
                  <w:r>
                    <w:rPr>
                      <w:sz w:val="21"/>
                    </w:rPr>
                    <w:t>1</w:t>
                  </w:r>
                </w:p>
              </w:tc>
              <w:tc>
                <w:tcPr>
                  <w:tcW w:w="1875" w:type="pct"/>
                  <w:vAlign w:val="center"/>
                </w:tcPr>
                <w:p w14:paraId="25B5C85C">
                  <w:pPr>
                    <w:pStyle w:val="225"/>
                    <w:spacing w:line="276" w:lineRule="auto"/>
                    <w:ind w:firstLine="0" w:firstLineChars="0"/>
                    <w:jc w:val="center"/>
                    <w:rPr>
                      <w:sz w:val="21"/>
                    </w:rPr>
                  </w:pPr>
                  <w:r>
                    <w:rPr>
                      <w:rFonts w:hint="eastAsia"/>
                      <w:sz w:val="21"/>
                    </w:rPr>
                    <w:t>严禁建设国家产业政策、技术政策和环保法律法规明令禁止的项目，严格控制高耗水高耗能、污水排放量大的项目入开发区。</w:t>
                  </w:r>
                </w:p>
              </w:tc>
              <w:tc>
                <w:tcPr>
                  <w:tcW w:w="1843" w:type="pct"/>
                  <w:vAlign w:val="center"/>
                </w:tcPr>
                <w:p w14:paraId="13475CD2">
                  <w:pPr>
                    <w:pStyle w:val="225"/>
                    <w:spacing w:line="276" w:lineRule="auto"/>
                    <w:ind w:firstLine="0" w:firstLineChars="0"/>
                    <w:jc w:val="center"/>
                    <w:rPr>
                      <w:sz w:val="21"/>
                    </w:rPr>
                  </w:pPr>
                  <w:r>
                    <w:rPr>
                      <w:rFonts w:hint="eastAsia"/>
                      <w:sz w:val="21"/>
                    </w:rPr>
                    <w:t>本项目属于其他玩具制造业，对照《产业结构调整指导目录（2019年本）》，不属于限制类及淘汰类项目，与产业政策相符。清洗环节使用乙醇作为清洗溶剂，非高耗水、高耗能、污水排放量大的项目。</w:t>
                  </w:r>
                </w:p>
              </w:tc>
              <w:tc>
                <w:tcPr>
                  <w:tcW w:w="715" w:type="pct"/>
                  <w:vAlign w:val="center"/>
                </w:tcPr>
                <w:p w14:paraId="66E68A1A">
                  <w:pPr>
                    <w:pStyle w:val="225"/>
                    <w:spacing w:line="276" w:lineRule="auto"/>
                    <w:ind w:firstLine="0" w:firstLineChars="0"/>
                    <w:jc w:val="center"/>
                    <w:rPr>
                      <w:sz w:val="21"/>
                    </w:rPr>
                  </w:pPr>
                  <w:r>
                    <w:rPr>
                      <w:rFonts w:hint="eastAsia"/>
                      <w:sz w:val="21"/>
                    </w:rPr>
                    <w:t>符合</w:t>
                  </w:r>
                </w:p>
              </w:tc>
            </w:tr>
            <w:tr w14:paraId="0F2F18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Merge w:val="continue"/>
                  <w:vAlign w:val="center"/>
                </w:tcPr>
                <w:p w14:paraId="254D67A8">
                  <w:pPr>
                    <w:pStyle w:val="225"/>
                    <w:spacing w:line="276" w:lineRule="auto"/>
                    <w:ind w:firstLine="0" w:firstLineChars="0"/>
                    <w:jc w:val="center"/>
                    <w:rPr>
                      <w:sz w:val="21"/>
                    </w:rPr>
                  </w:pPr>
                </w:p>
              </w:tc>
              <w:tc>
                <w:tcPr>
                  <w:tcW w:w="1875" w:type="pct"/>
                  <w:vAlign w:val="center"/>
                </w:tcPr>
                <w:p w14:paraId="0593929A">
                  <w:pPr>
                    <w:pStyle w:val="225"/>
                    <w:spacing w:line="276" w:lineRule="auto"/>
                    <w:ind w:firstLine="0" w:firstLineChars="0"/>
                    <w:jc w:val="center"/>
                    <w:rPr>
                      <w:sz w:val="21"/>
                    </w:rPr>
                  </w:pPr>
                  <w:r>
                    <w:rPr>
                      <w:rFonts w:hint="eastAsia"/>
                      <w:sz w:val="21"/>
                    </w:rPr>
                    <w:t>入区项目要采用先进的生产工艺和装备，建设完善的环境保护、安全生产和事故防范系统强化节能、节水等各项环保措施。</w:t>
                  </w:r>
                </w:p>
              </w:tc>
              <w:tc>
                <w:tcPr>
                  <w:tcW w:w="1843" w:type="pct"/>
                  <w:vAlign w:val="center"/>
                </w:tcPr>
                <w:p w14:paraId="41C6481E">
                  <w:pPr>
                    <w:pStyle w:val="225"/>
                    <w:spacing w:line="276" w:lineRule="auto"/>
                    <w:ind w:firstLine="0" w:firstLineChars="0"/>
                    <w:jc w:val="center"/>
                    <w:rPr>
                      <w:sz w:val="21"/>
                    </w:rPr>
                  </w:pPr>
                  <w:r>
                    <w:rPr>
                      <w:rFonts w:hint="eastAsia"/>
                      <w:sz w:val="21"/>
                    </w:rPr>
                    <w:t>本项目建设完成后能够建设完善的环境保护、安全生产和事故防范系统强化节能、节水等各项环保措施。</w:t>
                  </w:r>
                </w:p>
              </w:tc>
              <w:tc>
                <w:tcPr>
                  <w:tcW w:w="715" w:type="pct"/>
                  <w:vAlign w:val="center"/>
                </w:tcPr>
                <w:p w14:paraId="742EB4C9">
                  <w:pPr>
                    <w:pStyle w:val="225"/>
                    <w:spacing w:line="276" w:lineRule="auto"/>
                    <w:ind w:firstLine="0" w:firstLineChars="0"/>
                    <w:jc w:val="center"/>
                    <w:rPr>
                      <w:sz w:val="21"/>
                    </w:rPr>
                  </w:pPr>
                  <w:r>
                    <w:rPr>
                      <w:rFonts w:hint="eastAsia"/>
                      <w:sz w:val="21"/>
                    </w:rPr>
                    <w:t>符合</w:t>
                  </w:r>
                </w:p>
              </w:tc>
            </w:tr>
            <w:tr w14:paraId="3F4E5E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Merge w:val="continue"/>
                  <w:vAlign w:val="center"/>
                </w:tcPr>
                <w:p w14:paraId="544B000C">
                  <w:pPr>
                    <w:pStyle w:val="225"/>
                    <w:spacing w:line="276" w:lineRule="auto"/>
                    <w:ind w:firstLine="0" w:firstLineChars="0"/>
                    <w:jc w:val="center"/>
                    <w:rPr>
                      <w:sz w:val="21"/>
                    </w:rPr>
                  </w:pPr>
                </w:p>
              </w:tc>
              <w:tc>
                <w:tcPr>
                  <w:tcW w:w="1875" w:type="pct"/>
                  <w:vAlign w:val="center"/>
                </w:tcPr>
                <w:p w14:paraId="55EBA792">
                  <w:pPr>
                    <w:pStyle w:val="225"/>
                    <w:spacing w:line="276" w:lineRule="auto"/>
                    <w:ind w:firstLine="0" w:firstLineChars="0"/>
                    <w:jc w:val="center"/>
                    <w:rPr>
                      <w:sz w:val="21"/>
                    </w:rPr>
                  </w:pPr>
                  <w:r>
                    <w:rPr>
                      <w:rFonts w:hint="eastAsia"/>
                      <w:sz w:val="21"/>
                    </w:rPr>
                    <w:t>加强地下水资源保护与管理，入区项目一律采用市政集中供水，不得自行取用地下水。</w:t>
                  </w:r>
                </w:p>
              </w:tc>
              <w:tc>
                <w:tcPr>
                  <w:tcW w:w="1843" w:type="pct"/>
                  <w:vAlign w:val="center"/>
                </w:tcPr>
                <w:p w14:paraId="7DEBB308">
                  <w:pPr>
                    <w:pStyle w:val="225"/>
                    <w:spacing w:line="276" w:lineRule="auto"/>
                    <w:ind w:firstLine="0" w:firstLineChars="0"/>
                    <w:jc w:val="center"/>
                    <w:rPr>
                      <w:sz w:val="21"/>
                    </w:rPr>
                  </w:pPr>
                  <w:r>
                    <w:rPr>
                      <w:rFonts w:hint="eastAsia"/>
                      <w:sz w:val="21"/>
                    </w:rPr>
                    <w:t>本项目用水由市政集中供水，不存在自行取用地下水情况。</w:t>
                  </w:r>
                </w:p>
              </w:tc>
              <w:tc>
                <w:tcPr>
                  <w:tcW w:w="715" w:type="pct"/>
                  <w:vAlign w:val="center"/>
                </w:tcPr>
                <w:p w14:paraId="5C2969D6">
                  <w:pPr>
                    <w:pStyle w:val="225"/>
                    <w:spacing w:line="276" w:lineRule="auto"/>
                    <w:ind w:firstLine="0" w:firstLineChars="0"/>
                    <w:jc w:val="center"/>
                    <w:rPr>
                      <w:sz w:val="21"/>
                    </w:rPr>
                  </w:pPr>
                  <w:r>
                    <w:rPr>
                      <w:rFonts w:hint="eastAsia"/>
                      <w:sz w:val="21"/>
                    </w:rPr>
                    <w:t>符合</w:t>
                  </w:r>
                </w:p>
              </w:tc>
            </w:tr>
            <w:tr w14:paraId="62C26E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Align w:val="center"/>
                </w:tcPr>
                <w:p w14:paraId="4C77BA21">
                  <w:pPr>
                    <w:pStyle w:val="225"/>
                    <w:spacing w:line="276" w:lineRule="auto"/>
                    <w:ind w:firstLine="0" w:firstLineChars="0"/>
                    <w:jc w:val="center"/>
                    <w:rPr>
                      <w:sz w:val="21"/>
                    </w:rPr>
                  </w:pPr>
                  <w:r>
                    <w:rPr>
                      <w:sz w:val="21"/>
                    </w:rPr>
                    <w:t>2</w:t>
                  </w:r>
                </w:p>
              </w:tc>
              <w:tc>
                <w:tcPr>
                  <w:tcW w:w="1875" w:type="pct"/>
                  <w:vAlign w:val="center"/>
                </w:tcPr>
                <w:p w14:paraId="36C8CDAB">
                  <w:pPr>
                    <w:pStyle w:val="225"/>
                    <w:spacing w:line="276" w:lineRule="auto"/>
                    <w:ind w:firstLine="0" w:firstLineChars="0"/>
                    <w:jc w:val="center"/>
                    <w:rPr>
                      <w:sz w:val="21"/>
                    </w:rPr>
                  </w:pPr>
                  <w:r>
                    <w:rPr>
                      <w:rFonts w:hint="eastAsia"/>
                      <w:sz w:val="21"/>
                    </w:rPr>
                    <w:t>强化污染治理基础设施建设。加快开发区依托的毛集实验区污水处理厂建设，完善配套管网，2014年4月底前形成处理能力，开发区生产和生活污水全部进入污水处理厂处理后外排，污水处理厂污水排放执行《城镇污水处理厂污染物排放标准》GB18918-2002)中的一级A标准。在此之前，现有入区企业的生产污水必须按要求实行处理达标排放。</w:t>
                  </w:r>
                </w:p>
              </w:tc>
              <w:tc>
                <w:tcPr>
                  <w:tcW w:w="1843" w:type="pct"/>
                  <w:vAlign w:val="center"/>
                </w:tcPr>
                <w:p w14:paraId="5D100904">
                  <w:pPr>
                    <w:pStyle w:val="225"/>
                    <w:spacing w:line="276" w:lineRule="auto"/>
                    <w:ind w:firstLine="0" w:firstLineChars="0"/>
                    <w:jc w:val="center"/>
                    <w:rPr>
                      <w:sz w:val="21"/>
                    </w:rPr>
                  </w:pPr>
                  <w:r>
                    <w:rPr>
                      <w:rFonts w:hint="eastAsia"/>
                      <w:sz w:val="21"/>
                    </w:rPr>
                    <w:t>生产环节不消耗水，无生产废水排放。生活污水经厂区内化粪池预处理后进入市政污水管网，依托毛集实验区污水处理厂处理达标后外排。</w:t>
                  </w:r>
                </w:p>
              </w:tc>
              <w:tc>
                <w:tcPr>
                  <w:tcW w:w="715" w:type="pct"/>
                  <w:vAlign w:val="center"/>
                </w:tcPr>
                <w:p w14:paraId="4F9E8604">
                  <w:pPr>
                    <w:pStyle w:val="225"/>
                    <w:spacing w:line="276" w:lineRule="auto"/>
                    <w:ind w:firstLine="0" w:firstLineChars="0"/>
                    <w:jc w:val="center"/>
                    <w:rPr>
                      <w:sz w:val="21"/>
                    </w:rPr>
                  </w:pPr>
                  <w:r>
                    <w:rPr>
                      <w:rFonts w:hint="eastAsia"/>
                      <w:sz w:val="21"/>
                    </w:rPr>
                    <w:t>符合</w:t>
                  </w:r>
                </w:p>
              </w:tc>
            </w:tr>
            <w:tr w14:paraId="49B6A8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Align w:val="center"/>
                </w:tcPr>
                <w:p w14:paraId="491593CE">
                  <w:pPr>
                    <w:pStyle w:val="225"/>
                    <w:spacing w:line="276" w:lineRule="auto"/>
                    <w:ind w:firstLine="0" w:firstLineChars="0"/>
                    <w:jc w:val="center"/>
                    <w:rPr>
                      <w:sz w:val="21"/>
                    </w:rPr>
                  </w:pPr>
                  <w:r>
                    <w:rPr>
                      <w:sz w:val="21"/>
                    </w:rPr>
                    <w:t>3</w:t>
                  </w:r>
                </w:p>
              </w:tc>
              <w:tc>
                <w:tcPr>
                  <w:tcW w:w="1875" w:type="pct"/>
                  <w:vAlign w:val="center"/>
                </w:tcPr>
                <w:p w14:paraId="3D42B7B4">
                  <w:pPr>
                    <w:pStyle w:val="225"/>
                    <w:spacing w:line="276" w:lineRule="auto"/>
                    <w:ind w:firstLine="0" w:firstLineChars="0"/>
                    <w:jc w:val="center"/>
                    <w:rPr>
                      <w:sz w:val="21"/>
                    </w:rPr>
                  </w:pPr>
                  <w:r>
                    <w:rPr>
                      <w:rFonts w:hint="eastAsia"/>
                      <w:sz w:val="21"/>
                    </w:rPr>
                    <w:t>开发区内所有建设项目，要认真履行有关环境保护法律法规，严格执行建设项目环境影响评价制度和环境保护“三同时”制度。</w:t>
                  </w:r>
                </w:p>
              </w:tc>
              <w:tc>
                <w:tcPr>
                  <w:tcW w:w="1843" w:type="pct"/>
                  <w:vAlign w:val="center"/>
                </w:tcPr>
                <w:p w14:paraId="6C512C56">
                  <w:pPr>
                    <w:pStyle w:val="225"/>
                    <w:spacing w:line="276" w:lineRule="auto"/>
                    <w:ind w:firstLine="0" w:firstLineChars="0"/>
                    <w:jc w:val="center"/>
                    <w:rPr>
                      <w:sz w:val="21"/>
                    </w:rPr>
                  </w:pPr>
                  <w:r>
                    <w:rPr>
                      <w:rFonts w:hint="eastAsia"/>
                      <w:sz w:val="21"/>
                    </w:rPr>
                    <w:t>本项目将严格执行建设项目环境影响评价制度和环境保护“三同时”制度。</w:t>
                  </w:r>
                </w:p>
              </w:tc>
              <w:tc>
                <w:tcPr>
                  <w:tcW w:w="715" w:type="pct"/>
                  <w:vAlign w:val="center"/>
                </w:tcPr>
                <w:p w14:paraId="71694650">
                  <w:pPr>
                    <w:pStyle w:val="225"/>
                    <w:spacing w:line="276" w:lineRule="auto"/>
                    <w:ind w:firstLine="0" w:firstLineChars="0"/>
                    <w:jc w:val="center"/>
                    <w:rPr>
                      <w:sz w:val="21"/>
                    </w:rPr>
                  </w:pPr>
                  <w:r>
                    <w:rPr>
                      <w:rFonts w:hint="eastAsia"/>
                      <w:sz w:val="21"/>
                    </w:rPr>
                    <w:t>符合</w:t>
                  </w:r>
                </w:p>
              </w:tc>
            </w:tr>
          </w:tbl>
          <w:p w14:paraId="7D6116AC">
            <w:pPr>
              <w:pStyle w:val="225"/>
              <w:ind w:firstLine="480"/>
              <w:jc w:val="left"/>
            </w:pPr>
            <w:r>
              <w:t>（</w:t>
            </w:r>
            <w:r>
              <w:rPr>
                <w:rFonts w:hint="eastAsia"/>
              </w:rPr>
              <w:t>2</w:t>
            </w:r>
            <w:r>
              <w:t>）本项目与</w:t>
            </w:r>
            <w:r>
              <w:rPr>
                <w:rFonts w:hint="eastAsia"/>
              </w:rPr>
              <w:t>《</w:t>
            </w:r>
            <w:r>
              <w:rPr>
                <w:rFonts w:hAnsi="宋体"/>
                <w:szCs w:val="24"/>
              </w:rPr>
              <w:t>安徽淮南毛集经济开发区规划环境影响跟踪评价报告书</w:t>
            </w:r>
            <w:r>
              <w:rPr>
                <w:rFonts w:hint="eastAsia"/>
              </w:rPr>
              <w:t>》及其审查意见符合性分析详见下表：</w:t>
            </w:r>
          </w:p>
          <w:p w14:paraId="316A225C">
            <w:pPr>
              <w:autoSpaceDE w:val="0"/>
              <w:autoSpaceDN w:val="0"/>
              <w:adjustRightInd w:val="0"/>
              <w:snapToGrid w:val="0"/>
              <w:jc w:val="center"/>
              <w:rPr>
                <w:rFonts w:hAnsi="黑体" w:eastAsia="黑体"/>
                <w:szCs w:val="21"/>
              </w:rPr>
            </w:pPr>
            <w:r>
              <w:rPr>
                <w:rFonts w:hint="eastAsia" w:hAnsi="黑体" w:eastAsia="黑体"/>
                <w:sz w:val="24"/>
                <w:szCs w:val="24"/>
              </w:rPr>
              <w:t xml:space="preserve">表4  </w:t>
            </w:r>
            <w:r>
              <w:rPr>
                <w:rFonts w:hAnsi="黑体" w:eastAsia="黑体"/>
                <w:sz w:val="24"/>
                <w:szCs w:val="24"/>
              </w:rPr>
              <w:t>与</w:t>
            </w:r>
            <w:r>
              <w:rPr>
                <w:rFonts w:hint="eastAsia" w:hAnsi="黑体" w:eastAsia="黑体"/>
                <w:sz w:val="24"/>
                <w:szCs w:val="24"/>
              </w:rPr>
              <w:t>《</w:t>
            </w:r>
            <w:r>
              <w:rPr>
                <w:rFonts w:hAnsi="黑体" w:eastAsia="黑体"/>
                <w:sz w:val="24"/>
                <w:szCs w:val="24"/>
              </w:rPr>
              <w:t>安徽淮南毛集经济开发区规划环境影响跟踪评价报告书</w:t>
            </w:r>
            <w:r>
              <w:rPr>
                <w:rFonts w:hint="eastAsia" w:hAnsi="黑体" w:eastAsia="黑体"/>
                <w:sz w:val="24"/>
                <w:szCs w:val="24"/>
              </w:rPr>
              <w:t>》及其审查意见符合性分析</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14"/>
              <w:gridCol w:w="2836"/>
              <w:gridCol w:w="1701"/>
              <w:gridCol w:w="1041"/>
            </w:tblGrid>
            <w:tr w14:paraId="13573E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Align w:val="center"/>
                </w:tcPr>
                <w:p w14:paraId="64E74169">
                  <w:pPr>
                    <w:pStyle w:val="225"/>
                    <w:spacing w:line="276" w:lineRule="auto"/>
                    <w:ind w:firstLine="0" w:firstLineChars="0"/>
                    <w:jc w:val="center"/>
                    <w:rPr>
                      <w:sz w:val="21"/>
                    </w:rPr>
                  </w:pPr>
                  <w:r>
                    <w:rPr>
                      <w:rFonts w:hint="eastAsia"/>
                      <w:sz w:val="21"/>
                    </w:rPr>
                    <w:t>序号</w:t>
                  </w:r>
                </w:p>
              </w:tc>
              <w:tc>
                <w:tcPr>
                  <w:tcW w:w="2254" w:type="pct"/>
                  <w:vAlign w:val="center"/>
                </w:tcPr>
                <w:p w14:paraId="5EE21408">
                  <w:pPr>
                    <w:pStyle w:val="225"/>
                    <w:spacing w:line="276" w:lineRule="auto"/>
                    <w:ind w:firstLine="0" w:firstLineChars="0"/>
                    <w:jc w:val="center"/>
                    <w:rPr>
                      <w:sz w:val="21"/>
                    </w:rPr>
                  </w:pPr>
                  <w:r>
                    <w:rPr>
                      <w:rFonts w:hint="eastAsia"/>
                      <w:sz w:val="21"/>
                    </w:rPr>
                    <w:t>跟踪评价建议及其审查意见要求</w:t>
                  </w:r>
                </w:p>
              </w:tc>
              <w:tc>
                <w:tcPr>
                  <w:tcW w:w="1352" w:type="pct"/>
                  <w:vAlign w:val="center"/>
                </w:tcPr>
                <w:p w14:paraId="13BAEC37">
                  <w:pPr>
                    <w:pStyle w:val="225"/>
                    <w:spacing w:line="276" w:lineRule="auto"/>
                    <w:ind w:firstLine="0" w:firstLineChars="0"/>
                    <w:jc w:val="center"/>
                    <w:rPr>
                      <w:sz w:val="21"/>
                    </w:rPr>
                  </w:pPr>
                  <w:r>
                    <w:rPr>
                      <w:rFonts w:hint="eastAsia"/>
                      <w:sz w:val="21"/>
                    </w:rPr>
                    <w:t>本项目情况</w:t>
                  </w:r>
                </w:p>
              </w:tc>
              <w:tc>
                <w:tcPr>
                  <w:tcW w:w="827" w:type="pct"/>
                  <w:vAlign w:val="center"/>
                </w:tcPr>
                <w:p w14:paraId="354DB116">
                  <w:pPr>
                    <w:pStyle w:val="225"/>
                    <w:spacing w:line="276" w:lineRule="auto"/>
                    <w:ind w:firstLine="0" w:firstLineChars="0"/>
                    <w:jc w:val="center"/>
                    <w:rPr>
                      <w:sz w:val="21"/>
                    </w:rPr>
                  </w:pPr>
                  <w:r>
                    <w:rPr>
                      <w:rFonts w:hint="eastAsia"/>
                      <w:sz w:val="21"/>
                    </w:rPr>
                    <w:t>相符性</w:t>
                  </w:r>
                </w:p>
              </w:tc>
            </w:tr>
            <w:tr w14:paraId="51D2C9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Align w:val="center"/>
                </w:tcPr>
                <w:p w14:paraId="5FFD36FE">
                  <w:pPr>
                    <w:pStyle w:val="225"/>
                    <w:spacing w:line="276" w:lineRule="auto"/>
                    <w:ind w:firstLine="0" w:firstLineChars="0"/>
                    <w:jc w:val="center"/>
                    <w:rPr>
                      <w:sz w:val="21"/>
                    </w:rPr>
                  </w:pPr>
                  <w:r>
                    <w:rPr>
                      <w:rFonts w:hint="eastAsia"/>
                      <w:sz w:val="21"/>
                    </w:rPr>
                    <w:t>1</w:t>
                  </w:r>
                </w:p>
              </w:tc>
              <w:tc>
                <w:tcPr>
                  <w:tcW w:w="2254" w:type="pct"/>
                  <w:vAlign w:val="center"/>
                </w:tcPr>
                <w:p w14:paraId="7D7DAE42">
                  <w:pPr>
                    <w:pStyle w:val="225"/>
                    <w:spacing w:line="276" w:lineRule="auto"/>
                    <w:ind w:firstLine="0" w:firstLineChars="0"/>
                    <w:jc w:val="center"/>
                    <w:rPr>
                      <w:sz w:val="21"/>
                    </w:rPr>
                  </w:pPr>
                  <w:r>
                    <w:rPr>
                      <w:rFonts w:hint="eastAsia"/>
                      <w:sz w:val="21"/>
                    </w:rPr>
                    <w:t>建议加强对区内现有食品加工、农副食品加工企业周边其他工业企业的环境监管，强化对其现有污染防治措施的运行管理，在生产过程中最大限度减少无组织废气排放，确保污染物达标排放，今后适时通过产业结构调整，逐步淘汰落后产能。</w:t>
                  </w:r>
                </w:p>
              </w:tc>
              <w:tc>
                <w:tcPr>
                  <w:tcW w:w="1352" w:type="pct"/>
                  <w:vAlign w:val="center"/>
                </w:tcPr>
                <w:p w14:paraId="3CAAC71C">
                  <w:pPr>
                    <w:pStyle w:val="225"/>
                    <w:spacing w:line="276" w:lineRule="auto"/>
                    <w:ind w:firstLine="0" w:firstLineChars="0"/>
                    <w:jc w:val="center"/>
                    <w:rPr>
                      <w:sz w:val="21"/>
                    </w:rPr>
                  </w:pPr>
                  <w:r>
                    <w:rPr>
                      <w:rFonts w:hint="eastAsia"/>
                      <w:sz w:val="21"/>
                    </w:rPr>
                    <w:t>本项目生产过程中产生的有机废气均采用集气罩收集，通过废气处理设施处理达标后排放。</w:t>
                  </w:r>
                </w:p>
              </w:tc>
              <w:tc>
                <w:tcPr>
                  <w:tcW w:w="827" w:type="pct"/>
                  <w:vAlign w:val="center"/>
                </w:tcPr>
                <w:p w14:paraId="699363F0">
                  <w:pPr>
                    <w:pStyle w:val="225"/>
                    <w:spacing w:line="276" w:lineRule="auto"/>
                    <w:ind w:firstLine="0" w:firstLineChars="0"/>
                    <w:jc w:val="center"/>
                    <w:rPr>
                      <w:sz w:val="21"/>
                    </w:rPr>
                  </w:pPr>
                  <w:r>
                    <w:rPr>
                      <w:rFonts w:hint="eastAsia"/>
                      <w:sz w:val="21"/>
                    </w:rPr>
                    <w:t>符合</w:t>
                  </w:r>
                </w:p>
              </w:tc>
            </w:tr>
            <w:tr w14:paraId="0981DC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Align w:val="center"/>
                </w:tcPr>
                <w:p w14:paraId="4B9AFF50">
                  <w:pPr>
                    <w:pStyle w:val="225"/>
                    <w:spacing w:line="276" w:lineRule="auto"/>
                    <w:ind w:firstLine="0" w:firstLineChars="0"/>
                    <w:jc w:val="center"/>
                    <w:rPr>
                      <w:sz w:val="21"/>
                    </w:rPr>
                  </w:pPr>
                  <w:r>
                    <w:rPr>
                      <w:rFonts w:hint="eastAsia"/>
                      <w:sz w:val="21"/>
                    </w:rPr>
                    <w:t>2</w:t>
                  </w:r>
                </w:p>
              </w:tc>
              <w:tc>
                <w:tcPr>
                  <w:tcW w:w="2254" w:type="pct"/>
                  <w:vAlign w:val="center"/>
                </w:tcPr>
                <w:p w14:paraId="0AD257F9">
                  <w:pPr>
                    <w:pStyle w:val="225"/>
                    <w:spacing w:line="276" w:lineRule="auto"/>
                    <w:ind w:firstLine="0" w:firstLineChars="0"/>
                    <w:jc w:val="center"/>
                    <w:rPr>
                      <w:sz w:val="21"/>
                    </w:rPr>
                  </w:pPr>
                  <w:r>
                    <w:rPr>
                      <w:rFonts w:hint="eastAsia"/>
                      <w:sz w:val="21"/>
                    </w:rPr>
                    <w:t>建议在后续开发过程中，应遵循主导产业发展目标，严格控制与主导产业不相符企业入驻；严格控制区内现有非主导产业企业的发展规模，要求其在后续发展过程中不得增加污染物排放量，在日常生产过程中应严格监督其现有污染防治措施的运行并强化管理，最大限度避免无组织废气排放，确保污染物达标排放，未来适时通过产业结构调整或技术改造，减少污染物排放。</w:t>
                  </w:r>
                </w:p>
              </w:tc>
              <w:tc>
                <w:tcPr>
                  <w:tcW w:w="1352" w:type="pct"/>
                  <w:vAlign w:val="center"/>
                </w:tcPr>
                <w:p w14:paraId="26BAAE6E">
                  <w:pPr>
                    <w:pStyle w:val="225"/>
                    <w:spacing w:line="276" w:lineRule="auto"/>
                    <w:ind w:firstLine="0" w:firstLineChars="0"/>
                    <w:jc w:val="center"/>
                    <w:rPr>
                      <w:sz w:val="21"/>
                    </w:rPr>
                  </w:pPr>
                  <w:r>
                    <w:rPr>
                      <w:rFonts w:hint="eastAsia"/>
                      <w:sz w:val="21"/>
                    </w:rPr>
                    <w:t>本项目建成后，生产过程污染治理设备保持正常运行状态并强化废气管理；废气由集气罩收集，可减少无组织废气排放，通过“二级活性炭吸附装置”进行废气治理，污染物均能达标排放。</w:t>
                  </w:r>
                </w:p>
              </w:tc>
              <w:tc>
                <w:tcPr>
                  <w:tcW w:w="827" w:type="pct"/>
                  <w:vAlign w:val="center"/>
                </w:tcPr>
                <w:p w14:paraId="0873F43E">
                  <w:pPr>
                    <w:pStyle w:val="225"/>
                    <w:spacing w:line="276" w:lineRule="auto"/>
                    <w:ind w:firstLine="0" w:firstLineChars="0"/>
                    <w:jc w:val="center"/>
                    <w:rPr>
                      <w:sz w:val="21"/>
                    </w:rPr>
                  </w:pPr>
                  <w:r>
                    <w:rPr>
                      <w:rFonts w:hint="eastAsia"/>
                      <w:sz w:val="21"/>
                    </w:rPr>
                    <w:t>符合</w:t>
                  </w:r>
                </w:p>
              </w:tc>
            </w:tr>
            <w:tr w14:paraId="510D1B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Align w:val="center"/>
                </w:tcPr>
                <w:p w14:paraId="1E6C8FD5">
                  <w:pPr>
                    <w:pStyle w:val="225"/>
                    <w:spacing w:line="276" w:lineRule="auto"/>
                    <w:ind w:firstLine="0" w:firstLineChars="0"/>
                    <w:jc w:val="center"/>
                    <w:rPr>
                      <w:sz w:val="21"/>
                    </w:rPr>
                  </w:pPr>
                  <w:r>
                    <w:rPr>
                      <w:rFonts w:hint="eastAsia"/>
                      <w:sz w:val="21"/>
                    </w:rPr>
                    <w:t>3</w:t>
                  </w:r>
                </w:p>
              </w:tc>
              <w:tc>
                <w:tcPr>
                  <w:tcW w:w="2254" w:type="pct"/>
                  <w:vAlign w:val="center"/>
                </w:tcPr>
                <w:p w14:paraId="2444FE9E">
                  <w:pPr>
                    <w:pStyle w:val="225"/>
                    <w:spacing w:line="276" w:lineRule="auto"/>
                    <w:ind w:firstLine="0" w:firstLineChars="0"/>
                    <w:jc w:val="center"/>
                    <w:rPr>
                      <w:sz w:val="21"/>
                    </w:rPr>
                  </w:pPr>
                  <w:r>
                    <w:rPr>
                      <w:rFonts w:hint="eastAsia"/>
                      <w:sz w:val="21"/>
                    </w:rPr>
                    <w:t>持续把控入区项目的先进生产工艺和装备要求，建设完善的环境保护、安全生产和事故防范系统，强化节能、节水等各项环保措施。对现有及拟入驻企业提高要求，不断提高清洁生产水平，落实节能、节水等各项环保措施。</w:t>
                  </w:r>
                </w:p>
              </w:tc>
              <w:tc>
                <w:tcPr>
                  <w:tcW w:w="1352" w:type="pct"/>
                  <w:vAlign w:val="center"/>
                </w:tcPr>
                <w:p w14:paraId="71FDD436">
                  <w:pPr>
                    <w:pStyle w:val="225"/>
                    <w:spacing w:line="276" w:lineRule="auto"/>
                    <w:ind w:firstLine="0" w:firstLineChars="0"/>
                    <w:jc w:val="center"/>
                    <w:rPr>
                      <w:sz w:val="21"/>
                    </w:rPr>
                  </w:pPr>
                  <w:r>
                    <w:rPr>
                      <w:rFonts w:hint="eastAsia"/>
                      <w:sz w:val="21"/>
                    </w:rPr>
                    <w:t>本项目将落实节能、节水等各项环保措施。</w:t>
                  </w:r>
                </w:p>
              </w:tc>
              <w:tc>
                <w:tcPr>
                  <w:tcW w:w="827" w:type="pct"/>
                  <w:vAlign w:val="center"/>
                </w:tcPr>
                <w:p w14:paraId="3AD235F0">
                  <w:pPr>
                    <w:pStyle w:val="225"/>
                    <w:spacing w:line="276" w:lineRule="auto"/>
                    <w:ind w:firstLine="0" w:firstLineChars="0"/>
                    <w:jc w:val="center"/>
                    <w:rPr>
                      <w:sz w:val="21"/>
                    </w:rPr>
                  </w:pPr>
                  <w:r>
                    <w:rPr>
                      <w:rFonts w:hint="eastAsia"/>
                      <w:sz w:val="21"/>
                    </w:rPr>
                    <w:t>符合</w:t>
                  </w:r>
                </w:p>
              </w:tc>
            </w:tr>
            <w:tr w14:paraId="51A4AA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7" w:type="pct"/>
                  <w:vAlign w:val="center"/>
                </w:tcPr>
                <w:p w14:paraId="6AC90300">
                  <w:pPr>
                    <w:pStyle w:val="225"/>
                    <w:spacing w:line="276" w:lineRule="auto"/>
                    <w:ind w:firstLine="0" w:firstLineChars="0"/>
                    <w:jc w:val="center"/>
                    <w:rPr>
                      <w:sz w:val="21"/>
                    </w:rPr>
                  </w:pPr>
                  <w:r>
                    <w:rPr>
                      <w:rFonts w:hint="eastAsia"/>
                      <w:sz w:val="21"/>
                    </w:rPr>
                    <w:t>4</w:t>
                  </w:r>
                </w:p>
              </w:tc>
              <w:tc>
                <w:tcPr>
                  <w:tcW w:w="2254" w:type="pct"/>
                  <w:vAlign w:val="center"/>
                </w:tcPr>
                <w:p w14:paraId="443F4B2B">
                  <w:pPr>
                    <w:pStyle w:val="225"/>
                    <w:spacing w:line="276" w:lineRule="auto"/>
                    <w:ind w:firstLine="0" w:firstLineChars="0"/>
                    <w:jc w:val="center"/>
                    <w:rPr>
                      <w:sz w:val="21"/>
                    </w:rPr>
                  </w:pPr>
                  <w:r>
                    <w:rPr>
                      <w:rFonts w:hint="eastAsia"/>
                      <w:sz w:val="21"/>
                    </w:rPr>
                    <w:t>做好规划区供水管网建设和维护，确保现有企业和后续新入驻企业生产的正常用水需求，监督区内企业，不得自行取用地下水。</w:t>
                  </w:r>
                </w:p>
              </w:tc>
              <w:tc>
                <w:tcPr>
                  <w:tcW w:w="1352" w:type="pct"/>
                  <w:vAlign w:val="center"/>
                </w:tcPr>
                <w:p w14:paraId="75373A59">
                  <w:pPr>
                    <w:pStyle w:val="225"/>
                    <w:spacing w:line="276" w:lineRule="auto"/>
                    <w:ind w:firstLine="0" w:firstLineChars="0"/>
                    <w:jc w:val="center"/>
                    <w:rPr>
                      <w:sz w:val="21"/>
                    </w:rPr>
                  </w:pPr>
                  <w:r>
                    <w:rPr>
                      <w:rFonts w:hint="eastAsia"/>
                      <w:sz w:val="21"/>
                    </w:rPr>
                    <w:t>本项目用水由市政自来水管接入，不自行取用地下水。</w:t>
                  </w:r>
                </w:p>
              </w:tc>
              <w:tc>
                <w:tcPr>
                  <w:tcW w:w="827" w:type="pct"/>
                  <w:vAlign w:val="center"/>
                </w:tcPr>
                <w:p w14:paraId="2BDDE1A5">
                  <w:pPr>
                    <w:pStyle w:val="225"/>
                    <w:spacing w:line="276" w:lineRule="auto"/>
                    <w:ind w:firstLine="0" w:firstLineChars="0"/>
                    <w:jc w:val="center"/>
                    <w:rPr>
                      <w:sz w:val="21"/>
                    </w:rPr>
                  </w:pPr>
                  <w:r>
                    <w:rPr>
                      <w:rFonts w:hint="eastAsia"/>
                      <w:sz w:val="21"/>
                    </w:rPr>
                    <w:t>符合</w:t>
                  </w:r>
                </w:p>
              </w:tc>
            </w:tr>
          </w:tbl>
          <w:p w14:paraId="7AFB387D">
            <w:pPr>
              <w:pStyle w:val="225"/>
              <w:ind w:firstLine="0" w:firstLineChars="0"/>
              <w:jc w:val="left"/>
            </w:pPr>
          </w:p>
          <w:p w14:paraId="02C61EF2">
            <w:pPr>
              <w:pStyle w:val="225"/>
              <w:ind w:firstLine="0" w:firstLineChars="0"/>
              <w:jc w:val="left"/>
            </w:pPr>
          </w:p>
          <w:p w14:paraId="2F40D505">
            <w:pPr>
              <w:pStyle w:val="225"/>
              <w:ind w:firstLine="0" w:firstLineChars="0"/>
              <w:jc w:val="left"/>
            </w:pPr>
          </w:p>
          <w:p w14:paraId="1AD04475">
            <w:pPr>
              <w:pStyle w:val="225"/>
              <w:ind w:firstLine="0" w:firstLineChars="0"/>
              <w:jc w:val="left"/>
            </w:pPr>
          </w:p>
          <w:p w14:paraId="3674958B">
            <w:pPr>
              <w:pStyle w:val="225"/>
              <w:ind w:firstLine="0" w:firstLineChars="0"/>
              <w:jc w:val="left"/>
            </w:pPr>
          </w:p>
          <w:p w14:paraId="3E41C57F">
            <w:pPr>
              <w:pStyle w:val="225"/>
              <w:ind w:firstLine="0" w:firstLineChars="0"/>
              <w:jc w:val="left"/>
            </w:pPr>
          </w:p>
          <w:p w14:paraId="7F1C0318">
            <w:pPr>
              <w:pStyle w:val="225"/>
              <w:ind w:firstLine="0" w:firstLineChars="0"/>
              <w:jc w:val="left"/>
            </w:pPr>
          </w:p>
          <w:p w14:paraId="5CA1A4EB">
            <w:pPr>
              <w:pStyle w:val="225"/>
              <w:ind w:firstLine="0" w:firstLineChars="0"/>
              <w:jc w:val="left"/>
            </w:pPr>
          </w:p>
          <w:p w14:paraId="120A12EA">
            <w:pPr>
              <w:pStyle w:val="225"/>
              <w:ind w:firstLine="0" w:firstLineChars="0"/>
              <w:jc w:val="left"/>
            </w:pPr>
          </w:p>
          <w:p w14:paraId="28969593">
            <w:pPr>
              <w:pStyle w:val="225"/>
              <w:ind w:firstLine="0" w:firstLineChars="0"/>
              <w:jc w:val="left"/>
            </w:pPr>
          </w:p>
          <w:p w14:paraId="3B97FDDF">
            <w:pPr>
              <w:pStyle w:val="225"/>
              <w:ind w:firstLine="0" w:firstLineChars="0"/>
              <w:jc w:val="left"/>
            </w:pPr>
          </w:p>
          <w:p w14:paraId="678D656B">
            <w:pPr>
              <w:pStyle w:val="225"/>
              <w:ind w:firstLine="0" w:firstLineChars="0"/>
              <w:jc w:val="left"/>
            </w:pPr>
          </w:p>
          <w:p w14:paraId="32992A6B">
            <w:pPr>
              <w:pStyle w:val="225"/>
              <w:ind w:firstLine="0" w:firstLineChars="0"/>
              <w:jc w:val="left"/>
            </w:pPr>
          </w:p>
          <w:p w14:paraId="79318CE4">
            <w:pPr>
              <w:pStyle w:val="225"/>
              <w:ind w:firstLine="0" w:firstLineChars="0"/>
              <w:jc w:val="left"/>
            </w:pPr>
          </w:p>
          <w:p w14:paraId="678CE8F7">
            <w:pPr>
              <w:pStyle w:val="225"/>
              <w:ind w:firstLine="0" w:firstLineChars="0"/>
              <w:jc w:val="left"/>
            </w:pPr>
          </w:p>
          <w:p w14:paraId="21FD41A1">
            <w:pPr>
              <w:pStyle w:val="225"/>
              <w:ind w:firstLine="0" w:firstLineChars="0"/>
              <w:jc w:val="left"/>
            </w:pPr>
          </w:p>
        </w:tc>
      </w:tr>
      <w:tr w14:paraId="6F517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900" w:hRule="atLeast"/>
          <w:jc w:val="center"/>
        </w:trPr>
        <w:tc>
          <w:tcPr>
            <w:tcW w:w="262" w:type="pct"/>
            <w:gridSpan w:val="2"/>
            <w:vAlign w:val="center"/>
          </w:tcPr>
          <w:p w14:paraId="2ADB9399">
            <w:pPr>
              <w:autoSpaceDE w:val="0"/>
              <w:autoSpaceDN w:val="0"/>
              <w:adjustRightInd w:val="0"/>
              <w:snapToGrid w:val="0"/>
              <w:spacing w:line="360" w:lineRule="auto"/>
              <w:jc w:val="center"/>
              <w:rPr>
                <w:rFonts w:ascii="宋体" w:hAnsi="宋体" w:cs="宋体"/>
                <w:kern w:val="0"/>
                <w:sz w:val="24"/>
                <w:szCs w:val="24"/>
              </w:rPr>
            </w:pPr>
            <w:bookmarkStart w:id="3" w:name="_Toc354926674"/>
            <w:r>
              <w:br w:type="page"/>
            </w:r>
            <w:r>
              <w:rPr>
                <w:rFonts w:hint="eastAsia" w:ascii="宋体" w:hAnsi="宋体" w:cs="宋体"/>
                <w:kern w:val="0"/>
                <w:sz w:val="24"/>
                <w:szCs w:val="24"/>
              </w:rPr>
              <w:t>其他符合性分析</w:t>
            </w:r>
          </w:p>
        </w:tc>
        <w:tc>
          <w:tcPr>
            <w:tcW w:w="4738" w:type="pct"/>
            <w:gridSpan w:val="5"/>
            <w:vAlign w:val="center"/>
          </w:tcPr>
          <w:p w14:paraId="35DBB90F">
            <w:pPr>
              <w:snapToGrid w:val="0"/>
              <w:spacing w:line="360" w:lineRule="auto"/>
              <w:ind w:firstLine="482" w:firstLineChars="200"/>
              <w:jc w:val="left"/>
              <w:rPr>
                <w:rFonts w:hAnsi="黑体" w:eastAsia="黑体"/>
                <w:b/>
                <w:sz w:val="24"/>
                <w:szCs w:val="24"/>
              </w:rPr>
            </w:pPr>
            <w:r>
              <w:rPr>
                <w:rFonts w:hint="eastAsia" w:hAnsi="黑体" w:eastAsia="黑体"/>
                <w:b/>
                <w:sz w:val="24"/>
                <w:szCs w:val="24"/>
              </w:rPr>
              <w:t>1、</w:t>
            </w:r>
            <w:r>
              <w:rPr>
                <w:rFonts w:hint="eastAsia" w:ascii="宋体" w:hAnsi="宋体"/>
                <w:b/>
                <w:sz w:val="24"/>
                <w:szCs w:val="24"/>
              </w:rPr>
              <w:t>产业政策符合性</w:t>
            </w:r>
          </w:p>
          <w:p w14:paraId="70A73EC1">
            <w:pPr>
              <w:snapToGrid w:val="0"/>
              <w:spacing w:line="360" w:lineRule="auto"/>
              <w:ind w:firstLine="480" w:firstLineChars="200"/>
              <w:rPr>
                <w:sz w:val="24"/>
              </w:rPr>
            </w:pPr>
            <w:r>
              <w:rPr>
                <w:rFonts w:hint="eastAsia"/>
                <w:sz w:val="24"/>
              </w:rPr>
              <w:t>本项目行业类别为C2459其他玩具制造，根据《产业结构调整指导目录（</w:t>
            </w:r>
            <w:r>
              <w:rPr>
                <w:sz w:val="24"/>
              </w:rPr>
              <w:t>20</w:t>
            </w:r>
            <w:r>
              <w:rPr>
                <w:rFonts w:hint="eastAsia"/>
                <w:sz w:val="24"/>
              </w:rPr>
              <w:t>19年本）》（2021修订版），本项目不属于其中限制类和淘汰类，视为允许建设类。此外，本项目已取得淮南市</w:t>
            </w:r>
            <w:r>
              <w:rPr>
                <w:sz w:val="24"/>
              </w:rPr>
              <w:t>发展和改革委员会备案</w:t>
            </w:r>
            <w:r>
              <w:rPr>
                <w:rFonts w:hint="eastAsia"/>
                <w:sz w:val="24"/>
              </w:rPr>
              <w:t>，项目代码为</w:t>
            </w:r>
            <w:r>
              <w:rPr>
                <w:rFonts w:hint="eastAsia"/>
                <w:sz w:val="24"/>
                <w:szCs w:val="24"/>
              </w:rPr>
              <w:t>2020-340407-88-03-031706</w:t>
            </w:r>
            <w:r>
              <w:rPr>
                <w:rFonts w:hint="eastAsia"/>
                <w:sz w:val="24"/>
              </w:rPr>
              <w:t>。综上所述，本项目符合国家和地方产业政策。</w:t>
            </w:r>
          </w:p>
          <w:p w14:paraId="4E080BDC">
            <w:pPr>
              <w:snapToGrid w:val="0"/>
              <w:spacing w:line="360" w:lineRule="auto"/>
              <w:ind w:firstLine="482" w:firstLineChars="200"/>
              <w:jc w:val="left"/>
              <w:rPr>
                <w:rFonts w:hAnsi="宋体"/>
                <w:b/>
                <w:sz w:val="24"/>
              </w:rPr>
            </w:pPr>
            <w:r>
              <w:rPr>
                <w:rFonts w:hint="eastAsia" w:hAnsi="宋体"/>
                <w:b/>
                <w:sz w:val="24"/>
              </w:rPr>
              <w:t>2、与相关生态环境保护法律法规政策、生态环境保护规划的符合性分析</w:t>
            </w:r>
          </w:p>
          <w:p w14:paraId="037B69C5">
            <w:pPr>
              <w:wordWrap w:val="0"/>
              <w:spacing w:line="360" w:lineRule="auto"/>
              <w:ind w:firstLine="480" w:firstLineChars="200"/>
              <w:rPr>
                <w:rFonts w:hAnsi="宋体"/>
                <w:sz w:val="24"/>
              </w:rPr>
            </w:pPr>
            <w:r>
              <w:rPr>
                <w:rFonts w:hint="eastAsia" w:hAnsi="宋体"/>
                <w:sz w:val="24"/>
              </w:rPr>
              <w:t>（1）与《安徽省大气办关于深入开展挥发性有机物污染治理工作的通知》（皖大气办[2021]4号）相符性分析</w:t>
            </w:r>
          </w:p>
          <w:p w14:paraId="3AA15157">
            <w:pPr>
              <w:autoSpaceDE w:val="0"/>
              <w:autoSpaceDN w:val="0"/>
              <w:adjustRightInd w:val="0"/>
              <w:snapToGrid w:val="0"/>
              <w:spacing w:line="276" w:lineRule="auto"/>
              <w:jc w:val="center"/>
              <w:rPr>
                <w:rFonts w:eastAsia="黑体"/>
              </w:rPr>
            </w:pPr>
            <w:r>
              <w:rPr>
                <w:rFonts w:hint="eastAsia" w:hAnsi="黑体" w:eastAsia="黑体"/>
                <w:sz w:val="24"/>
                <w:szCs w:val="24"/>
              </w:rPr>
              <w:t>表</w:t>
            </w:r>
            <w:r>
              <w:rPr>
                <w:rFonts w:hAnsi="黑体" w:eastAsia="黑体"/>
                <w:sz w:val="24"/>
                <w:szCs w:val="24"/>
              </w:rPr>
              <w:t xml:space="preserve">5  </w:t>
            </w:r>
            <w:r>
              <w:rPr>
                <w:rFonts w:hint="eastAsia" w:hAnsi="黑体" w:eastAsia="黑体"/>
                <w:sz w:val="24"/>
                <w:szCs w:val="24"/>
              </w:rPr>
              <w:t>与皖大气办[2021]4号符合性分析</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29"/>
              <w:gridCol w:w="3686"/>
              <w:gridCol w:w="2693"/>
              <w:gridCol w:w="945"/>
            </w:tblGrid>
            <w:tr w14:paraId="229756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29" w:type="dxa"/>
                  <w:vAlign w:val="center"/>
                </w:tcPr>
                <w:p w14:paraId="7DC4EF4D">
                  <w:pPr>
                    <w:spacing w:line="276" w:lineRule="auto"/>
                    <w:jc w:val="center"/>
                    <w:rPr>
                      <w:b/>
                      <w:szCs w:val="21"/>
                    </w:rPr>
                  </w:pPr>
                  <w:r>
                    <w:rPr>
                      <w:rFonts w:hAnsi="宋体"/>
                      <w:b/>
                      <w:szCs w:val="21"/>
                    </w:rPr>
                    <w:t>序号</w:t>
                  </w:r>
                </w:p>
              </w:tc>
              <w:tc>
                <w:tcPr>
                  <w:tcW w:w="3686" w:type="dxa"/>
                  <w:vAlign w:val="center"/>
                </w:tcPr>
                <w:p w14:paraId="0C6851D7">
                  <w:pPr>
                    <w:wordWrap w:val="0"/>
                    <w:spacing w:line="276" w:lineRule="auto"/>
                    <w:jc w:val="center"/>
                    <w:rPr>
                      <w:b/>
                      <w:szCs w:val="21"/>
                    </w:rPr>
                  </w:pPr>
                  <w:r>
                    <w:rPr>
                      <w:rFonts w:hAnsi="宋体"/>
                      <w:b/>
                      <w:szCs w:val="21"/>
                    </w:rPr>
                    <w:t>相关要求</w:t>
                  </w:r>
                </w:p>
              </w:tc>
              <w:tc>
                <w:tcPr>
                  <w:tcW w:w="2693" w:type="dxa"/>
                  <w:vAlign w:val="center"/>
                </w:tcPr>
                <w:p w14:paraId="62A4B65B">
                  <w:pPr>
                    <w:wordWrap w:val="0"/>
                    <w:spacing w:line="276" w:lineRule="auto"/>
                    <w:jc w:val="center"/>
                    <w:rPr>
                      <w:b/>
                      <w:szCs w:val="21"/>
                    </w:rPr>
                  </w:pPr>
                  <w:r>
                    <w:rPr>
                      <w:rFonts w:hAnsi="宋体"/>
                      <w:b/>
                      <w:szCs w:val="21"/>
                    </w:rPr>
                    <w:t>本项目情况</w:t>
                  </w:r>
                </w:p>
              </w:tc>
              <w:tc>
                <w:tcPr>
                  <w:tcW w:w="945" w:type="dxa"/>
                  <w:vAlign w:val="center"/>
                </w:tcPr>
                <w:p w14:paraId="2BD702F0">
                  <w:pPr>
                    <w:wordWrap w:val="0"/>
                    <w:spacing w:line="276" w:lineRule="auto"/>
                    <w:jc w:val="center"/>
                    <w:rPr>
                      <w:b/>
                      <w:szCs w:val="21"/>
                    </w:rPr>
                  </w:pPr>
                  <w:r>
                    <w:rPr>
                      <w:rFonts w:hAnsi="宋体"/>
                      <w:b/>
                      <w:szCs w:val="21"/>
                    </w:rPr>
                    <w:t>符合性分析</w:t>
                  </w:r>
                </w:p>
              </w:tc>
            </w:tr>
            <w:tr w14:paraId="77EC93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29" w:type="dxa"/>
                  <w:vAlign w:val="center"/>
                </w:tcPr>
                <w:p w14:paraId="022BDC6B">
                  <w:pPr>
                    <w:wordWrap w:val="0"/>
                    <w:spacing w:line="276" w:lineRule="auto"/>
                    <w:jc w:val="center"/>
                    <w:rPr>
                      <w:szCs w:val="21"/>
                    </w:rPr>
                  </w:pPr>
                  <w:r>
                    <w:rPr>
                      <w:szCs w:val="21"/>
                    </w:rPr>
                    <w:t>1</w:t>
                  </w:r>
                </w:p>
              </w:tc>
              <w:tc>
                <w:tcPr>
                  <w:tcW w:w="3686" w:type="dxa"/>
                  <w:vAlign w:val="center"/>
                </w:tcPr>
                <w:p w14:paraId="148A3D9C">
                  <w:pPr>
                    <w:spacing w:line="276" w:lineRule="auto"/>
                    <w:jc w:val="center"/>
                    <w:rPr>
                      <w:szCs w:val="21"/>
                    </w:rPr>
                  </w:pPr>
                  <w:r>
                    <w:rPr>
                      <w:rFonts w:hAnsi="宋体"/>
                      <w:szCs w:val="21"/>
                    </w:rPr>
                    <w:t>重点推进源头削减。鼓励支持使用涂料、油墨、胶粘剂、涂层剂</w:t>
                  </w:r>
                  <w:r>
                    <w:rPr>
                      <w:szCs w:val="21"/>
                    </w:rPr>
                    <w:t>(</w:t>
                  </w:r>
                  <w:r>
                    <w:rPr>
                      <w:rFonts w:hAnsi="宋体"/>
                      <w:szCs w:val="21"/>
                    </w:rPr>
                    <w:t>树脂</w:t>
                  </w:r>
                  <w:r>
                    <w:rPr>
                      <w:szCs w:val="21"/>
                    </w:rPr>
                    <w:t xml:space="preserve">) </w:t>
                  </w:r>
                  <w:r>
                    <w:rPr>
                      <w:rFonts w:hAnsi="宋体"/>
                      <w:szCs w:val="21"/>
                    </w:rPr>
                    <w:t>、清洗剂等原辅材料的企业，进行低</w:t>
                  </w:r>
                  <w:r>
                    <w:rPr>
                      <w:szCs w:val="21"/>
                    </w:rPr>
                    <w:t>VOCs</w:t>
                  </w:r>
                  <w:r>
                    <w:rPr>
                      <w:rFonts w:hAnsi="宋体"/>
                      <w:szCs w:val="21"/>
                    </w:rPr>
                    <w:t>含量原辅材料的源头替代</w:t>
                  </w:r>
                  <w:r>
                    <w:rPr>
                      <w:szCs w:val="21"/>
                    </w:rPr>
                    <w:t>7</w:t>
                  </w:r>
                  <w:r>
                    <w:rPr>
                      <w:rFonts w:hAnsi="宋体"/>
                      <w:szCs w:val="21"/>
                    </w:rPr>
                    <w:t>月</w:t>
                  </w:r>
                  <w:r>
                    <w:rPr>
                      <w:szCs w:val="21"/>
                    </w:rPr>
                    <w:t>1</w:t>
                  </w:r>
                  <w:r>
                    <w:rPr>
                      <w:rFonts w:hAnsi="宋体"/>
                      <w:szCs w:val="21"/>
                    </w:rPr>
                    <w:t>日前各地指导企业建立管理台账，记录</w:t>
                  </w:r>
                  <w:r>
                    <w:rPr>
                      <w:szCs w:val="21"/>
                    </w:rPr>
                    <w:t>VOCs</w:t>
                  </w:r>
                  <w:r>
                    <w:rPr>
                      <w:rFonts w:hAnsi="宋体"/>
                      <w:szCs w:val="21"/>
                    </w:rPr>
                    <w:t>原辅材料的产品名称、</w:t>
                  </w:r>
                  <w:r>
                    <w:rPr>
                      <w:szCs w:val="21"/>
                    </w:rPr>
                    <w:t>VOCs</w:t>
                  </w:r>
                  <w:r>
                    <w:rPr>
                      <w:rFonts w:hAnsi="宋体"/>
                      <w:szCs w:val="21"/>
                    </w:rPr>
                    <w:t>含量和使用量等。重点在工业涂装、包装印刷、鞋革箱包制造竹木制品胶合、电子等重点领域，推广</w:t>
                  </w:r>
                  <w:r>
                    <w:rPr>
                      <w:szCs w:val="21"/>
                    </w:rPr>
                    <w:t>VOCs</w:t>
                  </w:r>
                  <w:r>
                    <w:rPr>
                      <w:rFonts w:hAnsi="宋体"/>
                      <w:szCs w:val="21"/>
                    </w:rPr>
                    <w:t>含量低于</w:t>
                  </w:r>
                  <w:r>
                    <w:rPr>
                      <w:rFonts w:hint="eastAsia"/>
                      <w:szCs w:val="21"/>
                    </w:rPr>
                    <w:t>1</w:t>
                  </w:r>
                  <w:r>
                    <w:rPr>
                      <w:szCs w:val="21"/>
                    </w:rPr>
                    <w:t>0%</w:t>
                  </w:r>
                  <w:r>
                    <w:rPr>
                      <w:rFonts w:hAnsi="宋体"/>
                      <w:szCs w:val="21"/>
                    </w:rPr>
                    <w:t>原辅材料的源头替代，并纳入年度源头削减项目管理，实现</w:t>
                  </w:r>
                  <w:r>
                    <w:rPr>
                      <w:rFonts w:ascii="宋体" w:hAnsi="宋体"/>
                      <w:szCs w:val="21"/>
                    </w:rPr>
                    <w:t>“</w:t>
                  </w:r>
                  <w:r>
                    <w:rPr>
                      <w:rFonts w:hAnsi="宋体"/>
                      <w:szCs w:val="21"/>
                    </w:rPr>
                    <w:t>可替尽替、应代尽代</w:t>
                  </w:r>
                  <w:r>
                    <w:rPr>
                      <w:rFonts w:ascii="宋体" w:hAnsi="宋体"/>
                      <w:szCs w:val="21"/>
                    </w:rPr>
                    <w:t>”</w:t>
                  </w:r>
                  <w:r>
                    <w:rPr>
                      <w:rFonts w:hAnsi="宋体"/>
                      <w:szCs w:val="21"/>
                    </w:rPr>
                    <w:t>，源头削减年度完成项目占</w:t>
                  </w:r>
                  <w:r>
                    <w:rPr>
                      <w:szCs w:val="21"/>
                    </w:rPr>
                    <w:t>30%</w:t>
                  </w:r>
                  <w:r>
                    <w:rPr>
                      <w:rFonts w:hAnsi="宋体"/>
                      <w:szCs w:val="21"/>
                    </w:rPr>
                    <w:t>以上。</w:t>
                  </w:r>
                </w:p>
              </w:tc>
              <w:tc>
                <w:tcPr>
                  <w:tcW w:w="2693" w:type="dxa"/>
                  <w:vAlign w:val="center"/>
                </w:tcPr>
                <w:p w14:paraId="7DDA7E26">
                  <w:pPr>
                    <w:wordWrap w:val="0"/>
                    <w:spacing w:line="276" w:lineRule="auto"/>
                    <w:jc w:val="center"/>
                    <w:rPr>
                      <w:szCs w:val="21"/>
                    </w:rPr>
                  </w:pPr>
                  <w:r>
                    <w:rPr>
                      <w:rFonts w:hAnsi="宋体"/>
                      <w:szCs w:val="21"/>
                    </w:rPr>
                    <w:t>本项目生产过程中不使用涂料、油墨、胶粘剂、涂层剂，使用乙醇作为清洗环节的主要溶剂，企业将建立健全管理台账，记录</w:t>
                  </w:r>
                  <w:r>
                    <w:rPr>
                      <w:szCs w:val="21"/>
                    </w:rPr>
                    <w:t>VOCs</w:t>
                  </w:r>
                  <w:r>
                    <w:rPr>
                      <w:rFonts w:hAnsi="宋体"/>
                      <w:szCs w:val="21"/>
                    </w:rPr>
                    <w:t>原辅材料的产品名称、</w:t>
                  </w:r>
                  <w:r>
                    <w:rPr>
                      <w:szCs w:val="21"/>
                    </w:rPr>
                    <w:t>VOCs</w:t>
                  </w:r>
                  <w:r>
                    <w:rPr>
                      <w:rFonts w:hAnsi="宋体"/>
                      <w:szCs w:val="21"/>
                    </w:rPr>
                    <w:t>含量和使用量等；本项目不属于工业涂装、包装印刷、鞋革箱包制造竹木制品胶合、电子等重点领域。</w:t>
                  </w:r>
                </w:p>
              </w:tc>
              <w:tc>
                <w:tcPr>
                  <w:tcW w:w="945" w:type="dxa"/>
                  <w:vAlign w:val="center"/>
                </w:tcPr>
                <w:p w14:paraId="7AC2A831">
                  <w:pPr>
                    <w:wordWrap w:val="0"/>
                    <w:spacing w:line="276" w:lineRule="auto"/>
                    <w:jc w:val="center"/>
                    <w:rPr>
                      <w:szCs w:val="21"/>
                    </w:rPr>
                  </w:pPr>
                  <w:r>
                    <w:rPr>
                      <w:rFonts w:hAnsi="宋体"/>
                      <w:szCs w:val="21"/>
                    </w:rPr>
                    <w:t>符合</w:t>
                  </w:r>
                </w:p>
              </w:tc>
            </w:tr>
            <w:tr w14:paraId="5B2C00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29" w:type="dxa"/>
                  <w:vAlign w:val="center"/>
                </w:tcPr>
                <w:p w14:paraId="37C0CF01">
                  <w:pPr>
                    <w:wordWrap w:val="0"/>
                    <w:spacing w:line="276" w:lineRule="auto"/>
                    <w:jc w:val="center"/>
                    <w:rPr>
                      <w:szCs w:val="21"/>
                    </w:rPr>
                  </w:pPr>
                  <w:r>
                    <w:rPr>
                      <w:szCs w:val="21"/>
                    </w:rPr>
                    <w:t>2</w:t>
                  </w:r>
                </w:p>
              </w:tc>
              <w:tc>
                <w:tcPr>
                  <w:tcW w:w="3686" w:type="dxa"/>
                  <w:vAlign w:val="center"/>
                </w:tcPr>
                <w:p w14:paraId="61E84A3E">
                  <w:pPr>
                    <w:wordWrap w:val="0"/>
                    <w:spacing w:line="276" w:lineRule="auto"/>
                    <w:jc w:val="center"/>
                    <w:rPr>
                      <w:szCs w:val="21"/>
                    </w:rPr>
                  </w:pPr>
                  <w:r>
                    <w:rPr>
                      <w:rFonts w:hAnsi="宋体"/>
                      <w:szCs w:val="21"/>
                    </w:rPr>
                    <w:t>制定</w:t>
                  </w:r>
                  <w:r>
                    <w:rPr>
                      <w:rFonts w:ascii="宋体" w:hAnsi="宋体"/>
                      <w:szCs w:val="21"/>
                    </w:rPr>
                    <w:t>“</w:t>
                  </w:r>
                  <w:r>
                    <w:rPr>
                      <w:rFonts w:hAnsi="宋体"/>
                      <w:szCs w:val="21"/>
                    </w:rPr>
                    <w:t>一企一案</w:t>
                  </w:r>
                  <w:r>
                    <w:rPr>
                      <w:rFonts w:ascii="宋体" w:hAnsi="宋体"/>
                      <w:szCs w:val="21"/>
                    </w:rPr>
                    <w:t>”</w:t>
                  </w:r>
                  <w:r>
                    <w:rPr>
                      <w:rFonts w:hAnsi="宋体"/>
                      <w:szCs w:val="21"/>
                    </w:rPr>
                    <w:t>。借鉴上海市等先发地区重点行业</w:t>
                  </w:r>
                  <w:r>
                    <w:rPr>
                      <w:szCs w:val="21"/>
                    </w:rPr>
                    <w:t>VOCs</w:t>
                  </w:r>
                  <w:r>
                    <w:rPr>
                      <w:rFonts w:hAnsi="宋体"/>
                      <w:szCs w:val="21"/>
                    </w:rPr>
                    <w:t>综合治理企业</w:t>
                  </w:r>
                  <w:r>
                    <w:rPr>
                      <w:rFonts w:ascii="宋体" w:hAnsi="宋体"/>
                      <w:szCs w:val="21"/>
                    </w:rPr>
                    <w:t>“</w:t>
                  </w:r>
                  <w:r>
                    <w:rPr>
                      <w:rFonts w:hAnsi="宋体"/>
                      <w:szCs w:val="21"/>
                    </w:rPr>
                    <w:t>一厂一方案</w:t>
                  </w:r>
                  <w:r>
                    <w:rPr>
                      <w:rFonts w:ascii="宋体" w:hAnsi="宋体"/>
                      <w:szCs w:val="21"/>
                    </w:rPr>
                    <w:t>”编制经验，各地分行业分级指导企业编制优化“一企一案”</w:t>
                  </w:r>
                  <w:r>
                    <w:rPr>
                      <w:rFonts w:hAnsi="宋体"/>
                      <w:szCs w:val="21"/>
                    </w:rPr>
                    <w:t>，明确企业</w:t>
                  </w:r>
                  <w:r>
                    <w:rPr>
                      <w:szCs w:val="21"/>
                    </w:rPr>
                    <w:t>VOCs</w:t>
                  </w:r>
                  <w:r>
                    <w:rPr>
                      <w:rFonts w:hAnsi="宋体"/>
                      <w:szCs w:val="21"/>
                    </w:rPr>
                    <w:t>综合治理任务时间节点和工作目标。重点梳理石化、化工、工业涂装、包装印刷、油品储运销等重点领域重点行业，</w:t>
                  </w:r>
                  <w:r>
                    <w:rPr>
                      <w:szCs w:val="21"/>
                    </w:rPr>
                    <w:t>VOCs</w:t>
                  </w:r>
                  <w:r>
                    <w:rPr>
                      <w:rFonts w:hAnsi="宋体"/>
                      <w:szCs w:val="21"/>
                    </w:rPr>
                    <w:t>年排放量超过</w:t>
                  </w:r>
                  <w:r>
                    <w:rPr>
                      <w:szCs w:val="21"/>
                    </w:rPr>
                    <w:t>1</w:t>
                  </w:r>
                  <w:r>
                    <w:rPr>
                      <w:rFonts w:hAnsi="宋体"/>
                      <w:szCs w:val="21"/>
                    </w:rPr>
                    <w:t>吨的企业，督促</w:t>
                  </w:r>
                  <w:r>
                    <w:rPr>
                      <w:szCs w:val="21"/>
                    </w:rPr>
                    <w:t>9</w:t>
                  </w:r>
                  <w:r>
                    <w:rPr>
                      <w:rFonts w:hAnsi="宋体"/>
                      <w:szCs w:val="21"/>
                    </w:rPr>
                    <w:t>月</w:t>
                  </w:r>
                  <w:r>
                    <w:rPr>
                      <w:szCs w:val="21"/>
                    </w:rPr>
                    <w:t>30</w:t>
                  </w:r>
                  <w:r>
                    <w:rPr>
                      <w:rFonts w:hAnsi="宋体"/>
                      <w:szCs w:val="21"/>
                    </w:rPr>
                    <w:t>日前完成方案编制完善工作。</w:t>
                  </w:r>
                  <w:r>
                    <w:rPr>
                      <w:szCs w:val="21"/>
                    </w:rPr>
                    <w:t>243</w:t>
                  </w:r>
                  <w:r>
                    <w:rPr>
                      <w:rFonts w:hAnsi="宋体"/>
                      <w:szCs w:val="21"/>
                    </w:rPr>
                    <w:t>家涉</w:t>
                  </w:r>
                  <w:r>
                    <w:rPr>
                      <w:szCs w:val="21"/>
                    </w:rPr>
                    <w:t>VOCs</w:t>
                  </w:r>
                  <w:r>
                    <w:rPr>
                      <w:rFonts w:hAnsi="宋体"/>
                      <w:szCs w:val="21"/>
                    </w:rPr>
                    <w:t>省级重点企业</w:t>
                  </w:r>
                  <w:r>
                    <w:rPr>
                      <w:rFonts w:ascii="宋体" w:hAnsi="宋体"/>
                      <w:szCs w:val="21"/>
                    </w:rPr>
                    <w:t>(含省重点排污单位名录企业)</w:t>
                  </w:r>
                  <w:r>
                    <w:rPr>
                      <w:rFonts w:hAnsi="宋体"/>
                      <w:szCs w:val="21"/>
                    </w:rPr>
                    <w:t>及年排放量超过</w:t>
                  </w:r>
                  <w:r>
                    <w:rPr>
                      <w:szCs w:val="21"/>
                    </w:rPr>
                    <w:t>10</w:t>
                  </w:r>
                  <w:r>
                    <w:rPr>
                      <w:rFonts w:hAnsi="宋体"/>
                      <w:szCs w:val="21"/>
                    </w:rPr>
                    <w:t>吨的企业，</w:t>
                  </w:r>
                  <w:r>
                    <w:rPr>
                      <w:szCs w:val="21"/>
                    </w:rPr>
                    <w:t>8</w:t>
                  </w:r>
                  <w:r>
                    <w:rPr>
                      <w:rFonts w:hAnsi="宋体"/>
                      <w:szCs w:val="21"/>
                    </w:rPr>
                    <w:t>月</w:t>
                  </w:r>
                  <w:r>
                    <w:rPr>
                      <w:szCs w:val="21"/>
                    </w:rPr>
                    <w:t>31</w:t>
                  </w:r>
                  <w:r>
                    <w:rPr>
                      <w:rFonts w:hAnsi="宋体"/>
                      <w:szCs w:val="21"/>
                    </w:rPr>
                    <w:t>日前对方案进行评估完善，及时核实治理效果，并报至省大气办备案。</w:t>
                  </w:r>
                </w:p>
              </w:tc>
              <w:tc>
                <w:tcPr>
                  <w:tcW w:w="2693" w:type="dxa"/>
                  <w:vAlign w:val="center"/>
                </w:tcPr>
                <w:p w14:paraId="356EFD9B">
                  <w:pPr>
                    <w:wordWrap w:val="0"/>
                    <w:spacing w:line="276" w:lineRule="auto"/>
                    <w:jc w:val="center"/>
                    <w:rPr>
                      <w:szCs w:val="21"/>
                    </w:rPr>
                  </w:pPr>
                  <w:r>
                    <w:rPr>
                      <w:rFonts w:hAnsi="宋体"/>
                      <w:szCs w:val="21"/>
                    </w:rPr>
                    <w:t>本项目不属于重点行业。</w:t>
                  </w:r>
                </w:p>
              </w:tc>
              <w:tc>
                <w:tcPr>
                  <w:tcW w:w="945" w:type="dxa"/>
                  <w:vAlign w:val="center"/>
                </w:tcPr>
                <w:p w14:paraId="6ACE909F">
                  <w:pPr>
                    <w:wordWrap w:val="0"/>
                    <w:spacing w:line="276" w:lineRule="auto"/>
                    <w:jc w:val="center"/>
                    <w:rPr>
                      <w:szCs w:val="21"/>
                    </w:rPr>
                  </w:pPr>
                  <w:r>
                    <w:rPr>
                      <w:rFonts w:hAnsi="宋体"/>
                      <w:szCs w:val="21"/>
                    </w:rPr>
                    <w:t>符合</w:t>
                  </w:r>
                </w:p>
              </w:tc>
            </w:tr>
            <w:tr w14:paraId="52C013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29" w:type="dxa"/>
                  <w:vAlign w:val="center"/>
                </w:tcPr>
                <w:p w14:paraId="1168F960">
                  <w:pPr>
                    <w:wordWrap w:val="0"/>
                    <w:spacing w:line="276" w:lineRule="auto"/>
                    <w:jc w:val="center"/>
                    <w:rPr>
                      <w:szCs w:val="21"/>
                    </w:rPr>
                  </w:pPr>
                  <w:r>
                    <w:rPr>
                      <w:szCs w:val="21"/>
                    </w:rPr>
                    <w:t>3</w:t>
                  </w:r>
                </w:p>
              </w:tc>
              <w:tc>
                <w:tcPr>
                  <w:tcW w:w="3686" w:type="dxa"/>
                  <w:vAlign w:val="center"/>
                </w:tcPr>
                <w:p w14:paraId="78FC50A7">
                  <w:pPr>
                    <w:wordWrap w:val="0"/>
                    <w:spacing w:line="276" w:lineRule="auto"/>
                    <w:jc w:val="center"/>
                    <w:rPr>
                      <w:szCs w:val="21"/>
                    </w:rPr>
                  </w:pPr>
                  <w:r>
                    <w:rPr>
                      <w:rFonts w:hAnsi="宋体"/>
                      <w:szCs w:val="21"/>
                    </w:rPr>
                    <w:t>实施排污许可。建立健全以排污许可核发为中心的</w:t>
                  </w:r>
                  <w:r>
                    <w:rPr>
                      <w:szCs w:val="21"/>
                    </w:rPr>
                    <w:t>VOCs</w:t>
                  </w:r>
                  <w:r>
                    <w:rPr>
                      <w:rFonts w:hAnsi="宋体"/>
                      <w:szCs w:val="21"/>
                    </w:rPr>
                    <w:t>管控依据，在石油、化工、工业涂装、包装印刷、油品储运销五大领域全面推行排污许可制度，不断规范涉</w:t>
                  </w:r>
                  <w:r>
                    <w:rPr>
                      <w:szCs w:val="21"/>
                    </w:rPr>
                    <w:t>VOCs</w:t>
                  </w:r>
                  <w:r>
                    <w:rPr>
                      <w:rFonts w:hAnsi="宋体"/>
                      <w:szCs w:val="21"/>
                    </w:rPr>
                    <w:t>工业企业的排污许可登记管理，落实企业</w:t>
                  </w:r>
                  <w:r>
                    <w:rPr>
                      <w:szCs w:val="21"/>
                    </w:rPr>
                    <w:t>VOCs</w:t>
                  </w:r>
                  <w:r>
                    <w:rPr>
                      <w:rFonts w:hAnsi="宋体"/>
                      <w:szCs w:val="21"/>
                    </w:rPr>
                    <w:t>源头削减、过程控制和末端污染治理工作，推进企业自行监测、台账落实和定期报告的具体规定落地，严厉处罚无证和不按证排污行为。</w:t>
                  </w:r>
                </w:p>
              </w:tc>
              <w:tc>
                <w:tcPr>
                  <w:tcW w:w="2693" w:type="dxa"/>
                  <w:vAlign w:val="center"/>
                </w:tcPr>
                <w:p w14:paraId="425F4E92">
                  <w:pPr>
                    <w:wordWrap w:val="0"/>
                    <w:spacing w:line="276" w:lineRule="auto"/>
                    <w:jc w:val="center"/>
                    <w:rPr>
                      <w:szCs w:val="21"/>
                    </w:rPr>
                  </w:pPr>
                  <w:r>
                    <w:rPr>
                      <w:rFonts w:hAnsi="宋体"/>
                      <w:szCs w:val="21"/>
                    </w:rPr>
                    <w:t>本项目按要求完成排污许可登记管理。</w:t>
                  </w:r>
                </w:p>
              </w:tc>
              <w:tc>
                <w:tcPr>
                  <w:tcW w:w="945" w:type="dxa"/>
                  <w:vAlign w:val="center"/>
                </w:tcPr>
                <w:p w14:paraId="68350323">
                  <w:pPr>
                    <w:wordWrap w:val="0"/>
                    <w:spacing w:line="276" w:lineRule="auto"/>
                    <w:jc w:val="center"/>
                    <w:rPr>
                      <w:szCs w:val="21"/>
                    </w:rPr>
                  </w:pPr>
                  <w:r>
                    <w:rPr>
                      <w:rFonts w:hAnsi="宋体"/>
                      <w:szCs w:val="21"/>
                    </w:rPr>
                    <w:t>符合</w:t>
                  </w:r>
                </w:p>
              </w:tc>
            </w:tr>
          </w:tbl>
          <w:p w14:paraId="3D0EFDB0">
            <w:pPr>
              <w:wordWrap w:val="0"/>
              <w:spacing w:line="360" w:lineRule="auto"/>
              <w:ind w:firstLine="480" w:firstLineChars="200"/>
              <w:rPr>
                <w:rFonts w:hAnsi="宋体"/>
                <w:sz w:val="24"/>
              </w:rPr>
            </w:pPr>
            <w:r>
              <w:rPr>
                <w:rFonts w:hint="eastAsia" w:hAnsi="宋体"/>
                <w:sz w:val="24"/>
              </w:rPr>
              <w:t>（</w:t>
            </w:r>
            <w:r>
              <w:rPr>
                <w:rFonts w:hAnsi="宋体"/>
                <w:sz w:val="24"/>
              </w:rPr>
              <w:t>2</w:t>
            </w:r>
            <w:r>
              <w:rPr>
                <w:rFonts w:hint="eastAsia" w:hAnsi="宋体"/>
                <w:sz w:val="24"/>
              </w:rPr>
              <w:t>）与《挥发性有机物无组织排放控制标准》（GB37822-2019）相符性分析</w:t>
            </w:r>
          </w:p>
          <w:p w14:paraId="76D9502D">
            <w:pPr>
              <w:autoSpaceDE w:val="0"/>
              <w:autoSpaceDN w:val="0"/>
              <w:adjustRightInd w:val="0"/>
              <w:snapToGrid w:val="0"/>
              <w:jc w:val="center"/>
              <w:rPr>
                <w:rFonts w:hAnsi="黑体" w:eastAsia="黑体"/>
                <w:w w:val="95"/>
                <w:szCs w:val="21"/>
              </w:rPr>
            </w:pPr>
            <w:r>
              <w:rPr>
                <w:rFonts w:hint="eastAsia" w:hAnsi="黑体" w:eastAsia="黑体"/>
                <w:sz w:val="24"/>
                <w:szCs w:val="24"/>
              </w:rPr>
              <w:t>表</w:t>
            </w:r>
            <w:r>
              <w:rPr>
                <w:rFonts w:hAnsi="黑体" w:eastAsia="黑体"/>
                <w:sz w:val="24"/>
                <w:szCs w:val="24"/>
              </w:rPr>
              <w:t xml:space="preserve">6  </w:t>
            </w:r>
            <w:r>
              <w:rPr>
                <w:rFonts w:hint="eastAsia" w:hAnsi="黑体" w:eastAsia="黑体"/>
                <w:w w:val="95"/>
                <w:sz w:val="24"/>
                <w:szCs w:val="24"/>
              </w:rPr>
              <w:t>项目与《挥发性有机物无组织排放控制标准》（GB37822-2019）符合性分析</w:t>
            </w:r>
          </w:p>
          <w:tbl>
            <w:tblPr>
              <w:tblStyle w:val="3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87"/>
              <w:gridCol w:w="3440"/>
              <w:gridCol w:w="3102"/>
              <w:gridCol w:w="924"/>
            </w:tblGrid>
            <w:tr w14:paraId="41D488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87" w:type="dxa"/>
                  <w:vAlign w:val="center"/>
                </w:tcPr>
                <w:p w14:paraId="26E89F1D">
                  <w:pPr>
                    <w:spacing w:line="276" w:lineRule="auto"/>
                    <w:jc w:val="center"/>
                    <w:rPr>
                      <w:rFonts w:hAnsi="宋体"/>
                      <w:b/>
                      <w:szCs w:val="21"/>
                    </w:rPr>
                  </w:pPr>
                  <w:r>
                    <w:rPr>
                      <w:rFonts w:hint="eastAsia" w:hAnsi="宋体"/>
                      <w:b/>
                      <w:szCs w:val="21"/>
                    </w:rPr>
                    <w:t>序号</w:t>
                  </w:r>
                </w:p>
              </w:tc>
              <w:tc>
                <w:tcPr>
                  <w:tcW w:w="3440" w:type="dxa"/>
                  <w:vAlign w:val="center"/>
                </w:tcPr>
                <w:p w14:paraId="522F0B8B">
                  <w:pPr>
                    <w:spacing w:line="276" w:lineRule="auto"/>
                    <w:jc w:val="center"/>
                    <w:rPr>
                      <w:rFonts w:hAnsi="宋体"/>
                      <w:b/>
                      <w:szCs w:val="21"/>
                    </w:rPr>
                  </w:pPr>
                  <w:r>
                    <w:rPr>
                      <w:rFonts w:hint="eastAsia" w:hAnsi="宋体"/>
                      <w:b/>
                      <w:szCs w:val="21"/>
                    </w:rPr>
                    <w:t>相关要求</w:t>
                  </w:r>
                </w:p>
              </w:tc>
              <w:tc>
                <w:tcPr>
                  <w:tcW w:w="3102" w:type="dxa"/>
                  <w:vAlign w:val="center"/>
                </w:tcPr>
                <w:p w14:paraId="1ADAA191">
                  <w:pPr>
                    <w:spacing w:line="276" w:lineRule="auto"/>
                    <w:jc w:val="center"/>
                    <w:rPr>
                      <w:rFonts w:hAnsi="宋体"/>
                      <w:b/>
                      <w:szCs w:val="21"/>
                    </w:rPr>
                  </w:pPr>
                  <w:r>
                    <w:rPr>
                      <w:rFonts w:hint="eastAsia" w:hAnsi="宋体"/>
                      <w:b/>
                      <w:szCs w:val="21"/>
                    </w:rPr>
                    <w:t>本项目情况</w:t>
                  </w:r>
                </w:p>
              </w:tc>
              <w:tc>
                <w:tcPr>
                  <w:tcW w:w="924" w:type="dxa"/>
                  <w:vAlign w:val="center"/>
                </w:tcPr>
                <w:p w14:paraId="10B9543D">
                  <w:pPr>
                    <w:spacing w:line="276" w:lineRule="auto"/>
                    <w:jc w:val="center"/>
                    <w:rPr>
                      <w:rFonts w:hAnsi="宋体"/>
                      <w:b/>
                      <w:szCs w:val="21"/>
                    </w:rPr>
                  </w:pPr>
                  <w:r>
                    <w:rPr>
                      <w:rFonts w:hint="eastAsia" w:hAnsi="宋体"/>
                      <w:b/>
                      <w:szCs w:val="21"/>
                    </w:rPr>
                    <w:t>符合性分析</w:t>
                  </w:r>
                </w:p>
              </w:tc>
            </w:tr>
            <w:tr w14:paraId="6F31FD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87" w:type="dxa"/>
                  <w:vAlign w:val="center"/>
                </w:tcPr>
                <w:p w14:paraId="711E6807">
                  <w:pPr>
                    <w:spacing w:line="276" w:lineRule="auto"/>
                    <w:jc w:val="center"/>
                    <w:rPr>
                      <w:rFonts w:hAnsi="宋体"/>
                      <w:szCs w:val="21"/>
                    </w:rPr>
                  </w:pPr>
                  <w:r>
                    <w:rPr>
                      <w:rFonts w:hint="eastAsia" w:hAnsi="宋体"/>
                      <w:szCs w:val="21"/>
                    </w:rPr>
                    <w:t>1</w:t>
                  </w:r>
                </w:p>
              </w:tc>
              <w:tc>
                <w:tcPr>
                  <w:tcW w:w="3440" w:type="dxa"/>
                  <w:vAlign w:val="center"/>
                </w:tcPr>
                <w:p w14:paraId="21125688">
                  <w:pPr>
                    <w:autoSpaceDE w:val="0"/>
                    <w:autoSpaceDN w:val="0"/>
                    <w:adjustRightInd w:val="0"/>
                    <w:spacing w:line="276" w:lineRule="auto"/>
                    <w:jc w:val="center"/>
                    <w:rPr>
                      <w:rFonts w:hAnsi="宋体"/>
                      <w:szCs w:val="21"/>
                      <w:shd w:val="clear" w:color="auto" w:fill="FFFFFF"/>
                    </w:rPr>
                  </w:pPr>
                  <w:r>
                    <w:rPr>
                      <w:rFonts w:hint="eastAsia" w:hAnsi="宋体"/>
                      <w:szCs w:val="21"/>
                      <w:shd w:val="clear" w:color="auto" w:fill="FFFFFF"/>
                    </w:rPr>
                    <w:t>暂存：</w:t>
                  </w:r>
                  <w:r>
                    <w:rPr>
                      <w:rFonts w:hAnsi="宋体"/>
                      <w:szCs w:val="21"/>
                      <w:shd w:val="clear" w:color="auto" w:fill="FFFFFF"/>
                    </w:rPr>
                    <w:t>VOCs</w:t>
                  </w:r>
                  <w:r>
                    <w:rPr>
                      <w:rFonts w:hint="eastAsia" w:hAnsi="宋体"/>
                      <w:szCs w:val="21"/>
                      <w:shd w:val="clear" w:color="auto" w:fill="FFFFFF"/>
                    </w:rPr>
                    <w:t>物料应储存于密闭的储罐、储库中。</w:t>
                  </w:r>
                  <w:r>
                    <w:rPr>
                      <w:rFonts w:hAnsi="宋体"/>
                      <w:szCs w:val="21"/>
                      <w:shd w:val="clear" w:color="auto" w:fill="FFFFFF"/>
                    </w:rPr>
                    <w:t>VOCs</w:t>
                  </w:r>
                  <w:r>
                    <w:rPr>
                      <w:rFonts w:hint="eastAsia" w:hAnsi="宋体"/>
                      <w:szCs w:val="21"/>
                      <w:shd w:val="clear" w:color="auto" w:fill="FFFFFF"/>
                    </w:rPr>
                    <w:t>物料储罐应密封良好，采用固定顶罐，排放的废气应收集处理，处理效率不低于</w:t>
                  </w:r>
                  <w:r>
                    <w:rPr>
                      <w:rFonts w:hAnsi="宋体"/>
                      <w:szCs w:val="21"/>
                      <w:shd w:val="clear" w:color="auto" w:fill="FFFFFF"/>
                    </w:rPr>
                    <w:t>90%</w:t>
                  </w:r>
                  <w:r>
                    <w:rPr>
                      <w:rFonts w:hint="eastAsia" w:hAnsi="宋体"/>
                      <w:szCs w:val="21"/>
                      <w:shd w:val="clear" w:color="auto" w:fill="FFFFFF"/>
                    </w:rPr>
                    <w:t>。</w:t>
                  </w:r>
                  <w:r>
                    <w:rPr>
                      <w:rFonts w:hAnsi="宋体"/>
                      <w:szCs w:val="21"/>
                      <w:shd w:val="clear" w:color="auto" w:fill="FFFFFF"/>
                    </w:rPr>
                    <w:t>VOCs</w:t>
                  </w:r>
                  <w:r>
                    <w:rPr>
                      <w:rFonts w:hint="eastAsia" w:hAnsi="宋体"/>
                      <w:szCs w:val="21"/>
                      <w:shd w:val="clear" w:color="auto" w:fill="FFFFFF"/>
                    </w:rPr>
                    <w:t>物料应利用完整的围护结构将污染物质与周围空间阻隔，该封闭区域除人员、车辆、设备、物料进出时随时保持关闭状态。</w:t>
                  </w:r>
                </w:p>
                <w:p w14:paraId="39196C51">
                  <w:pPr>
                    <w:spacing w:line="276" w:lineRule="auto"/>
                    <w:jc w:val="center"/>
                    <w:rPr>
                      <w:rFonts w:hAnsi="宋体"/>
                      <w:szCs w:val="21"/>
                    </w:rPr>
                  </w:pPr>
                  <w:r>
                    <w:rPr>
                      <w:rFonts w:hint="eastAsia" w:hAnsi="宋体"/>
                      <w:kern w:val="0"/>
                      <w:szCs w:val="21"/>
                      <w:shd w:val="clear" w:color="auto" w:fill="FFFFFF"/>
                    </w:rPr>
                    <w:t>盛装</w:t>
                  </w:r>
                  <w:r>
                    <w:rPr>
                      <w:rFonts w:hAnsi="宋体"/>
                      <w:kern w:val="0"/>
                      <w:szCs w:val="21"/>
                      <w:shd w:val="clear" w:color="auto" w:fill="FFFFFF"/>
                    </w:rPr>
                    <w:t>VOCs</w:t>
                  </w:r>
                  <w:r>
                    <w:rPr>
                      <w:rFonts w:hint="eastAsia" w:hAnsi="宋体"/>
                      <w:kern w:val="0"/>
                      <w:szCs w:val="21"/>
                      <w:shd w:val="clear" w:color="auto" w:fill="FFFFFF"/>
                    </w:rPr>
                    <w:t>物料的容器或包装袋应存放于室内，或存放于设置有雨棚、遮阳和防渗设施的专用场地。盛装</w:t>
                  </w:r>
                  <w:r>
                    <w:rPr>
                      <w:rFonts w:hAnsi="宋体"/>
                      <w:kern w:val="0"/>
                      <w:szCs w:val="21"/>
                      <w:shd w:val="clear" w:color="auto" w:fill="FFFFFF"/>
                    </w:rPr>
                    <w:t>VOCs</w:t>
                  </w:r>
                  <w:r>
                    <w:rPr>
                      <w:rFonts w:hint="eastAsia" w:hAnsi="宋体"/>
                      <w:kern w:val="0"/>
                      <w:szCs w:val="21"/>
                      <w:shd w:val="clear" w:color="auto" w:fill="FFFFFF"/>
                    </w:rPr>
                    <w:t>物料的容器或包装袋在非取用状态时应加盖、封口，保持密闭</w:t>
                  </w:r>
                </w:p>
              </w:tc>
              <w:tc>
                <w:tcPr>
                  <w:tcW w:w="3102" w:type="dxa"/>
                  <w:vAlign w:val="center"/>
                </w:tcPr>
                <w:p w14:paraId="666EA6A4">
                  <w:pPr>
                    <w:spacing w:line="276" w:lineRule="auto"/>
                    <w:jc w:val="center"/>
                    <w:rPr>
                      <w:rFonts w:hAnsi="宋体"/>
                      <w:szCs w:val="21"/>
                    </w:rPr>
                  </w:pPr>
                  <w:r>
                    <w:rPr>
                      <w:rFonts w:hAnsi="宋体"/>
                      <w:szCs w:val="21"/>
                    </w:rPr>
                    <w:t>本项目乙醇物料采取密闭桶装，储存于化学品库内；本评价要求所有盛装</w:t>
                  </w:r>
                  <w:r>
                    <w:rPr>
                      <w:rFonts w:hint="eastAsia" w:hAnsi="宋体"/>
                      <w:szCs w:val="21"/>
                    </w:rPr>
                    <w:t>VOCs物料的容器在非取用状态时应加盖、封口，保持密闭。</w:t>
                  </w:r>
                </w:p>
              </w:tc>
              <w:tc>
                <w:tcPr>
                  <w:tcW w:w="924" w:type="dxa"/>
                  <w:vAlign w:val="center"/>
                </w:tcPr>
                <w:p w14:paraId="10618C9C">
                  <w:pPr>
                    <w:spacing w:line="276" w:lineRule="auto"/>
                    <w:jc w:val="center"/>
                    <w:rPr>
                      <w:rFonts w:hAnsi="宋体"/>
                      <w:szCs w:val="21"/>
                    </w:rPr>
                  </w:pPr>
                  <w:r>
                    <w:rPr>
                      <w:rFonts w:hint="eastAsia" w:hAnsi="宋体"/>
                      <w:szCs w:val="21"/>
                    </w:rPr>
                    <w:t>符合</w:t>
                  </w:r>
                </w:p>
              </w:tc>
            </w:tr>
            <w:tr w14:paraId="3A28F6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87" w:type="dxa"/>
                  <w:vAlign w:val="center"/>
                </w:tcPr>
                <w:p w14:paraId="6013D218">
                  <w:pPr>
                    <w:spacing w:line="276" w:lineRule="auto"/>
                    <w:jc w:val="center"/>
                    <w:rPr>
                      <w:rFonts w:hAnsi="宋体"/>
                      <w:szCs w:val="21"/>
                    </w:rPr>
                  </w:pPr>
                  <w:r>
                    <w:rPr>
                      <w:rFonts w:hint="eastAsia" w:hAnsi="宋体"/>
                      <w:szCs w:val="21"/>
                    </w:rPr>
                    <w:t>2</w:t>
                  </w:r>
                </w:p>
              </w:tc>
              <w:tc>
                <w:tcPr>
                  <w:tcW w:w="3440" w:type="dxa"/>
                  <w:vAlign w:val="center"/>
                </w:tcPr>
                <w:p w14:paraId="1FD6CFB8">
                  <w:pPr>
                    <w:autoSpaceDE w:val="0"/>
                    <w:autoSpaceDN w:val="0"/>
                    <w:adjustRightInd w:val="0"/>
                    <w:spacing w:line="276" w:lineRule="auto"/>
                    <w:jc w:val="center"/>
                    <w:rPr>
                      <w:rFonts w:hAnsi="宋体"/>
                      <w:szCs w:val="21"/>
                    </w:rPr>
                  </w:pPr>
                  <w:r>
                    <w:rPr>
                      <w:rFonts w:hint="eastAsia" w:hAnsi="宋体"/>
                      <w:szCs w:val="21"/>
                      <w:shd w:val="clear" w:color="auto" w:fill="FFFFFF"/>
                    </w:rPr>
                    <w:t>生产：</w:t>
                  </w:r>
                  <w:r>
                    <w:rPr>
                      <w:rFonts w:hAnsi="宋体"/>
                      <w:szCs w:val="21"/>
                      <w:shd w:val="clear" w:color="auto" w:fill="FFFFFF"/>
                    </w:rPr>
                    <w:t>VOCs</w:t>
                  </w:r>
                  <w:r>
                    <w:rPr>
                      <w:rFonts w:hint="eastAsia" w:hAnsi="宋体"/>
                      <w:szCs w:val="21"/>
                      <w:shd w:val="clear" w:color="auto" w:fill="FFFFFF"/>
                    </w:rPr>
                    <w:t>质量占比大于等于</w:t>
                  </w:r>
                  <w:r>
                    <w:rPr>
                      <w:rFonts w:hAnsi="宋体"/>
                      <w:szCs w:val="21"/>
                      <w:shd w:val="clear" w:color="auto" w:fill="FFFFFF"/>
                    </w:rPr>
                    <w:t>10%</w:t>
                  </w:r>
                  <w:r>
                    <w:rPr>
                      <w:rFonts w:hint="eastAsia" w:hAnsi="宋体"/>
                      <w:szCs w:val="21"/>
                      <w:shd w:val="clear" w:color="auto" w:fill="FFFFFF"/>
                    </w:rPr>
                    <w:t>的含</w:t>
                  </w:r>
                  <w:r>
                    <w:rPr>
                      <w:rFonts w:hAnsi="宋体"/>
                      <w:szCs w:val="21"/>
                      <w:shd w:val="clear" w:color="auto" w:fill="FFFFFF"/>
                    </w:rPr>
                    <w:t>VOCs</w:t>
                  </w:r>
                  <w:r>
                    <w:rPr>
                      <w:rFonts w:hint="eastAsia" w:hAnsi="宋体"/>
                      <w:szCs w:val="21"/>
                      <w:shd w:val="clear" w:color="auto" w:fill="FFFFFF"/>
                    </w:rPr>
                    <w:t>产品，其使用过程中应采用密闭设备或在密闭空间内操作，废气应排至</w:t>
                  </w:r>
                  <w:r>
                    <w:rPr>
                      <w:rFonts w:hAnsi="宋体"/>
                      <w:szCs w:val="21"/>
                      <w:shd w:val="clear" w:color="auto" w:fill="FFFFFF"/>
                    </w:rPr>
                    <w:t>VOCs</w:t>
                  </w:r>
                  <w:r>
                    <w:rPr>
                      <w:rFonts w:hint="eastAsia" w:hAnsi="宋体"/>
                      <w:szCs w:val="21"/>
                      <w:shd w:val="clear" w:color="auto" w:fill="FFFFFF"/>
                    </w:rPr>
                    <w:t>废气收集处理系统；无法密闭的，应采取局部气体收集措施，废气应排至</w:t>
                  </w:r>
                  <w:r>
                    <w:rPr>
                      <w:rFonts w:hAnsi="宋体"/>
                      <w:szCs w:val="21"/>
                      <w:shd w:val="clear" w:color="auto" w:fill="FFFFFF"/>
                    </w:rPr>
                    <w:t>VOCs</w:t>
                  </w:r>
                  <w:r>
                    <w:rPr>
                      <w:rFonts w:hint="eastAsia" w:hAnsi="宋体"/>
                      <w:szCs w:val="21"/>
                      <w:shd w:val="clear" w:color="auto" w:fill="FFFFFF"/>
                    </w:rPr>
                    <w:t>废气收集处理系统。含</w:t>
                  </w:r>
                  <w:r>
                    <w:rPr>
                      <w:rFonts w:hAnsi="宋体"/>
                      <w:szCs w:val="21"/>
                      <w:shd w:val="clear" w:color="auto" w:fill="FFFFFF"/>
                    </w:rPr>
                    <w:t>VOCs</w:t>
                  </w:r>
                  <w:r>
                    <w:rPr>
                      <w:rFonts w:hint="eastAsia" w:hAnsi="宋体"/>
                      <w:szCs w:val="21"/>
                      <w:shd w:val="clear" w:color="auto" w:fill="FFFFFF"/>
                    </w:rPr>
                    <w:t>产品的使用过程包括但不限于以下作业：</w:t>
                  </w:r>
                  <w:r>
                    <w:rPr>
                      <w:rFonts w:hAnsi="宋体"/>
                      <w:szCs w:val="21"/>
                      <w:shd w:val="clear" w:color="auto" w:fill="FFFFFF"/>
                    </w:rPr>
                    <w:t>a</w:t>
                  </w:r>
                  <w:r>
                    <w:rPr>
                      <w:rFonts w:hint="eastAsia" w:hAnsi="宋体"/>
                      <w:szCs w:val="21"/>
                      <w:shd w:val="clear" w:color="auto" w:fill="FFFFFF"/>
                    </w:rPr>
                    <w:t>）调配（混合、搅拌等）；</w:t>
                  </w:r>
                  <w:r>
                    <w:rPr>
                      <w:rFonts w:hAnsi="宋体"/>
                      <w:kern w:val="0"/>
                      <w:szCs w:val="21"/>
                      <w:shd w:val="clear" w:color="auto" w:fill="FFFFFF"/>
                    </w:rPr>
                    <w:t>b</w:t>
                  </w:r>
                  <w:r>
                    <w:rPr>
                      <w:rFonts w:hint="eastAsia" w:hAnsi="宋体"/>
                      <w:kern w:val="0"/>
                      <w:szCs w:val="21"/>
                      <w:shd w:val="clear" w:color="auto" w:fill="FFFFFF"/>
                    </w:rPr>
                    <w:t>）涂装（喷涂、浸涂、淋涂、辊涂、刷涂、涂布等）；</w:t>
                  </w:r>
                </w:p>
              </w:tc>
              <w:tc>
                <w:tcPr>
                  <w:tcW w:w="3102" w:type="dxa"/>
                  <w:vAlign w:val="center"/>
                </w:tcPr>
                <w:p w14:paraId="2F0A3E4C">
                  <w:pPr>
                    <w:spacing w:line="276" w:lineRule="auto"/>
                    <w:jc w:val="center"/>
                    <w:rPr>
                      <w:rFonts w:hAnsi="宋体"/>
                      <w:szCs w:val="21"/>
                    </w:rPr>
                  </w:pPr>
                  <w:r>
                    <w:rPr>
                      <w:rFonts w:hint="eastAsia" w:hAnsi="宋体"/>
                      <w:szCs w:val="21"/>
                    </w:rPr>
                    <w:t>本项目生产过程使用乙醇作为清洗溶剂，</w:t>
                  </w:r>
                  <w:r>
                    <w:rPr>
                      <w:rFonts w:hint="eastAsia" w:hAnsi="宋体"/>
                      <w:szCs w:val="21"/>
                      <w:shd w:val="clear" w:color="auto" w:fill="FFFFFF"/>
                    </w:rPr>
                    <w:t>清洗工序</w:t>
                  </w:r>
                  <w:r>
                    <w:rPr>
                      <w:rFonts w:hint="eastAsia" w:hAnsi="宋体"/>
                      <w:szCs w:val="21"/>
                    </w:rPr>
                    <w:t>在</w:t>
                  </w:r>
                  <w:r>
                    <w:rPr>
                      <w:kern w:val="0"/>
                      <w:szCs w:val="21"/>
                    </w:rPr>
                    <w:t>集气罩内进行，乙醇</w:t>
                  </w:r>
                  <w:r>
                    <w:rPr>
                      <w:rFonts w:hint="eastAsia" w:hAnsi="宋体"/>
                      <w:szCs w:val="21"/>
                    </w:rPr>
                    <w:t>属于</w:t>
                  </w:r>
                  <w:r>
                    <w:rPr>
                      <w:rFonts w:hAnsi="宋体"/>
                      <w:szCs w:val="21"/>
                      <w:shd w:val="clear" w:color="auto" w:fill="FFFFFF"/>
                    </w:rPr>
                    <w:t>VOCs</w:t>
                  </w:r>
                  <w:r>
                    <w:rPr>
                      <w:rFonts w:hint="eastAsia" w:hAnsi="宋体"/>
                      <w:szCs w:val="21"/>
                      <w:shd w:val="clear" w:color="auto" w:fill="FFFFFF"/>
                    </w:rPr>
                    <w:t>质量占比大于等于</w:t>
                  </w:r>
                  <w:r>
                    <w:rPr>
                      <w:rFonts w:hAnsi="宋体"/>
                      <w:szCs w:val="21"/>
                      <w:shd w:val="clear" w:color="auto" w:fill="FFFFFF"/>
                    </w:rPr>
                    <w:t>10%</w:t>
                  </w:r>
                  <w:r>
                    <w:rPr>
                      <w:rFonts w:hint="eastAsia" w:hAnsi="宋体"/>
                      <w:szCs w:val="21"/>
                      <w:shd w:val="clear" w:color="auto" w:fill="FFFFFF"/>
                    </w:rPr>
                    <w:t>的含</w:t>
                  </w:r>
                  <w:r>
                    <w:rPr>
                      <w:rFonts w:hAnsi="宋体"/>
                      <w:szCs w:val="21"/>
                      <w:shd w:val="clear" w:color="auto" w:fill="FFFFFF"/>
                    </w:rPr>
                    <w:t>VOCs</w:t>
                  </w:r>
                  <w:r>
                    <w:rPr>
                      <w:rFonts w:hint="eastAsia" w:hAnsi="宋体"/>
                      <w:szCs w:val="21"/>
                      <w:shd w:val="clear" w:color="auto" w:fill="FFFFFF"/>
                    </w:rPr>
                    <w:t>产品，生产时采取局部气体收集措施</w:t>
                  </w:r>
                  <w:r>
                    <w:rPr>
                      <w:rFonts w:hint="eastAsia"/>
                      <w:kern w:val="0"/>
                      <w:szCs w:val="21"/>
                    </w:rPr>
                    <w:t>，</w:t>
                  </w:r>
                  <w:r>
                    <w:rPr>
                      <w:kern w:val="0"/>
                      <w:szCs w:val="21"/>
                    </w:rPr>
                    <w:t>废气收集后由</w:t>
                  </w:r>
                  <w:r>
                    <w:rPr>
                      <w:rFonts w:hint="eastAsia"/>
                      <w:kern w:val="0"/>
                      <w:szCs w:val="21"/>
                    </w:rPr>
                    <w:t>“二级活性炭吸附装置”处理达标后排放</w:t>
                  </w:r>
                </w:p>
              </w:tc>
              <w:tc>
                <w:tcPr>
                  <w:tcW w:w="924" w:type="dxa"/>
                  <w:vAlign w:val="center"/>
                </w:tcPr>
                <w:p w14:paraId="293264E2">
                  <w:pPr>
                    <w:spacing w:line="276" w:lineRule="auto"/>
                    <w:jc w:val="center"/>
                    <w:rPr>
                      <w:rFonts w:hAnsi="宋体"/>
                      <w:szCs w:val="21"/>
                    </w:rPr>
                  </w:pPr>
                  <w:r>
                    <w:rPr>
                      <w:rFonts w:hint="eastAsia" w:hAnsi="宋体"/>
                      <w:szCs w:val="21"/>
                    </w:rPr>
                    <w:t>符合</w:t>
                  </w:r>
                </w:p>
              </w:tc>
            </w:tr>
            <w:tr w14:paraId="32C6B0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87" w:type="dxa"/>
                  <w:vAlign w:val="center"/>
                </w:tcPr>
                <w:p w14:paraId="66DC4EC8">
                  <w:pPr>
                    <w:spacing w:line="276" w:lineRule="auto"/>
                    <w:jc w:val="center"/>
                    <w:rPr>
                      <w:rFonts w:hAnsi="宋体"/>
                      <w:szCs w:val="21"/>
                    </w:rPr>
                  </w:pPr>
                  <w:r>
                    <w:rPr>
                      <w:rFonts w:hint="eastAsia" w:hAnsi="宋体"/>
                      <w:szCs w:val="21"/>
                    </w:rPr>
                    <w:t>3</w:t>
                  </w:r>
                </w:p>
              </w:tc>
              <w:tc>
                <w:tcPr>
                  <w:tcW w:w="3440" w:type="dxa"/>
                  <w:vAlign w:val="center"/>
                </w:tcPr>
                <w:p w14:paraId="085AA4F4">
                  <w:pPr>
                    <w:spacing w:line="276" w:lineRule="auto"/>
                    <w:jc w:val="center"/>
                    <w:rPr>
                      <w:rFonts w:hAnsi="宋体"/>
                      <w:szCs w:val="21"/>
                    </w:rPr>
                  </w:pPr>
                  <w:r>
                    <w:rPr>
                      <w:rFonts w:hint="eastAsia" w:hAnsi="宋体"/>
                      <w:kern w:val="0"/>
                      <w:szCs w:val="21"/>
                      <w:shd w:val="clear" w:color="auto" w:fill="FFFFFF"/>
                    </w:rPr>
                    <w:t>企业应建立台账，记录含</w:t>
                  </w:r>
                  <w:r>
                    <w:rPr>
                      <w:rFonts w:hAnsi="宋体"/>
                      <w:kern w:val="0"/>
                      <w:szCs w:val="21"/>
                      <w:shd w:val="clear" w:color="auto" w:fill="FFFFFF"/>
                    </w:rPr>
                    <w:t>VOCs</w:t>
                  </w:r>
                  <w:r>
                    <w:rPr>
                      <w:rFonts w:hint="eastAsia" w:hAnsi="宋体"/>
                      <w:kern w:val="0"/>
                      <w:szCs w:val="21"/>
                      <w:shd w:val="clear" w:color="auto" w:fill="FFFFFF"/>
                    </w:rPr>
                    <w:t>原辅材料和含</w:t>
                  </w:r>
                  <w:r>
                    <w:rPr>
                      <w:rFonts w:hAnsi="宋体"/>
                      <w:kern w:val="0"/>
                      <w:szCs w:val="21"/>
                      <w:shd w:val="clear" w:color="auto" w:fill="FFFFFF"/>
                    </w:rPr>
                    <w:t>VOCs</w:t>
                  </w:r>
                  <w:r>
                    <w:rPr>
                      <w:rFonts w:hint="eastAsia" w:hAnsi="宋体"/>
                      <w:kern w:val="0"/>
                      <w:szCs w:val="21"/>
                      <w:shd w:val="clear" w:color="auto" w:fill="FFFFFF"/>
                    </w:rPr>
                    <w:t>产品的名称、使用量、回收量、废弃量、去向以及</w:t>
                  </w:r>
                  <w:r>
                    <w:rPr>
                      <w:rFonts w:hAnsi="宋体"/>
                      <w:kern w:val="0"/>
                      <w:szCs w:val="21"/>
                      <w:shd w:val="clear" w:color="auto" w:fill="FFFFFF"/>
                    </w:rPr>
                    <w:t>VOCs</w:t>
                  </w:r>
                  <w:r>
                    <w:rPr>
                      <w:rFonts w:hint="eastAsia" w:hAnsi="宋体"/>
                      <w:kern w:val="0"/>
                      <w:szCs w:val="21"/>
                      <w:shd w:val="clear" w:color="auto" w:fill="FFFFFF"/>
                    </w:rPr>
                    <w:t>含量等信息。台账保存期限不少于</w:t>
                  </w:r>
                  <w:r>
                    <w:rPr>
                      <w:rFonts w:hAnsi="宋体"/>
                      <w:kern w:val="0"/>
                      <w:szCs w:val="21"/>
                      <w:shd w:val="clear" w:color="auto" w:fill="FFFFFF"/>
                    </w:rPr>
                    <w:t>3</w:t>
                  </w:r>
                  <w:r>
                    <w:rPr>
                      <w:rFonts w:hint="eastAsia" w:hAnsi="宋体"/>
                      <w:kern w:val="0"/>
                      <w:szCs w:val="21"/>
                      <w:shd w:val="clear" w:color="auto" w:fill="FFFFFF"/>
                    </w:rPr>
                    <w:t>年</w:t>
                  </w:r>
                </w:p>
              </w:tc>
              <w:tc>
                <w:tcPr>
                  <w:tcW w:w="3102" w:type="dxa"/>
                  <w:vAlign w:val="center"/>
                </w:tcPr>
                <w:p w14:paraId="5C022F2D">
                  <w:pPr>
                    <w:spacing w:line="276" w:lineRule="auto"/>
                    <w:jc w:val="center"/>
                    <w:rPr>
                      <w:rFonts w:hAnsi="宋体"/>
                      <w:szCs w:val="21"/>
                    </w:rPr>
                  </w:pPr>
                  <w:r>
                    <w:rPr>
                      <w:rFonts w:hint="eastAsia" w:hAnsi="宋体"/>
                      <w:szCs w:val="21"/>
                    </w:rPr>
                    <w:t>本评价要求企业乙醇等原辅材料进出库均设置台账记录；废包装桶</w:t>
                  </w:r>
                  <w:r>
                    <w:rPr>
                      <w:rFonts w:hint="eastAsia"/>
                    </w:rPr>
                    <w:t>、废液、废活性炭等危险废物进出库也需设置台账记录，</w:t>
                  </w:r>
                  <w:r>
                    <w:rPr>
                      <w:rFonts w:hint="eastAsia"/>
                      <w:kern w:val="0"/>
                      <w:szCs w:val="21"/>
                    </w:rPr>
                    <w:t>台账保存期限不少于</w:t>
                  </w:r>
                  <w:r>
                    <w:rPr>
                      <w:kern w:val="0"/>
                      <w:szCs w:val="21"/>
                    </w:rPr>
                    <w:t>3</w:t>
                  </w:r>
                  <w:r>
                    <w:rPr>
                      <w:rFonts w:hint="eastAsia"/>
                      <w:kern w:val="0"/>
                      <w:szCs w:val="21"/>
                    </w:rPr>
                    <w:t>年</w:t>
                  </w:r>
                </w:p>
              </w:tc>
              <w:tc>
                <w:tcPr>
                  <w:tcW w:w="924" w:type="dxa"/>
                  <w:vAlign w:val="center"/>
                </w:tcPr>
                <w:p w14:paraId="21D4BDE0">
                  <w:pPr>
                    <w:spacing w:line="276" w:lineRule="auto"/>
                    <w:jc w:val="center"/>
                    <w:rPr>
                      <w:rFonts w:hAnsi="宋体"/>
                      <w:szCs w:val="21"/>
                    </w:rPr>
                  </w:pPr>
                  <w:r>
                    <w:rPr>
                      <w:rFonts w:hint="eastAsia" w:hAnsi="宋体"/>
                      <w:szCs w:val="21"/>
                    </w:rPr>
                    <w:t>符合</w:t>
                  </w:r>
                </w:p>
              </w:tc>
            </w:tr>
          </w:tbl>
          <w:p w14:paraId="103C890C">
            <w:pPr>
              <w:spacing w:line="360" w:lineRule="auto"/>
              <w:ind w:firstLine="480" w:firstLineChars="200"/>
              <w:rPr>
                <w:rFonts w:hAnsi="宋体"/>
                <w:sz w:val="24"/>
              </w:rPr>
            </w:pPr>
            <w:r>
              <w:rPr>
                <w:rFonts w:hint="eastAsia" w:hAnsi="宋体"/>
                <w:sz w:val="24"/>
              </w:rPr>
              <w:t>（</w:t>
            </w:r>
            <w:r>
              <w:rPr>
                <w:rFonts w:hAnsi="宋体"/>
                <w:sz w:val="24"/>
              </w:rPr>
              <w:t>3</w:t>
            </w:r>
            <w:r>
              <w:rPr>
                <w:rFonts w:hint="eastAsia" w:hAnsi="宋体"/>
                <w:sz w:val="24"/>
              </w:rPr>
              <w:t>）与《安徽省淮河流域水污染防治条例》的相符性分析</w:t>
            </w:r>
          </w:p>
          <w:p w14:paraId="01013C6B">
            <w:pPr>
              <w:pStyle w:val="108"/>
              <w:adjustRightInd/>
              <w:spacing w:line="360" w:lineRule="auto"/>
              <w:ind w:firstLine="480" w:firstLineChars="200"/>
              <w:jc w:val="both"/>
              <w:rPr>
                <w:rFonts w:hAnsi="宋体"/>
                <w:color w:val="auto"/>
                <w:kern w:val="2"/>
                <w:szCs w:val="22"/>
              </w:rPr>
            </w:pPr>
            <w:r>
              <w:rPr>
                <w:rFonts w:hint="eastAsia" w:hAnsi="宋体"/>
                <w:color w:val="auto"/>
                <w:kern w:val="2"/>
                <w:szCs w:val="22"/>
              </w:rPr>
              <w:t>本项目符合性分析见下表。</w:t>
            </w:r>
          </w:p>
          <w:p w14:paraId="5641C2AA">
            <w:pPr>
              <w:autoSpaceDE w:val="0"/>
              <w:autoSpaceDN w:val="0"/>
              <w:adjustRightInd w:val="0"/>
              <w:snapToGrid w:val="0"/>
              <w:jc w:val="center"/>
              <w:rPr>
                <w:rFonts w:eastAsia="黑体"/>
                <w:szCs w:val="21"/>
              </w:rPr>
            </w:pPr>
            <w:r>
              <w:rPr>
                <w:rFonts w:hint="eastAsia" w:hAnsi="黑体" w:eastAsia="黑体"/>
                <w:sz w:val="24"/>
                <w:szCs w:val="24"/>
              </w:rPr>
              <w:t>表</w:t>
            </w:r>
            <w:r>
              <w:rPr>
                <w:rFonts w:hAnsi="黑体" w:eastAsia="黑体"/>
                <w:sz w:val="24"/>
                <w:szCs w:val="24"/>
              </w:rPr>
              <w:t xml:space="preserve">7  </w:t>
            </w:r>
            <w:r>
              <w:rPr>
                <w:rFonts w:hint="eastAsia" w:hAnsi="黑体" w:eastAsia="黑体"/>
                <w:sz w:val="24"/>
                <w:szCs w:val="24"/>
              </w:rPr>
              <w:t>与《安徽省淮河流域水污染防治条例》的相符性分析</w:t>
            </w:r>
          </w:p>
          <w:tbl>
            <w:tblPr>
              <w:tblStyle w:val="3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130"/>
              <w:gridCol w:w="2978"/>
              <w:gridCol w:w="945"/>
            </w:tblGrid>
            <w:tr w14:paraId="7D81C8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564" w:type="pct"/>
                  <w:vAlign w:val="center"/>
                </w:tcPr>
                <w:p w14:paraId="3697516F">
                  <w:pPr>
                    <w:wordWrap w:val="0"/>
                    <w:spacing w:line="276" w:lineRule="auto"/>
                    <w:jc w:val="center"/>
                    <w:rPr>
                      <w:rFonts w:hAnsi="宋体"/>
                      <w:b/>
                      <w:szCs w:val="21"/>
                    </w:rPr>
                  </w:pPr>
                  <w:r>
                    <w:rPr>
                      <w:rFonts w:hint="eastAsia" w:hAnsi="宋体"/>
                      <w:b/>
                      <w:szCs w:val="21"/>
                    </w:rPr>
                    <w:t>相关条例</w:t>
                  </w:r>
                </w:p>
              </w:tc>
              <w:tc>
                <w:tcPr>
                  <w:tcW w:w="1849" w:type="pct"/>
                  <w:vAlign w:val="center"/>
                </w:tcPr>
                <w:p w14:paraId="7083E4C6">
                  <w:pPr>
                    <w:wordWrap w:val="0"/>
                    <w:spacing w:line="276" w:lineRule="auto"/>
                    <w:jc w:val="center"/>
                    <w:rPr>
                      <w:rFonts w:hAnsi="宋体"/>
                      <w:b/>
                      <w:szCs w:val="21"/>
                    </w:rPr>
                  </w:pPr>
                  <w:r>
                    <w:rPr>
                      <w:rFonts w:hint="eastAsia" w:hAnsi="宋体"/>
                      <w:b/>
                      <w:szCs w:val="21"/>
                    </w:rPr>
                    <w:t>本项目情况</w:t>
                  </w:r>
                </w:p>
              </w:tc>
              <w:tc>
                <w:tcPr>
                  <w:tcW w:w="587" w:type="pct"/>
                  <w:vAlign w:val="center"/>
                </w:tcPr>
                <w:p w14:paraId="045EAF93">
                  <w:pPr>
                    <w:wordWrap w:val="0"/>
                    <w:jc w:val="center"/>
                    <w:rPr>
                      <w:rFonts w:hAnsi="宋体"/>
                      <w:b/>
                      <w:szCs w:val="21"/>
                    </w:rPr>
                  </w:pPr>
                  <w:r>
                    <w:rPr>
                      <w:rFonts w:hint="eastAsia" w:hAnsi="宋体"/>
                      <w:b/>
                      <w:szCs w:val="21"/>
                    </w:rPr>
                    <w:t>符合性分析</w:t>
                  </w:r>
                </w:p>
              </w:tc>
            </w:tr>
            <w:tr w14:paraId="112227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564" w:type="pct"/>
                  <w:vAlign w:val="center"/>
                </w:tcPr>
                <w:p w14:paraId="6ED53226">
                  <w:pPr>
                    <w:spacing w:line="264" w:lineRule="auto"/>
                    <w:jc w:val="left"/>
                    <w:rPr>
                      <w:rFonts w:hAnsi="宋体"/>
                      <w:spacing w:val="-4"/>
                      <w:szCs w:val="21"/>
                    </w:rPr>
                  </w:pPr>
                  <w:r>
                    <w:rPr>
                      <w:rFonts w:hint="eastAsia" w:hAnsi="宋体"/>
                      <w:spacing w:val="-4"/>
                      <w:szCs w:val="21"/>
                    </w:rPr>
                    <w:t>第十三条 禁止在淮河流域新建化学制浆造纸企业和印染、制革、化工、电镀、酿造等污染严重的小型企业。严格限制在淮河流域新建印染、制革、化工、电镀、酿造等大中型项目或者其他污染严重的项目，建设该类项目应当事前征得省人民政府生态环境行政主管部门的同意，并按照规定办理有关手续。</w:t>
                  </w:r>
                </w:p>
              </w:tc>
              <w:tc>
                <w:tcPr>
                  <w:tcW w:w="1849" w:type="pct"/>
                  <w:vAlign w:val="center"/>
                </w:tcPr>
                <w:p w14:paraId="0B18FA63">
                  <w:pPr>
                    <w:spacing w:line="264" w:lineRule="auto"/>
                    <w:jc w:val="center"/>
                    <w:rPr>
                      <w:rFonts w:hAnsi="宋体"/>
                      <w:spacing w:val="-4"/>
                      <w:szCs w:val="21"/>
                    </w:rPr>
                  </w:pPr>
                  <w:r>
                    <w:rPr>
                      <w:rFonts w:hint="eastAsia" w:hAnsi="宋体"/>
                      <w:spacing w:val="-4"/>
                      <w:szCs w:val="21"/>
                    </w:rPr>
                    <w:t>本项目为新建项目，属于玩具制造行业，不属于新建化学制浆造纸企业和印染、制革、化工、电镀、酿造等污染严重的小型企业，也不属于新建印染、制革、化工、电镀、酿造等大中型项目或者其他污染严重的项目。</w:t>
                  </w:r>
                </w:p>
              </w:tc>
              <w:tc>
                <w:tcPr>
                  <w:tcW w:w="587" w:type="pct"/>
                  <w:vAlign w:val="center"/>
                </w:tcPr>
                <w:p w14:paraId="3F7A9722">
                  <w:pPr>
                    <w:wordWrap w:val="0"/>
                    <w:spacing w:line="276" w:lineRule="auto"/>
                    <w:jc w:val="center"/>
                    <w:rPr>
                      <w:rFonts w:hAnsi="宋体"/>
                      <w:szCs w:val="21"/>
                    </w:rPr>
                  </w:pPr>
                  <w:r>
                    <w:rPr>
                      <w:rFonts w:hint="eastAsia" w:hAnsi="宋体"/>
                      <w:szCs w:val="21"/>
                    </w:rPr>
                    <w:t>符合</w:t>
                  </w:r>
                </w:p>
              </w:tc>
            </w:tr>
            <w:tr w14:paraId="648009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564" w:type="pct"/>
                  <w:vAlign w:val="center"/>
                </w:tcPr>
                <w:p w14:paraId="2C108009">
                  <w:pPr>
                    <w:spacing w:line="264" w:lineRule="auto"/>
                    <w:jc w:val="left"/>
                    <w:rPr>
                      <w:rFonts w:hAnsi="宋体"/>
                      <w:szCs w:val="21"/>
                    </w:rPr>
                  </w:pPr>
                  <w:r>
                    <w:rPr>
                      <w:rFonts w:hint="eastAsia" w:hAnsi="宋体"/>
                      <w:szCs w:val="21"/>
                    </w:rPr>
                    <w:t>第十四条 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p w14:paraId="6A796FB3">
                  <w:pPr>
                    <w:spacing w:line="264" w:lineRule="auto"/>
                    <w:ind w:firstLine="420" w:firstLineChars="200"/>
                    <w:jc w:val="left"/>
                    <w:rPr>
                      <w:rFonts w:hAnsi="宋体"/>
                      <w:szCs w:val="21"/>
                    </w:rPr>
                  </w:pPr>
                  <w:r>
                    <w:rPr>
                      <w:rFonts w:hint="eastAsia" w:hAnsi="宋体"/>
                      <w:szCs w:val="21"/>
                    </w:rPr>
                    <w:t>新建、扩建、改建项目，除执行前款规定外，还应当遵守下列规定：</w:t>
                  </w:r>
                </w:p>
                <w:p w14:paraId="4C2739DE">
                  <w:pPr>
                    <w:spacing w:line="264" w:lineRule="auto"/>
                    <w:jc w:val="left"/>
                    <w:rPr>
                      <w:rFonts w:hAnsi="宋体"/>
                      <w:szCs w:val="21"/>
                    </w:rPr>
                  </w:pPr>
                  <w:r>
                    <w:rPr>
                      <w:rFonts w:hint="eastAsia" w:hAnsi="宋体"/>
                      <w:szCs w:val="21"/>
                    </w:rPr>
                    <w:t>（一）新建项目的选址应符合城市总体规划，避开饮用水水源地和对环境有特殊要求的功能区；</w:t>
                  </w:r>
                </w:p>
                <w:p w14:paraId="2D2F49D0">
                  <w:pPr>
                    <w:spacing w:line="264" w:lineRule="auto"/>
                    <w:jc w:val="left"/>
                    <w:rPr>
                      <w:rFonts w:hAnsi="宋体"/>
                      <w:szCs w:val="21"/>
                    </w:rPr>
                  </w:pPr>
                  <w:r>
                    <w:rPr>
                      <w:rFonts w:hint="eastAsia" w:hAnsi="宋体"/>
                      <w:szCs w:val="21"/>
                    </w:rPr>
                    <w:t>（二）采用资源利用率高、污染物排放量少的先进设备和先进工艺；</w:t>
                  </w:r>
                </w:p>
                <w:p w14:paraId="467D99AE">
                  <w:pPr>
                    <w:spacing w:line="264" w:lineRule="auto"/>
                    <w:jc w:val="left"/>
                    <w:rPr>
                      <w:rFonts w:hAnsi="宋体"/>
                      <w:szCs w:val="21"/>
                    </w:rPr>
                  </w:pPr>
                  <w:r>
                    <w:rPr>
                      <w:rFonts w:hint="eastAsia" w:hAnsi="宋体"/>
                      <w:szCs w:val="21"/>
                    </w:rPr>
                    <w:t>（三）改建、扩建项目和技改项目应当把水污染治理纳入项目内容。</w:t>
                  </w:r>
                </w:p>
                <w:p w14:paraId="5911956A">
                  <w:pPr>
                    <w:spacing w:line="264" w:lineRule="auto"/>
                    <w:ind w:firstLine="420" w:firstLineChars="200"/>
                    <w:jc w:val="left"/>
                    <w:rPr>
                      <w:rFonts w:hAnsi="宋体"/>
                      <w:szCs w:val="21"/>
                    </w:rPr>
                  </w:pPr>
                  <w:r>
                    <w:rPr>
                      <w:rFonts w:hint="eastAsia" w:hAnsi="宋体"/>
                      <w:szCs w:val="21"/>
                    </w:rPr>
                    <w:t>工程配套建设的水污染防治设施竣工后，建设单位应当按照国务院生态环境行政主管部门规定的标准和程序进行验收。验收合格后，方可投入使用；未经验收或者验收不合格的，不得投入生产或者使用。</w:t>
                  </w:r>
                </w:p>
              </w:tc>
              <w:tc>
                <w:tcPr>
                  <w:tcW w:w="1849" w:type="pct"/>
                  <w:vAlign w:val="center"/>
                </w:tcPr>
                <w:p w14:paraId="59F49266">
                  <w:pPr>
                    <w:spacing w:line="264" w:lineRule="auto"/>
                    <w:jc w:val="center"/>
                    <w:rPr>
                      <w:rFonts w:hAnsi="宋体"/>
                      <w:szCs w:val="21"/>
                    </w:rPr>
                  </w:pPr>
                  <w:r>
                    <w:rPr>
                      <w:rFonts w:hint="eastAsia" w:hAnsi="宋体"/>
                      <w:szCs w:val="21"/>
                    </w:rPr>
                    <w:t>本项目不涉及生产废水排放。生活污水经化粪池处理后经污水管网排入毛集实验区污水处理厂处理达标排放。本项目的选址符合《安徽淮南毛集经济开发区总体规划（2016-2030年）》用地要求，不位于饮用水水源保护区及生态保护红线区内。</w:t>
                  </w:r>
                </w:p>
              </w:tc>
              <w:tc>
                <w:tcPr>
                  <w:tcW w:w="587" w:type="pct"/>
                  <w:vAlign w:val="center"/>
                </w:tcPr>
                <w:p w14:paraId="45BD9115">
                  <w:pPr>
                    <w:wordWrap w:val="0"/>
                    <w:spacing w:line="276" w:lineRule="auto"/>
                    <w:jc w:val="center"/>
                    <w:rPr>
                      <w:rFonts w:hAnsi="宋体"/>
                      <w:szCs w:val="21"/>
                    </w:rPr>
                  </w:pPr>
                  <w:r>
                    <w:rPr>
                      <w:rFonts w:hint="eastAsia" w:hAnsi="宋体"/>
                      <w:szCs w:val="21"/>
                    </w:rPr>
                    <w:t>符合</w:t>
                  </w:r>
                </w:p>
              </w:tc>
            </w:tr>
            <w:tr w14:paraId="04A81D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564" w:type="pct"/>
                  <w:vAlign w:val="center"/>
                </w:tcPr>
                <w:p w14:paraId="5D3016F4">
                  <w:pPr>
                    <w:spacing w:line="264" w:lineRule="auto"/>
                    <w:jc w:val="left"/>
                    <w:rPr>
                      <w:rFonts w:hAnsi="宋体"/>
                      <w:szCs w:val="21"/>
                    </w:rPr>
                  </w:pPr>
                  <w:r>
                    <w:rPr>
                      <w:rFonts w:hint="eastAsia" w:hAnsi="宋体"/>
                      <w:szCs w:val="21"/>
                    </w:rPr>
                    <w:t>第十六条 在淮河流域城市公共排水设施覆盖区域内，应当实行雨水、污水分流；排水户应当将雨水、污水分别排入公共雨水、污水管网及其附属设施。现有排水设施未实行雨水、污水分流的，应当编制规划，进行分流改造。</w:t>
                  </w:r>
                </w:p>
              </w:tc>
              <w:tc>
                <w:tcPr>
                  <w:tcW w:w="1849" w:type="pct"/>
                  <w:vAlign w:val="center"/>
                </w:tcPr>
                <w:p w14:paraId="42167862">
                  <w:pPr>
                    <w:jc w:val="center"/>
                    <w:rPr>
                      <w:rFonts w:hAnsi="宋体"/>
                      <w:szCs w:val="21"/>
                    </w:rPr>
                  </w:pPr>
                  <w:r>
                    <w:rPr>
                      <w:rFonts w:hint="eastAsia" w:hAnsi="宋体"/>
                      <w:szCs w:val="21"/>
                    </w:rPr>
                    <w:t>项目建设区域内实行雨污分流制度，雨水经厂区雨水管网收集，通过雨水总排口排入园区雨水管网。生产环节不消耗水，无生产废水排放。本项目生活污水依托厂区内化粪池处理后经市政污水管网排入毛集实验区污水处理厂处理，达标后排放。</w:t>
                  </w:r>
                </w:p>
              </w:tc>
              <w:tc>
                <w:tcPr>
                  <w:tcW w:w="587" w:type="pct"/>
                  <w:vAlign w:val="center"/>
                </w:tcPr>
                <w:p w14:paraId="478FA342">
                  <w:pPr>
                    <w:wordWrap w:val="0"/>
                    <w:spacing w:line="276" w:lineRule="auto"/>
                    <w:jc w:val="center"/>
                    <w:rPr>
                      <w:rFonts w:hAnsi="宋体"/>
                      <w:szCs w:val="21"/>
                    </w:rPr>
                  </w:pPr>
                  <w:r>
                    <w:rPr>
                      <w:rFonts w:hint="eastAsia" w:hAnsi="宋体"/>
                      <w:szCs w:val="21"/>
                    </w:rPr>
                    <w:t>符合</w:t>
                  </w:r>
                </w:p>
              </w:tc>
            </w:tr>
          </w:tbl>
          <w:p w14:paraId="6D7F26A1">
            <w:pPr>
              <w:pStyle w:val="108"/>
              <w:adjustRightInd/>
              <w:spacing w:line="360" w:lineRule="auto"/>
              <w:ind w:firstLine="482" w:firstLineChars="200"/>
              <w:rPr>
                <w:b/>
                <w:bCs/>
                <w:color w:val="auto"/>
              </w:rPr>
            </w:pPr>
            <w:r>
              <w:rPr>
                <w:rFonts w:hint="eastAsia"/>
                <w:b/>
                <w:bCs/>
                <w:color w:val="auto"/>
              </w:rPr>
              <w:t>3、“三线一单”符合性</w:t>
            </w:r>
          </w:p>
          <w:p w14:paraId="3C38703B">
            <w:pPr>
              <w:spacing w:line="360" w:lineRule="auto"/>
              <w:ind w:firstLine="480" w:firstLineChars="200"/>
              <w:rPr>
                <w:sz w:val="24"/>
              </w:rPr>
            </w:pPr>
            <w:r>
              <w:rPr>
                <w:rFonts w:hint="eastAsia"/>
                <w:sz w:val="24"/>
              </w:rPr>
              <w:t>（1）</w:t>
            </w:r>
            <w:r>
              <w:rPr>
                <w:rFonts w:ascii="宋体" w:hAnsi="宋体"/>
                <w:sz w:val="24"/>
              </w:rPr>
              <w:t>“</w:t>
            </w:r>
            <w:r>
              <w:rPr>
                <w:rFonts w:hint="eastAsia" w:ascii="宋体" w:hAnsi="宋体"/>
                <w:sz w:val="24"/>
              </w:rPr>
              <w:t>三线一单</w:t>
            </w:r>
            <w:r>
              <w:rPr>
                <w:rFonts w:ascii="宋体" w:hAnsi="宋体"/>
                <w:sz w:val="24"/>
              </w:rPr>
              <w:t>”</w:t>
            </w:r>
            <w:r>
              <w:rPr>
                <w:rFonts w:hint="eastAsia" w:ascii="宋体" w:hAnsi="宋体"/>
                <w:sz w:val="24"/>
              </w:rPr>
              <w:t>符合</w:t>
            </w:r>
            <w:r>
              <w:rPr>
                <w:rFonts w:hint="eastAsia"/>
                <w:sz w:val="24"/>
              </w:rPr>
              <w:t>性分析</w:t>
            </w:r>
          </w:p>
          <w:p w14:paraId="573BDF3E">
            <w:pPr>
              <w:spacing w:line="360" w:lineRule="auto"/>
              <w:ind w:firstLine="480" w:firstLineChars="200"/>
              <w:rPr>
                <w:sz w:val="24"/>
              </w:rPr>
            </w:pPr>
            <w:r>
              <w:rPr>
                <w:rFonts w:hint="eastAsia"/>
                <w:sz w:val="24"/>
              </w:rPr>
              <w:t>根据原环境保护部《关于以改善环境质量为核心加强环境影响评价管理的通知》（环环评〔2016</w:t>
            </w:r>
            <w:r>
              <w:rPr>
                <w:sz w:val="24"/>
              </w:rPr>
              <w:t>〕150</w:t>
            </w:r>
            <w:r>
              <w:rPr>
                <w:rFonts w:hint="eastAsia"/>
                <w:sz w:val="24"/>
              </w:rPr>
              <w:t>号）、安徽省人民政府《安徽省人民政府关于发布安徽省生态保护红线的通知》（皖政秘〔2018</w:t>
            </w:r>
            <w:r>
              <w:rPr>
                <w:sz w:val="24"/>
              </w:rPr>
              <w:t>〕120</w:t>
            </w:r>
            <w:r>
              <w:rPr>
                <w:rFonts w:hint="eastAsia"/>
                <w:sz w:val="24"/>
              </w:rPr>
              <w:t>号）、《</w:t>
            </w:r>
            <w:r>
              <w:rPr>
                <w:sz w:val="24"/>
              </w:rPr>
              <w:t>长江经济带战略环境评价</w:t>
            </w:r>
            <w:r>
              <w:rPr>
                <w:rFonts w:hint="eastAsia"/>
                <w:sz w:val="24"/>
              </w:rPr>
              <w:t>—淮南市“三线一单”文本》等文件要求，项目</w:t>
            </w:r>
            <w:r>
              <w:rPr>
                <w:rFonts w:ascii="宋体" w:hAnsi="宋体"/>
                <w:sz w:val="24"/>
              </w:rPr>
              <w:t>“</w:t>
            </w:r>
            <w:r>
              <w:rPr>
                <w:rFonts w:hint="eastAsia" w:ascii="宋体" w:hAnsi="宋体"/>
                <w:sz w:val="24"/>
              </w:rPr>
              <w:t>三线一单</w:t>
            </w:r>
            <w:r>
              <w:rPr>
                <w:rFonts w:ascii="宋体" w:hAnsi="宋体"/>
                <w:sz w:val="24"/>
              </w:rPr>
              <w:t>”</w:t>
            </w:r>
            <w:r>
              <w:rPr>
                <w:rFonts w:hint="eastAsia" w:ascii="宋体" w:hAnsi="宋体"/>
                <w:sz w:val="24"/>
              </w:rPr>
              <w:t>符合</w:t>
            </w:r>
            <w:r>
              <w:rPr>
                <w:rFonts w:hint="eastAsia"/>
                <w:sz w:val="24"/>
              </w:rPr>
              <w:t>性分析见下表。</w:t>
            </w:r>
          </w:p>
          <w:p w14:paraId="03B80A1D">
            <w:pPr>
              <w:autoSpaceDE w:val="0"/>
              <w:autoSpaceDN w:val="0"/>
              <w:adjustRightInd w:val="0"/>
              <w:snapToGrid w:val="0"/>
              <w:jc w:val="center"/>
              <w:rPr>
                <w:rFonts w:hAnsi="黑体" w:eastAsia="黑体"/>
                <w:sz w:val="24"/>
                <w:szCs w:val="24"/>
              </w:rPr>
            </w:pPr>
            <w:r>
              <w:rPr>
                <w:rFonts w:hint="eastAsia" w:hAnsi="黑体" w:eastAsia="黑体"/>
                <w:sz w:val="24"/>
                <w:szCs w:val="24"/>
              </w:rPr>
              <w:t>表</w:t>
            </w:r>
            <w:r>
              <w:rPr>
                <w:rFonts w:hAnsi="黑体" w:eastAsia="黑体"/>
                <w:sz w:val="24"/>
                <w:szCs w:val="24"/>
              </w:rPr>
              <w:t xml:space="preserve">8  </w:t>
            </w:r>
            <w:r>
              <w:rPr>
                <w:rFonts w:hint="eastAsia" w:hAnsi="黑体" w:eastAsia="黑体"/>
                <w:sz w:val="24"/>
                <w:szCs w:val="24"/>
              </w:rPr>
              <w:t>“三线一单”符合性分析</w:t>
            </w:r>
          </w:p>
          <w:tbl>
            <w:tblPr>
              <w:tblStyle w:val="3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3684"/>
              <w:gridCol w:w="3637"/>
            </w:tblGrid>
            <w:tr w14:paraId="21052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tcPr>
                <w:p w14:paraId="453E9F88">
                  <w:pPr>
                    <w:spacing w:line="276" w:lineRule="auto"/>
                    <w:jc w:val="center"/>
                    <w:rPr>
                      <w:b/>
                      <w:szCs w:val="21"/>
                    </w:rPr>
                  </w:pPr>
                  <w:r>
                    <w:rPr>
                      <w:rFonts w:hAnsi="宋体"/>
                      <w:b/>
                      <w:szCs w:val="21"/>
                    </w:rPr>
                    <w:t>内容</w:t>
                  </w:r>
                </w:p>
              </w:tc>
              <w:tc>
                <w:tcPr>
                  <w:tcW w:w="2288" w:type="pct"/>
                  <w:vAlign w:val="center"/>
                </w:tcPr>
                <w:p w14:paraId="1930D7B6">
                  <w:pPr>
                    <w:spacing w:line="276" w:lineRule="auto"/>
                    <w:jc w:val="center"/>
                    <w:rPr>
                      <w:b/>
                      <w:szCs w:val="21"/>
                    </w:rPr>
                  </w:pPr>
                  <w:r>
                    <w:rPr>
                      <w:rFonts w:hAnsi="宋体"/>
                      <w:b/>
                      <w:szCs w:val="21"/>
                    </w:rPr>
                    <w:t>环环评〔</w:t>
                  </w:r>
                  <w:r>
                    <w:rPr>
                      <w:b/>
                      <w:szCs w:val="21"/>
                    </w:rPr>
                    <w:t>2016</w:t>
                  </w:r>
                  <w:r>
                    <w:rPr>
                      <w:rFonts w:hAnsi="宋体"/>
                      <w:b/>
                      <w:szCs w:val="21"/>
                    </w:rPr>
                    <w:t>〕</w:t>
                  </w:r>
                  <w:r>
                    <w:rPr>
                      <w:b/>
                      <w:szCs w:val="21"/>
                    </w:rPr>
                    <w:t>150</w:t>
                  </w:r>
                  <w:r>
                    <w:rPr>
                      <w:rFonts w:hAnsi="宋体"/>
                      <w:b/>
                      <w:szCs w:val="21"/>
                    </w:rPr>
                    <w:t>号、皖政秘〔</w:t>
                  </w:r>
                  <w:r>
                    <w:rPr>
                      <w:b/>
                      <w:szCs w:val="21"/>
                    </w:rPr>
                    <w:t>2018</w:t>
                  </w:r>
                  <w:r>
                    <w:rPr>
                      <w:rFonts w:hAnsi="宋体"/>
                      <w:b/>
                      <w:szCs w:val="21"/>
                    </w:rPr>
                    <w:t>〕</w:t>
                  </w:r>
                  <w:r>
                    <w:rPr>
                      <w:b/>
                      <w:szCs w:val="21"/>
                    </w:rPr>
                    <w:t>120</w:t>
                  </w:r>
                  <w:r>
                    <w:rPr>
                      <w:rFonts w:hAnsi="宋体"/>
                      <w:b/>
                      <w:szCs w:val="21"/>
                    </w:rPr>
                    <w:t>号相关要求</w:t>
                  </w:r>
                </w:p>
              </w:tc>
              <w:tc>
                <w:tcPr>
                  <w:tcW w:w="2259" w:type="pct"/>
                  <w:vAlign w:val="center"/>
                </w:tcPr>
                <w:p w14:paraId="74924FCC">
                  <w:pPr>
                    <w:spacing w:line="276" w:lineRule="auto"/>
                    <w:jc w:val="center"/>
                    <w:rPr>
                      <w:b/>
                      <w:szCs w:val="21"/>
                    </w:rPr>
                  </w:pPr>
                  <w:r>
                    <w:rPr>
                      <w:rFonts w:hAnsi="宋体"/>
                      <w:b/>
                      <w:szCs w:val="21"/>
                    </w:rPr>
                    <w:t>项目符合性分析</w:t>
                  </w:r>
                </w:p>
              </w:tc>
            </w:tr>
            <w:tr w14:paraId="43879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3DC4C2D3">
                  <w:pPr>
                    <w:spacing w:line="276" w:lineRule="auto"/>
                    <w:jc w:val="center"/>
                    <w:rPr>
                      <w:szCs w:val="21"/>
                      <w:lang w:val="zh-CN"/>
                    </w:rPr>
                  </w:pPr>
                  <w:r>
                    <w:rPr>
                      <w:rFonts w:hAnsi="宋体"/>
                      <w:szCs w:val="21"/>
                      <w:lang w:val="zh-CN"/>
                    </w:rPr>
                    <w:t>生态保护红线</w:t>
                  </w:r>
                </w:p>
              </w:tc>
              <w:tc>
                <w:tcPr>
                  <w:tcW w:w="2288" w:type="pct"/>
                  <w:vAlign w:val="center"/>
                </w:tcPr>
                <w:p w14:paraId="2A9AE50E">
                  <w:pPr>
                    <w:spacing w:line="276" w:lineRule="auto"/>
                    <w:jc w:val="center"/>
                    <w:rPr>
                      <w:szCs w:val="21"/>
                    </w:rPr>
                  </w:pPr>
                  <w:r>
                    <w:rPr>
                      <w:rFonts w:hAnsi="宋体"/>
                      <w:szCs w:val="21"/>
                      <w:lang w:val="zh-CN"/>
                    </w:rPr>
                    <w:t>生态保护红线是生态空间范围内具有特殊重要生态功能必须实行强制性严格保护的区域。相关规划环评应将生态空间管控作为重要内容，规划区域设计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259" w:type="pct"/>
                  <w:vAlign w:val="center"/>
                </w:tcPr>
                <w:p w14:paraId="73D8A712">
                  <w:pPr>
                    <w:widowControl/>
                    <w:spacing w:line="276" w:lineRule="auto"/>
                    <w:jc w:val="center"/>
                    <w:rPr>
                      <w:kern w:val="0"/>
                      <w:szCs w:val="21"/>
                    </w:rPr>
                  </w:pPr>
                  <w:r>
                    <w:rPr>
                      <w:rFonts w:hAnsi="宋体"/>
                      <w:szCs w:val="21"/>
                    </w:rPr>
                    <w:t>本项目位于安徽省淮南市毛集经济开发区工业城</w:t>
                  </w:r>
                  <w:r>
                    <w:rPr>
                      <w:szCs w:val="21"/>
                    </w:rPr>
                    <w:t>2</w:t>
                  </w:r>
                  <w:r>
                    <w:rPr>
                      <w:rFonts w:hAnsi="宋体"/>
                      <w:szCs w:val="21"/>
                    </w:rPr>
                    <w:t>号楼</w:t>
                  </w:r>
                  <w:r>
                    <w:rPr>
                      <w:rFonts w:hint="eastAsia" w:hAnsi="宋体"/>
                      <w:szCs w:val="21"/>
                    </w:rPr>
                    <w:t>1层和</w:t>
                  </w:r>
                  <w:r>
                    <w:rPr>
                      <w:szCs w:val="21"/>
                    </w:rPr>
                    <w:t>3</w:t>
                  </w:r>
                  <w:r>
                    <w:rPr>
                      <w:rFonts w:hAnsi="宋体"/>
                      <w:szCs w:val="21"/>
                    </w:rPr>
                    <w:t>层，根据淮南市</w:t>
                  </w:r>
                  <w:r>
                    <w:rPr>
                      <w:rFonts w:ascii="宋体" w:hAnsi="宋体"/>
                      <w:szCs w:val="21"/>
                    </w:rPr>
                    <w:t>“三线一单”</w:t>
                  </w:r>
                  <w:r>
                    <w:rPr>
                      <w:rFonts w:hAnsi="宋体"/>
                      <w:szCs w:val="21"/>
                    </w:rPr>
                    <w:t>成果文件中生态保护红线管控要求，项目不位于生态保护红线内的</w:t>
                  </w:r>
                  <w:r>
                    <w:rPr>
                      <w:rFonts w:hAnsi="宋体"/>
                      <w:szCs w:val="21"/>
                      <w:lang w:bidi="en-US"/>
                    </w:rPr>
                    <w:t>风景名胜区、森林公园、地质公园、湿地公园、饮用水水源保护区、生态公益林等各类保护地</w:t>
                  </w:r>
                  <w:r>
                    <w:rPr>
                      <w:rFonts w:hAnsi="宋体"/>
                      <w:szCs w:val="21"/>
                    </w:rPr>
                    <w:t>，不属于生态保护红线管控的区域，符合生态保护红线要求，项目区域生态红线图见附图</w:t>
                  </w:r>
                  <w:r>
                    <w:rPr>
                      <w:szCs w:val="21"/>
                    </w:rPr>
                    <w:t>3。</w:t>
                  </w:r>
                </w:p>
              </w:tc>
            </w:tr>
            <w:tr w14:paraId="6FE6FF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2F282B3C">
                  <w:pPr>
                    <w:spacing w:line="276" w:lineRule="auto"/>
                    <w:jc w:val="center"/>
                    <w:rPr>
                      <w:szCs w:val="21"/>
                      <w:lang w:val="zh-CN"/>
                    </w:rPr>
                  </w:pPr>
                  <w:r>
                    <w:rPr>
                      <w:rFonts w:hAnsi="宋体"/>
                      <w:szCs w:val="21"/>
                      <w:lang w:val="zh-CN"/>
                    </w:rPr>
                    <w:t>环境质量底线</w:t>
                  </w:r>
                </w:p>
              </w:tc>
              <w:tc>
                <w:tcPr>
                  <w:tcW w:w="2288" w:type="pct"/>
                  <w:vAlign w:val="center"/>
                </w:tcPr>
                <w:p w14:paraId="241527B2">
                  <w:pPr>
                    <w:spacing w:line="276" w:lineRule="auto"/>
                    <w:jc w:val="center"/>
                    <w:rPr>
                      <w:szCs w:val="21"/>
                    </w:rPr>
                  </w:pPr>
                  <w:r>
                    <w:rPr>
                      <w:rFonts w:hAnsi="宋体"/>
                      <w:szCs w:val="21"/>
                      <w:lang w:val="zh-CN"/>
                    </w:rPr>
                    <w:t>环境质量底线是国家和地方设置的大气、水和土壤环境质量目标，也是改善环境质量的基准线。有关规划环评应落实区域环境质量目标管理要求，提出区域或者行业污染物排放总量管控建议以及优化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259" w:type="pct"/>
                  <w:vAlign w:val="center"/>
                </w:tcPr>
                <w:p w14:paraId="2185F6BE">
                  <w:pPr>
                    <w:pStyle w:val="178"/>
                    <w:adjustRightInd/>
                    <w:spacing w:line="276" w:lineRule="auto"/>
                    <w:ind w:left="0" w:right="0" w:firstLine="0"/>
                    <w:jc w:val="center"/>
                    <w:rPr>
                      <w:sz w:val="21"/>
                      <w:szCs w:val="21"/>
                    </w:rPr>
                  </w:pPr>
                  <w:r>
                    <w:rPr>
                      <w:rFonts w:hAnsi="宋体"/>
                      <w:sz w:val="21"/>
                      <w:szCs w:val="21"/>
                    </w:rPr>
                    <w:t>①根据淮南市生态环境局发布的《</w:t>
                  </w:r>
                  <w:r>
                    <w:rPr>
                      <w:sz w:val="21"/>
                      <w:szCs w:val="21"/>
                    </w:rPr>
                    <w:t>202</w:t>
                  </w:r>
                  <w:r>
                    <w:rPr>
                      <w:rFonts w:hint="eastAsia"/>
                      <w:sz w:val="21"/>
                      <w:szCs w:val="21"/>
                    </w:rPr>
                    <w:t>2</w:t>
                  </w:r>
                  <w:r>
                    <w:rPr>
                      <w:rFonts w:hAnsi="宋体"/>
                      <w:sz w:val="21"/>
                      <w:szCs w:val="21"/>
                    </w:rPr>
                    <w:t>年淮南市环境质量状况公报》可知：项目所在区</w:t>
                  </w:r>
                  <w:r>
                    <w:rPr>
                      <w:sz w:val="21"/>
                      <w:szCs w:val="21"/>
                    </w:rPr>
                    <w:t>SO</w:t>
                  </w:r>
                  <w:r>
                    <w:rPr>
                      <w:sz w:val="21"/>
                      <w:szCs w:val="21"/>
                      <w:vertAlign w:val="subscript"/>
                    </w:rPr>
                    <w:t>2</w:t>
                  </w:r>
                  <w:r>
                    <w:rPr>
                      <w:rFonts w:hAnsi="宋体"/>
                      <w:sz w:val="21"/>
                      <w:szCs w:val="21"/>
                    </w:rPr>
                    <w:t>、</w:t>
                  </w:r>
                  <w:r>
                    <w:rPr>
                      <w:sz w:val="21"/>
                      <w:szCs w:val="21"/>
                    </w:rPr>
                    <w:t>NO</w:t>
                  </w:r>
                  <w:r>
                    <w:rPr>
                      <w:sz w:val="21"/>
                      <w:szCs w:val="21"/>
                      <w:vertAlign w:val="subscript"/>
                    </w:rPr>
                    <w:t>2</w:t>
                  </w:r>
                  <w:r>
                    <w:rPr>
                      <w:rFonts w:hAnsi="宋体"/>
                      <w:sz w:val="21"/>
                      <w:szCs w:val="21"/>
                    </w:rPr>
                    <w:t>、</w:t>
                  </w:r>
                  <w:r>
                    <w:rPr>
                      <w:sz w:val="21"/>
                      <w:szCs w:val="21"/>
                    </w:rPr>
                    <w:t>CO</w:t>
                  </w:r>
                  <w:r>
                    <w:rPr>
                      <w:rFonts w:hAnsi="宋体"/>
                      <w:sz w:val="21"/>
                      <w:szCs w:val="21"/>
                    </w:rPr>
                    <w:t>、</w:t>
                  </w:r>
                  <w:r>
                    <w:rPr>
                      <w:sz w:val="21"/>
                      <w:szCs w:val="21"/>
                    </w:rPr>
                    <w:t>PM</w:t>
                  </w:r>
                  <w:r>
                    <w:rPr>
                      <w:sz w:val="21"/>
                      <w:szCs w:val="21"/>
                      <w:vertAlign w:val="subscript"/>
                    </w:rPr>
                    <w:t>10</w:t>
                  </w:r>
                  <w:r>
                    <w:rPr>
                      <w:rFonts w:hAnsi="宋体"/>
                      <w:sz w:val="21"/>
                      <w:szCs w:val="21"/>
                    </w:rPr>
                    <w:t>、</w:t>
                  </w:r>
                  <w:r>
                    <w:rPr>
                      <w:bCs/>
                      <w:sz w:val="21"/>
                      <w:szCs w:val="21"/>
                    </w:rPr>
                    <w:t>O</w:t>
                  </w:r>
                  <w:r>
                    <w:rPr>
                      <w:bCs/>
                      <w:sz w:val="21"/>
                      <w:szCs w:val="21"/>
                      <w:vertAlign w:val="subscript"/>
                    </w:rPr>
                    <w:t>3</w:t>
                  </w:r>
                  <w:r>
                    <w:rPr>
                      <w:rFonts w:hAnsi="宋体"/>
                      <w:sz w:val="21"/>
                      <w:szCs w:val="21"/>
                    </w:rPr>
                    <w:t>均符合《环境空气质量标准》（</w:t>
                  </w:r>
                  <w:r>
                    <w:rPr>
                      <w:sz w:val="21"/>
                      <w:szCs w:val="21"/>
                    </w:rPr>
                    <w:t>GB3095-2012</w:t>
                  </w:r>
                  <w:r>
                    <w:rPr>
                      <w:rFonts w:hAnsi="宋体"/>
                      <w:sz w:val="21"/>
                      <w:szCs w:val="21"/>
                    </w:rPr>
                    <w:t>）中二级标准限值；</w:t>
                  </w:r>
                  <w:r>
                    <w:rPr>
                      <w:sz w:val="21"/>
                      <w:szCs w:val="21"/>
                    </w:rPr>
                    <w:t>PM</w:t>
                  </w:r>
                  <w:r>
                    <w:rPr>
                      <w:sz w:val="21"/>
                      <w:szCs w:val="21"/>
                      <w:vertAlign w:val="subscript"/>
                    </w:rPr>
                    <w:t>2.5</w:t>
                  </w:r>
                  <w:r>
                    <w:rPr>
                      <w:rFonts w:hAnsi="宋体"/>
                      <w:sz w:val="21"/>
                      <w:szCs w:val="21"/>
                    </w:rPr>
                    <w:t>年均浓度值均不满足《环境空气质量标准》（</w:t>
                  </w:r>
                  <w:r>
                    <w:rPr>
                      <w:sz w:val="21"/>
                      <w:szCs w:val="21"/>
                    </w:rPr>
                    <w:t>GB3095-2012</w:t>
                  </w:r>
                  <w:r>
                    <w:rPr>
                      <w:rFonts w:hAnsi="宋体"/>
                      <w:sz w:val="21"/>
                      <w:szCs w:val="21"/>
                    </w:rPr>
                    <w:t>）中二级标准限值，项目位于环境空气质量不达标区</w:t>
                  </w:r>
                  <w:r>
                    <w:rPr>
                      <w:rFonts w:hAnsi="宋体"/>
                      <w:kern w:val="2"/>
                      <w:sz w:val="21"/>
                      <w:szCs w:val="21"/>
                      <w:lang w:val="zh-CN"/>
                    </w:rPr>
                    <w:t>。</w:t>
                  </w:r>
                </w:p>
                <w:p w14:paraId="7DA613BF">
                  <w:pPr>
                    <w:pStyle w:val="178"/>
                    <w:adjustRightInd/>
                    <w:spacing w:line="276" w:lineRule="auto"/>
                    <w:ind w:left="0" w:right="0" w:firstLine="0"/>
                    <w:jc w:val="center"/>
                    <w:rPr>
                      <w:sz w:val="21"/>
                      <w:szCs w:val="21"/>
                    </w:rPr>
                  </w:pPr>
                  <w:r>
                    <w:rPr>
                      <w:rFonts w:hAnsi="宋体"/>
                      <w:sz w:val="21"/>
                      <w:szCs w:val="21"/>
                    </w:rPr>
                    <w:t>②根据</w:t>
                  </w:r>
                  <w:r>
                    <w:rPr>
                      <w:sz w:val="21"/>
                      <w:szCs w:val="21"/>
                    </w:rPr>
                    <w:t>2023</w:t>
                  </w:r>
                  <w:r>
                    <w:rPr>
                      <w:rFonts w:hAnsi="宋体"/>
                      <w:sz w:val="21"/>
                      <w:szCs w:val="21"/>
                    </w:rPr>
                    <w:t>年</w:t>
                  </w:r>
                  <w:r>
                    <w:rPr>
                      <w:rFonts w:hint="eastAsia"/>
                      <w:sz w:val="21"/>
                      <w:szCs w:val="21"/>
                    </w:rPr>
                    <w:t>8</w:t>
                  </w:r>
                  <w:r>
                    <w:rPr>
                      <w:rFonts w:hAnsi="宋体"/>
                      <w:sz w:val="21"/>
                      <w:szCs w:val="21"/>
                    </w:rPr>
                    <w:t>月、</w:t>
                  </w:r>
                  <w:r>
                    <w:rPr>
                      <w:rFonts w:hint="eastAsia"/>
                      <w:sz w:val="21"/>
                      <w:szCs w:val="21"/>
                    </w:rPr>
                    <w:t>9</w:t>
                  </w:r>
                  <w:r>
                    <w:rPr>
                      <w:rFonts w:hAnsi="宋体"/>
                      <w:sz w:val="21"/>
                      <w:szCs w:val="21"/>
                    </w:rPr>
                    <w:t>月淮南市生态环境监测站统计数据，丁家沟河口断面</w:t>
                  </w:r>
                  <w:r>
                    <w:rPr>
                      <w:rFonts w:hint="eastAsia" w:hAnsi="宋体"/>
                      <w:sz w:val="21"/>
                      <w:szCs w:val="21"/>
                    </w:rPr>
                    <w:t>8月份</w:t>
                  </w:r>
                  <w:r>
                    <w:rPr>
                      <w:rFonts w:hAnsi="宋体"/>
                      <w:sz w:val="21"/>
                      <w:szCs w:val="21"/>
                    </w:rPr>
                    <w:t>水质均值达到</w:t>
                  </w:r>
                  <w:r>
                    <w:rPr>
                      <w:sz w:val="21"/>
                      <w:szCs w:val="21"/>
                    </w:rPr>
                    <w:t>Ⅲ</w:t>
                  </w:r>
                  <w:r>
                    <w:rPr>
                      <w:rFonts w:hAnsi="宋体"/>
                      <w:sz w:val="21"/>
                      <w:szCs w:val="21"/>
                    </w:rPr>
                    <w:t>类，</w:t>
                  </w:r>
                  <w:r>
                    <w:rPr>
                      <w:rFonts w:hint="eastAsia" w:hAnsi="宋体"/>
                      <w:sz w:val="21"/>
                      <w:szCs w:val="21"/>
                    </w:rPr>
                    <w:t>9月份达到</w:t>
                  </w:r>
                  <w:r>
                    <w:rPr>
                      <w:sz w:val="21"/>
                      <w:szCs w:val="21"/>
                    </w:rPr>
                    <w:t>Ⅳ类</w:t>
                  </w:r>
                  <w:r>
                    <w:rPr>
                      <w:rFonts w:hint="eastAsia" w:hAnsi="宋体"/>
                      <w:sz w:val="21"/>
                      <w:szCs w:val="21"/>
                    </w:rPr>
                    <w:t>，</w:t>
                  </w:r>
                  <w:r>
                    <w:rPr>
                      <w:rFonts w:hAnsi="宋体"/>
                      <w:sz w:val="21"/>
                      <w:szCs w:val="21"/>
                    </w:rPr>
                    <w:t>项目所在区域地表水水质满足《地表水环境质量标准》（</w:t>
                  </w:r>
                  <w:r>
                    <w:rPr>
                      <w:sz w:val="21"/>
                      <w:szCs w:val="21"/>
                    </w:rPr>
                    <w:t>GB3838-2002</w:t>
                  </w:r>
                  <w:r>
                    <w:rPr>
                      <w:rFonts w:hAnsi="宋体"/>
                      <w:sz w:val="21"/>
                      <w:szCs w:val="21"/>
                    </w:rPr>
                    <w:t>）中</w:t>
                  </w:r>
                  <w:r>
                    <w:rPr>
                      <w:sz w:val="21"/>
                      <w:szCs w:val="21"/>
                    </w:rPr>
                    <w:t>Ⅲ</w:t>
                  </w:r>
                  <w:r>
                    <w:rPr>
                      <w:rFonts w:hint="eastAsia"/>
                      <w:sz w:val="21"/>
                      <w:szCs w:val="21"/>
                    </w:rPr>
                    <w:t>、</w:t>
                  </w:r>
                  <w:r>
                    <w:rPr>
                      <w:sz w:val="21"/>
                      <w:szCs w:val="21"/>
                    </w:rPr>
                    <w:t>Ⅳ</w:t>
                  </w:r>
                  <w:r>
                    <w:rPr>
                      <w:rFonts w:hAnsi="宋体"/>
                      <w:sz w:val="21"/>
                      <w:szCs w:val="21"/>
                    </w:rPr>
                    <w:t>类标准要求。本项目无生产废水，生活污水经化粪池处理后接入市政污水管网，纳入毛集实验区污水处理厂处理，处理达标后排放入丁家沟，不会降低地表水环境现状。</w:t>
                  </w:r>
                </w:p>
                <w:p w14:paraId="554FAE7E">
                  <w:pPr>
                    <w:pStyle w:val="178"/>
                    <w:adjustRightInd/>
                    <w:spacing w:line="276" w:lineRule="auto"/>
                    <w:ind w:left="0" w:right="0" w:firstLine="0"/>
                    <w:jc w:val="center"/>
                    <w:rPr>
                      <w:sz w:val="21"/>
                      <w:szCs w:val="21"/>
                    </w:rPr>
                  </w:pPr>
                  <w:r>
                    <w:rPr>
                      <w:rFonts w:hAnsi="宋体"/>
                      <w:spacing w:val="-8"/>
                      <w:sz w:val="21"/>
                      <w:szCs w:val="21"/>
                      <w:lang w:val="zh-CN"/>
                    </w:rPr>
                    <w:t>本项目废气可得到合理处置，噪声对周边影响较小，不会突破项目所在地的环境质量底线。因此项目的建设符合环境质量底线标准。</w:t>
                  </w:r>
                </w:p>
              </w:tc>
            </w:tr>
            <w:tr w14:paraId="4F125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56E5651A">
                  <w:pPr>
                    <w:spacing w:line="276" w:lineRule="auto"/>
                    <w:jc w:val="center"/>
                    <w:rPr>
                      <w:szCs w:val="21"/>
                    </w:rPr>
                  </w:pPr>
                  <w:r>
                    <w:rPr>
                      <w:rFonts w:hAnsi="宋体"/>
                      <w:szCs w:val="21"/>
                    </w:rPr>
                    <w:t>资源利用上线</w:t>
                  </w:r>
                </w:p>
              </w:tc>
              <w:tc>
                <w:tcPr>
                  <w:tcW w:w="2288" w:type="pct"/>
                  <w:vAlign w:val="center"/>
                </w:tcPr>
                <w:p w14:paraId="2195A93D">
                  <w:pPr>
                    <w:spacing w:line="276" w:lineRule="auto"/>
                    <w:jc w:val="center"/>
                    <w:rPr>
                      <w:szCs w:val="21"/>
                    </w:rPr>
                  </w:pPr>
                  <w:r>
                    <w:rPr>
                      <w:rFonts w:hAnsi="宋体"/>
                      <w:szCs w:val="21"/>
                    </w:rPr>
                    <w:t>资源是环境的载体，资源利用上限是各地区能源、水、土地等资源消耗不得突破的</w:t>
                  </w:r>
                  <w:r>
                    <w:rPr>
                      <w:rFonts w:ascii="宋体" w:hAnsi="宋体"/>
                      <w:szCs w:val="21"/>
                    </w:rPr>
                    <w:t>“天花板”</w:t>
                  </w:r>
                  <w:r>
                    <w:rPr>
                      <w:rFonts w:hAnsi="宋体"/>
                      <w:szCs w:val="21"/>
                    </w:rPr>
                    <w:t>。相关规划环评应依据有关资源利用上限，对规划实施以及规划内项目的资源开发利用，区分不同行业，从能源资源开发等量或减量替代、开采方式和规模控制、利用效率和保护措施等方面提出建议，为规划编制和审批决策提供重要依据。</w:t>
                  </w:r>
                </w:p>
              </w:tc>
              <w:tc>
                <w:tcPr>
                  <w:tcW w:w="2259" w:type="pct"/>
                  <w:vAlign w:val="center"/>
                </w:tcPr>
                <w:p w14:paraId="1A5703C4">
                  <w:pPr>
                    <w:spacing w:line="276" w:lineRule="auto"/>
                    <w:jc w:val="center"/>
                    <w:rPr>
                      <w:szCs w:val="21"/>
                    </w:rPr>
                  </w:pPr>
                  <w:r>
                    <w:rPr>
                      <w:rFonts w:hAnsi="宋体"/>
                      <w:szCs w:val="21"/>
                    </w:rPr>
                    <w:t>项目生产运营过程资源主要采用电能、水、液化天然气，不使用高能耗能源。项目消耗量相对区域资源利用总量不显著。本项目租赁安徽焦岗湖产业发展有限公司内标准化厂房</w:t>
                  </w:r>
                  <w:r>
                    <w:rPr>
                      <w:rFonts w:hint="eastAsia" w:hAnsi="宋体"/>
                      <w:szCs w:val="21"/>
                    </w:rPr>
                    <w:t>2号楼1层和</w:t>
                  </w:r>
                  <w:r>
                    <w:rPr>
                      <w:szCs w:val="21"/>
                    </w:rPr>
                    <w:t>3</w:t>
                  </w:r>
                  <w:r>
                    <w:rPr>
                      <w:rFonts w:hAnsi="宋体"/>
                      <w:szCs w:val="21"/>
                    </w:rPr>
                    <w:t>层，不新增工业用地。因此，拟建项目建设不会突破资源利用上线。</w:t>
                  </w:r>
                </w:p>
              </w:tc>
            </w:tr>
            <w:tr w14:paraId="5AB34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14:paraId="543BEB84">
                  <w:pPr>
                    <w:spacing w:line="276" w:lineRule="auto"/>
                    <w:jc w:val="center"/>
                    <w:rPr>
                      <w:szCs w:val="21"/>
                      <w:lang w:val="zh-CN"/>
                    </w:rPr>
                  </w:pPr>
                  <w:r>
                    <w:rPr>
                      <w:rFonts w:hAnsi="宋体"/>
                      <w:szCs w:val="21"/>
                      <w:lang w:val="zh-CN"/>
                    </w:rPr>
                    <w:t>生态环境准入负面清单</w:t>
                  </w:r>
                </w:p>
              </w:tc>
              <w:tc>
                <w:tcPr>
                  <w:tcW w:w="2288" w:type="pct"/>
                  <w:vAlign w:val="center"/>
                </w:tcPr>
                <w:p w14:paraId="4A00575A">
                  <w:pPr>
                    <w:spacing w:line="276" w:lineRule="auto"/>
                    <w:jc w:val="center"/>
                    <w:rPr>
                      <w:szCs w:val="21"/>
                      <w:lang w:val="zh-CN"/>
                    </w:rPr>
                  </w:pPr>
                  <w:r>
                    <w:rPr>
                      <w:rFonts w:hAnsi="宋体"/>
                      <w:szCs w:val="21"/>
                      <w:lang w:val="zh-CN"/>
                    </w:rPr>
                    <w:t>环境准入负面清单是基于生态保护红线、环境质量底线、资源利用上限，以清单方式列出的精致、限值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259" w:type="pct"/>
                  <w:vAlign w:val="center"/>
                </w:tcPr>
                <w:p w14:paraId="60FD8B04">
                  <w:pPr>
                    <w:spacing w:line="276" w:lineRule="auto"/>
                    <w:jc w:val="center"/>
                    <w:rPr>
                      <w:szCs w:val="21"/>
                    </w:rPr>
                  </w:pPr>
                  <w:r>
                    <w:rPr>
                      <w:rFonts w:hAnsi="宋体"/>
                      <w:szCs w:val="21"/>
                    </w:rPr>
                    <w:t>本项目为玩具制造行业，根据《安徽淮南毛集经济开发区总体规划（</w:t>
                  </w:r>
                  <w:r>
                    <w:rPr>
                      <w:szCs w:val="21"/>
                    </w:rPr>
                    <w:t>2016-2030</w:t>
                  </w:r>
                  <w:r>
                    <w:rPr>
                      <w:rFonts w:hAnsi="宋体"/>
                      <w:szCs w:val="21"/>
                    </w:rPr>
                    <w:t>年）》及《安徽淮南毛集经济开发区环境影响区域评估报告》，项目不在园区负面清单范围内；同时根据《产业结构调整指导目录（</w:t>
                  </w:r>
                  <w:r>
                    <w:rPr>
                      <w:szCs w:val="21"/>
                    </w:rPr>
                    <w:t>2019</w:t>
                  </w:r>
                  <w:r>
                    <w:rPr>
                      <w:rFonts w:hAnsi="宋体"/>
                      <w:szCs w:val="21"/>
                    </w:rPr>
                    <w:t>年本）》（</w:t>
                  </w:r>
                  <w:r>
                    <w:rPr>
                      <w:szCs w:val="21"/>
                    </w:rPr>
                    <w:t>2021</w:t>
                  </w:r>
                  <w:r>
                    <w:rPr>
                      <w:rFonts w:hAnsi="宋体"/>
                      <w:szCs w:val="21"/>
                    </w:rPr>
                    <w:t>修订版），本项目不属于其中限制类和淘汰类，视为允许建设类，并已取得项目建设备案文件。因此，该项目符合国家、地方产业政策。</w:t>
                  </w:r>
                </w:p>
              </w:tc>
            </w:tr>
          </w:tbl>
          <w:p w14:paraId="08467D1C">
            <w:pPr>
              <w:pStyle w:val="108"/>
              <w:adjustRightInd/>
              <w:spacing w:line="360" w:lineRule="auto"/>
              <w:ind w:firstLine="480" w:firstLineChars="200"/>
              <w:rPr>
                <w:color w:val="auto"/>
              </w:rPr>
            </w:pPr>
            <w:r>
              <w:rPr>
                <w:color w:val="auto"/>
              </w:rPr>
              <w:t>（</w:t>
            </w:r>
            <w:r>
              <w:rPr>
                <w:rFonts w:hint="eastAsia"/>
                <w:color w:val="auto"/>
              </w:rPr>
              <w:t>2</w:t>
            </w:r>
            <w:r>
              <w:rPr>
                <w:color w:val="auto"/>
              </w:rPr>
              <w:t>）分区管控要求</w:t>
            </w:r>
          </w:p>
          <w:p w14:paraId="34EA3B8D">
            <w:pPr>
              <w:pStyle w:val="108"/>
              <w:adjustRightInd/>
              <w:spacing w:line="360" w:lineRule="auto"/>
              <w:ind w:firstLine="480" w:firstLineChars="200"/>
              <w:rPr>
                <w:color w:val="auto"/>
              </w:rPr>
            </w:pPr>
            <w:r>
              <w:rPr>
                <w:rFonts w:hAnsi="宋体"/>
                <w:color w:val="auto"/>
              </w:rPr>
              <w:t>①大气环境分区管控</w:t>
            </w:r>
          </w:p>
          <w:p w14:paraId="6B344915">
            <w:pPr>
              <w:pStyle w:val="108"/>
              <w:adjustRightInd/>
              <w:spacing w:line="360" w:lineRule="auto"/>
              <w:ind w:firstLine="480" w:firstLineChars="200"/>
              <w:rPr>
                <w:color w:val="auto"/>
              </w:rPr>
            </w:pPr>
            <w:r>
              <w:rPr>
                <w:rFonts w:hint="eastAsia"/>
                <w:color w:val="auto"/>
              </w:rPr>
              <w:t>根据《</w:t>
            </w:r>
            <w:r>
              <w:rPr>
                <w:color w:val="auto"/>
              </w:rPr>
              <w:t>长江经济带战略环境评价</w:t>
            </w:r>
            <w:r>
              <w:rPr>
                <w:rFonts w:hint="eastAsia"/>
                <w:color w:val="auto"/>
              </w:rPr>
              <w:t>—淮南市“三线一单”研究报告》及成果图集，本项目所在区域属于大气环境受体敏感重点管控区（详见附图4）。</w:t>
            </w:r>
          </w:p>
          <w:p w14:paraId="31376E40">
            <w:pPr>
              <w:pStyle w:val="108"/>
              <w:adjustRightInd/>
              <w:spacing w:line="360" w:lineRule="auto"/>
              <w:ind w:firstLine="480" w:firstLineChars="200"/>
              <w:jc w:val="center"/>
              <w:rPr>
                <w:rFonts w:eastAsia="黑体"/>
                <w:color w:val="auto"/>
              </w:rPr>
            </w:pPr>
            <w:r>
              <w:rPr>
                <w:rFonts w:hAnsi="黑体" w:eastAsia="黑体"/>
                <w:color w:val="auto"/>
              </w:rPr>
              <w:t>表</w:t>
            </w:r>
            <w:r>
              <w:rPr>
                <w:rFonts w:eastAsia="黑体"/>
                <w:color w:val="auto"/>
              </w:rPr>
              <w:t xml:space="preserve">9  </w:t>
            </w:r>
            <w:r>
              <w:rPr>
                <w:rFonts w:hAnsi="黑体" w:eastAsia="黑体"/>
                <w:color w:val="auto"/>
              </w:rPr>
              <w:t>与大气环境分区管控要求的协调性分析</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72"/>
              <w:gridCol w:w="4252"/>
              <w:gridCol w:w="2214"/>
            </w:tblGrid>
            <w:tr w14:paraId="7A7AA1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jc w:val="center"/>
              </w:trPr>
              <w:tc>
                <w:tcPr>
                  <w:tcW w:w="1572" w:type="dxa"/>
                  <w:vAlign w:val="center"/>
                </w:tcPr>
                <w:p w14:paraId="05D4E0A2">
                  <w:pPr>
                    <w:pStyle w:val="108"/>
                    <w:adjustRightInd/>
                    <w:spacing w:line="276" w:lineRule="auto"/>
                    <w:jc w:val="center"/>
                    <w:rPr>
                      <w:color w:val="auto"/>
                      <w:sz w:val="21"/>
                      <w:szCs w:val="21"/>
                    </w:rPr>
                  </w:pPr>
                  <w:r>
                    <w:rPr>
                      <w:rFonts w:hint="eastAsia"/>
                      <w:color w:val="auto"/>
                      <w:sz w:val="21"/>
                      <w:szCs w:val="21"/>
                    </w:rPr>
                    <w:t>管控单元分类</w:t>
                  </w:r>
                </w:p>
              </w:tc>
              <w:tc>
                <w:tcPr>
                  <w:tcW w:w="4252" w:type="dxa"/>
                  <w:vAlign w:val="center"/>
                </w:tcPr>
                <w:p w14:paraId="386E25D4">
                  <w:pPr>
                    <w:pStyle w:val="108"/>
                    <w:adjustRightInd/>
                    <w:spacing w:line="276" w:lineRule="auto"/>
                    <w:jc w:val="center"/>
                    <w:rPr>
                      <w:color w:val="auto"/>
                      <w:sz w:val="21"/>
                      <w:szCs w:val="21"/>
                    </w:rPr>
                  </w:pPr>
                  <w:r>
                    <w:rPr>
                      <w:rFonts w:hint="eastAsia"/>
                      <w:color w:val="auto"/>
                      <w:sz w:val="21"/>
                      <w:szCs w:val="21"/>
                    </w:rPr>
                    <w:t>环境管控要求</w:t>
                  </w:r>
                </w:p>
              </w:tc>
              <w:tc>
                <w:tcPr>
                  <w:tcW w:w="2214" w:type="dxa"/>
                  <w:vAlign w:val="center"/>
                </w:tcPr>
                <w:p w14:paraId="6FC9BDD9">
                  <w:pPr>
                    <w:pStyle w:val="108"/>
                    <w:adjustRightInd/>
                    <w:spacing w:line="276" w:lineRule="auto"/>
                    <w:jc w:val="center"/>
                    <w:rPr>
                      <w:color w:val="auto"/>
                      <w:sz w:val="21"/>
                      <w:szCs w:val="21"/>
                    </w:rPr>
                  </w:pPr>
                  <w:r>
                    <w:rPr>
                      <w:rFonts w:hint="eastAsia"/>
                      <w:color w:val="auto"/>
                      <w:sz w:val="21"/>
                      <w:szCs w:val="21"/>
                    </w:rPr>
                    <w:t>协调性分析</w:t>
                  </w:r>
                </w:p>
              </w:tc>
            </w:tr>
            <w:tr w14:paraId="6795A52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72" w:type="dxa"/>
                  <w:vAlign w:val="center"/>
                </w:tcPr>
                <w:p w14:paraId="7590A845">
                  <w:pPr>
                    <w:pStyle w:val="108"/>
                    <w:adjustRightInd/>
                    <w:spacing w:line="276" w:lineRule="auto"/>
                    <w:jc w:val="center"/>
                    <w:rPr>
                      <w:color w:val="auto"/>
                      <w:sz w:val="21"/>
                      <w:szCs w:val="21"/>
                    </w:rPr>
                  </w:pPr>
                  <w:r>
                    <w:rPr>
                      <w:rFonts w:hint="eastAsia"/>
                      <w:color w:val="auto"/>
                      <w:sz w:val="21"/>
                      <w:szCs w:val="21"/>
                    </w:rPr>
                    <w:t>重点管控区</w:t>
                  </w:r>
                </w:p>
              </w:tc>
              <w:tc>
                <w:tcPr>
                  <w:tcW w:w="4252" w:type="dxa"/>
                  <w:vAlign w:val="center"/>
                </w:tcPr>
                <w:p w14:paraId="7551F0AA">
                  <w:pPr>
                    <w:pStyle w:val="108"/>
                    <w:adjustRightInd/>
                    <w:spacing w:line="276" w:lineRule="auto"/>
                    <w:jc w:val="center"/>
                    <w:rPr>
                      <w:color w:val="auto"/>
                      <w:sz w:val="21"/>
                      <w:szCs w:val="21"/>
                    </w:rPr>
                  </w:pPr>
                  <w:r>
                    <w:rPr>
                      <w:color w:val="auto"/>
                      <w:sz w:val="21"/>
                      <w:szCs w:val="21"/>
                    </w:rPr>
                    <w:t>落实《安徽省大气污染防治条例》《</w:t>
                  </w:r>
                  <w:r>
                    <w:rPr>
                      <w:rFonts w:ascii="宋体" w:hAnsi="宋体"/>
                      <w:color w:val="auto"/>
                      <w:sz w:val="21"/>
                      <w:szCs w:val="21"/>
                    </w:rPr>
                    <w:t>“十四五”</w:t>
                  </w:r>
                  <w:r>
                    <w:rPr>
                      <w:color w:val="auto"/>
                      <w:sz w:val="21"/>
                      <w:szCs w:val="21"/>
                    </w:rPr>
                    <w:t>生态保护监管规划》《安徽省“十四五”生态环境保护规划》《打赢蓝天保卫战三年行动计划》《安徽省打赢蓝天保卫战三年行动计划实施方案》《淮南市大气污染防治条例》《重点行业挥发性有机物综合治理方案》等要求，严格目标实施计划，加强环境监管，促进生态环境质量好转。上年度PM2.5不达标城市新建、改建和扩建项目大气污染物</w:t>
                  </w:r>
                  <w:r>
                    <w:rPr>
                      <w:rFonts w:ascii="宋体" w:hAnsi="宋体"/>
                      <w:color w:val="auto"/>
                      <w:sz w:val="21"/>
                      <w:szCs w:val="21"/>
                    </w:rPr>
                    <w:t>实施“倍量替代”</w:t>
                  </w:r>
                  <w:r>
                    <w:rPr>
                      <w:color w:val="auto"/>
                      <w:sz w:val="21"/>
                      <w:szCs w:val="21"/>
                    </w:rPr>
                    <w:t>，执行特别排放标准的行业实施提标升级改造。</w:t>
                  </w:r>
                </w:p>
              </w:tc>
              <w:tc>
                <w:tcPr>
                  <w:tcW w:w="2214" w:type="dxa"/>
                  <w:vAlign w:val="center"/>
                </w:tcPr>
                <w:p w14:paraId="65430E76">
                  <w:pPr>
                    <w:pStyle w:val="108"/>
                    <w:adjustRightInd/>
                    <w:spacing w:line="276" w:lineRule="auto"/>
                    <w:jc w:val="center"/>
                    <w:rPr>
                      <w:color w:val="auto"/>
                      <w:sz w:val="21"/>
                      <w:szCs w:val="21"/>
                    </w:rPr>
                  </w:pPr>
                  <w:r>
                    <w:rPr>
                      <w:rFonts w:hint="eastAsia"/>
                      <w:color w:val="auto"/>
                      <w:sz w:val="21"/>
                      <w:szCs w:val="21"/>
                    </w:rPr>
                    <w:t>本项目为新建项目，位于淮南</w:t>
                  </w:r>
                  <w:r>
                    <w:rPr>
                      <w:color w:val="auto"/>
                      <w:sz w:val="21"/>
                      <w:szCs w:val="21"/>
                    </w:rPr>
                    <w:t>毛集经济开发区，</w:t>
                  </w:r>
                  <w:r>
                    <w:rPr>
                      <w:rFonts w:hint="eastAsia"/>
                      <w:color w:val="auto"/>
                      <w:sz w:val="21"/>
                      <w:szCs w:val="21"/>
                    </w:rPr>
                    <w:t>2022年度区域环境空气</w:t>
                  </w:r>
                  <w:r>
                    <w:rPr>
                      <w:color w:val="auto"/>
                      <w:sz w:val="21"/>
                      <w:szCs w:val="21"/>
                    </w:rPr>
                    <w:t>PM</w:t>
                  </w:r>
                  <w:r>
                    <w:rPr>
                      <w:color w:val="auto"/>
                      <w:sz w:val="21"/>
                      <w:szCs w:val="21"/>
                      <w:vertAlign w:val="subscript"/>
                    </w:rPr>
                    <w:t>2.5</w:t>
                  </w:r>
                  <w:r>
                    <w:rPr>
                      <w:color w:val="auto"/>
                      <w:sz w:val="21"/>
                      <w:szCs w:val="21"/>
                    </w:rPr>
                    <w:t>未达标。本项目运营期相关污染物经收集处理后均达标排放，总量向生态环境主管部门申请。</w:t>
                  </w:r>
                </w:p>
              </w:tc>
            </w:tr>
          </w:tbl>
          <w:p w14:paraId="0E54F312">
            <w:pPr>
              <w:pStyle w:val="108"/>
              <w:adjustRightInd/>
              <w:spacing w:line="360" w:lineRule="auto"/>
              <w:ind w:firstLine="480" w:firstLineChars="200"/>
              <w:rPr>
                <w:color w:val="auto"/>
              </w:rPr>
            </w:pPr>
            <w:r>
              <w:rPr>
                <w:rFonts w:hint="eastAsia"/>
                <w:color w:val="auto"/>
              </w:rPr>
              <w:t>②水环境分区管控</w:t>
            </w:r>
          </w:p>
          <w:p w14:paraId="43E1D5A5">
            <w:pPr>
              <w:pStyle w:val="108"/>
              <w:adjustRightInd/>
              <w:spacing w:line="360" w:lineRule="auto"/>
              <w:ind w:firstLine="480" w:firstLineChars="200"/>
              <w:rPr>
                <w:color w:val="auto"/>
              </w:rPr>
            </w:pPr>
            <w:r>
              <w:rPr>
                <w:rFonts w:hint="eastAsia"/>
                <w:color w:val="auto"/>
              </w:rPr>
              <w:t>根据《</w:t>
            </w:r>
            <w:r>
              <w:rPr>
                <w:color w:val="auto"/>
              </w:rPr>
              <w:t>长江经济带战略环境评价</w:t>
            </w:r>
            <w:r>
              <w:rPr>
                <w:rFonts w:hint="eastAsia"/>
                <w:color w:val="auto"/>
              </w:rPr>
              <w:t>—淮南市“三线一单”研究报告》及成果图集，本项目所在区域属于水环境工业污染重点管控区（详见附图5）。</w:t>
            </w:r>
          </w:p>
          <w:p w14:paraId="4BF4A3C7">
            <w:pPr>
              <w:pStyle w:val="108"/>
              <w:adjustRightInd/>
              <w:spacing w:line="360" w:lineRule="auto"/>
              <w:ind w:firstLine="480" w:firstLineChars="200"/>
              <w:jc w:val="center"/>
              <w:rPr>
                <w:rFonts w:eastAsia="黑体"/>
                <w:color w:val="auto"/>
              </w:rPr>
            </w:pPr>
            <w:r>
              <w:rPr>
                <w:rFonts w:hAnsi="黑体" w:eastAsia="黑体"/>
                <w:color w:val="auto"/>
              </w:rPr>
              <w:t>表</w:t>
            </w:r>
            <w:r>
              <w:rPr>
                <w:rFonts w:hint="eastAsia" w:eastAsia="黑体"/>
                <w:color w:val="auto"/>
              </w:rPr>
              <w:t>10</w:t>
            </w:r>
            <w:r>
              <w:rPr>
                <w:rFonts w:eastAsia="黑体"/>
                <w:color w:val="auto"/>
              </w:rPr>
              <w:t xml:space="preserve">  </w:t>
            </w:r>
            <w:r>
              <w:rPr>
                <w:rFonts w:hAnsi="黑体" w:eastAsia="黑体"/>
                <w:color w:val="auto"/>
              </w:rPr>
              <w:t>与水环境分区管控要求的协调性分析</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72"/>
              <w:gridCol w:w="4252"/>
              <w:gridCol w:w="2214"/>
            </w:tblGrid>
            <w:tr w14:paraId="091DF0C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72" w:type="dxa"/>
                  <w:vAlign w:val="center"/>
                </w:tcPr>
                <w:p w14:paraId="0B4CD90E">
                  <w:pPr>
                    <w:pStyle w:val="108"/>
                    <w:adjustRightInd/>
                    <w:spacing w:line="276" w:lineRule="auto"/>
                    <w:jc w:val="center"/>
                    <w:rPr>
                      <w:color w:val="auto"/>
                      <w:sz w:val="21"/>
                      <w:szCs w:val="21"/>
                    </w:rPr>
                  </w:pPr>
                  <w:r>
                    <w:rPr>
                      <w:rFonts w:hint="eastAsia"/>
                      <w:color w:val="auto"/>
                      <w:sz w:val="21"/>
                      <w:szCs w:val="21"/>
                    </w:rPr>
                    <w:t>管控单元分类</w:t>
                  </w:r>
                </w:p>
              </w:tc>
              <w:tc>
                <w:tcPr>
                  <w:tcW w:w="4252" w:type="dxa"/>
                  <w:vAlign w:val="center"/>
                </w:tcPr>
                <w:p w14:paraId="61B7DE45">
                  <w:pPr>
                    <w:pStyle w:val="108"/>
                    <w:adjustRightInd/>
                    <w:spacing w:line="276" w:lineRule="auto"/>
                    <w:jc w:val="center"/>
                    <w:rPr>
                      <w:color w:val="auto"/>
                      <w:sz w:val="21"/>
                      <w:szCs w:val="21"/>
                    </w:rPr>
                  </w:pPr>
                  <w:r>
                    <w:rPr>
                      <w:rFonts w:hint="eastAsia"/>
                      <w:color w:val="auto"/>
                      <w:sz w:val="21"/>
                      <w:szCs w:val="21"/>
                    </w:rPr>
                    <w:t>环境管控要求</w:t>
                  </w:r>
                </w:p>
              </w:tc>
              <w:tc>
                <w:tcPr>
                  <w:tcW w:w="2214" w:type="dxa"/>
                  <w:vAlign w:val="center"/>
                </w:tcPr>
                <w:p w14:paraId="1DE59D33">
                  <w:pPr>
                    <w:pStyle w:val="108"/>
                    <w:adjustRightInd/>
                    <w:spacing w:line="276" w:lineRule="auto"/>
                    <w:jc w:val="center"/>
                    <w:rPr>
                      <w:color w:val="auto"/>
                      <w:sz w:val="21"/>
                      <w:szCs w:val="21"/>
                    </w:rPr>
                  </w:pPr>
                  <w:r>
                    <w:rPr>
                      <w:rFonts w:hint="eastAsia"/>
                      <w:color w:val="auto"/>
                      <w:sz w:val="21"/>
                      <w:szCs w:val="21"/>
                    </w:rPr>
                    <w:t>协调性分析</w:t>
                  </w:r>
                </w:p>
              </w:tc>
            </w:tr>
            <w:tr w14:paraId="0D3F97E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72" w:type="dxa"/>
                  <w:vAlign w:val="center"/>
                </w:tcPr>
                <w:p w14:paraId="500F22E2">
                  <w:pPr>
                    <w:pStyle w:val="108"/>
                    <w:adjustRightInd/>
                    <w:spacing w:line="276" w:lineRule="auto"/>
                    <w:jc w:val="center"/>
                    <w:rPr>
                      <w:color w:val="auto"/>
                      <w:sz w:val="21"/>
                      <w:szCs w:val="21"/>
                    </w:rPr>
                  </w:pPr>
                  <w:r>
                    <w:rPr>
                      <w:rFonts w:hint="eastAsia"/>
                      <w:color w:val="auto"/>
                      <w:sz w:val="21"/>
                      <w:szCs w:val="21"/>
                    </w:rPr>
                    <w:t>重点管控区</w:t>
                  </w:r>
                </w:p>
              </w:tc>
              <w:tc>
                <w:tcPr>
                  <w:tcW w:w="4252" w:type="dxa"/>
                  <w:vAlign w:val="center"/>
                </w:tcPr>
                <w:p w14:paraId="37E939FA">
                  <w:pPr>
                    <w:pStyle w:val="108"/>
                    <w:adjustRightInd/>
                    <w:spacing w:line="276" w:lineRule="auto"/>
                    <w:jc w:val="center"/>
                    <w:rPr>
                      <w:color w:val="auto"/>
                      <w:sz w:val="21"/>
                      <w:szCs w:val="21"/>
                    </w:rPr>
                  </w:pPr>
                  <w:r>
                    <w:rPr>
                      <w:color w:val="auto"/>
                      <w:sz w:val="21"/>
                      <w:szCs w:val="21"/>
                    </w:rPr>
                    <w:t>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w:t>
                  </w:r>
                  <w:r>
                    <w:rPr>
                      <w:rFonts w:ascii="宋体" w:hAnsi="宋体"/>
                      <w:color w:val="auto"/>
                      <w:sz w:val="21"/>
                      <w:szCs w:val="21"/>
                    </w:rPr>
                    <w:t>“十四五”</w:t>
                  </w:r>
                  <w:r>
                    <w:rPr>
                      <w:color w:val="auto"/>
                      <w:sz w:val="21"/>
                      <w:szCs w:val="21"/>
                    </w:rPr>
                    <w:t>生态保护监管规划》《安徽省“十四五”生态环境保护规划》《安徽</w:t>
                  </w:r>
                  <w:r>
                    <w:rPr>
                      <w:rFonts w:ascii="宋体" w:hAnsi="宋体"/>
                      <w:color w:val="auto"/>
                      <w:sz w:val="21"/>
                      <w:szCs w:val="21"/>
                    </w:rPr>
                    <w:t>省“十四五”节</w:t>
                  </w:r>
                  <w:r>
                    <w:rPr>
                      <w:color w:val="auto"/>
                      <w:sz w:val="21"/>
                      <w:szCs w:val="21"/>
                    </w:rPr>
                    <w:t>能减排实施方案》等要求，新建、改建和扩建项目水污染物实</w:t>
                  </w:r>
                  <w:r>
                    <w:rPr>
                      <w:rFonts w:ascii="宋体" w:hAnsi="宋体"/>
                      <w:color w:val="auto"/>
                      <w:sz w:val="21"/>
                      <w:szCs w:val="21"/>
                    </w:rPr>
                    <w:t>施“等量替代”</w:t>
                  </w:r>
                  <w:r>
                    <w:rPr>
                      <w:color w:val="auto"/>
                      <w:sz w:val="21"/>
                      <w:szCs w:val="21"/>
                    </w:rPr>
                    <w:t>。</w:t>
                  </w:r>
                </w:p>
              </w:tc>
              <w:tc>
                <w:tcPr>
                  <w:tcW w:w="2214" w:type="dxa"/>
                  <w:vAlign w:val="center"/>
                </w:tcPr>
                <w:p w14:paraId="5C19EC6D">
                  <w:pPr>
                    <w:pStyle w:val="108"/>
                    <w:adjustRightInd/>
                    <w:spacing w:line="276" w:lineRule="auto"/>
                    <w:jc w:val="center"/>
                    <w:rPr>
                      <w:color w:val="auto"/>
                      <w:sz w:val="21"/>
                      <w:szCs w:val="21"/>
                    </w:rPr>
                  </w:pPr>
                  <w:r>
                    <w:rPr>
                      <w:color w:val="auto"/>
                      <w:sz w:val="21"/>
                      <w:szCs w:val="21"/>
                    </w:rPr>
                    <w:t>本项目所在地不涉及饮用水水源地和对环境有特殊要求的功能区。运营期生活污水接管至毛集</w:t>
                  </w:r>
                  <w:r>
                    <w:rPr>
                      <w:rFonts w:hint="eastAsia"/>
                      <w:color w:val="auto"/>
                      <w:sz w:val="21"/>
                      <w:szCs w:val="21"/>
                    </w:rPr>
                    <w:t>实验区</w:t>
                  </w:r>
                  <w:r>
                    <w:rPr>
                      <w:color w:val="auto"/>
                      <w:sz w:val="21"/>
                      <w:szCs w:val="21"/>
                    </w:rPr>
                    <w:t>污水处理厂处理，</w:t>
                  </w:r>
                  <w:r>
                    <w:rPr>
                      <w:rFonts w:hint="eastAsia"/>
                      <w:color w:val="auto"/>
                      <w:sz w:val="21"/>
                      <w:szCs w:val="21"/>
                    </w:rPr>
                    <w:t>废水控制指标统一纳入毛集实验区污水处理厂管理，本项目不需要单独申请总量。</w:t>
                  </w:r>
                </w:p>
              </w:tc>
            </w:tr>
          </w:tbl>
          <w:p w14:paraId="26B54DD1">
            <w:pPr>
              <w:pStyle w:val="108"/>
              <w:adjustRightInd/>
              <w:spacing w:line="360" w:lineRule="auto"/>
              <w:ind w:firstLine="480" w:firstLineChars="200"/>
              <w:rPr>
                <w:color w:val="auto"/>
              </w:rPr>
            </w:pPr>
            <w:r>
              <w:rPr>
                <w:rFonts w:hint="eastAsia"/>
                <w:color w:val="auto"/>
              </w:rPr>
              <w:t>③土壤环境分区管控</w:t>
            </w:r>
          </w:p>
          <w:p w14:paraId="59ABFD05">
            <w:pPr>
              <w:pStyle w:val="108"/>
              <w:adjustRightInd/>
              <w:spacing w:line="360" w:lineRule="auto"/>
              <w:ind w:firstLine="480" w:firstLineChars="200"/>
              <w:rPr>
                <w:color w:val="auto"/>
              </w:rPr>
            </w:pPr>
            <w:r>
              <w:rPr>
                <w:rFonts w:hint="eastAsia"/>
                <w:color w:val="auto"/>
              </w:rPr>
              <w:t>根据《</w:t>
            </w:r>
            <w:r>
              <w:rPr>
                <w:color w:val="auto"/>
              </w:rPr>
              <w:t>长江经济带战略环境评价</w:t>
            </w:r>
            <w:r>
              <w:rPr>
                <w:rFonts w:hint="eastAsia"/>
                <w:color w:val="auto"/>
              </w:rPr>
              <w:t>—淮南市“三线一单”研究报告》及成果图集，本项目所在区域属于土壤环境一般管控区（详见附图6）。</w:t>
            </w:r>
          </w:p>
          <w:p w14:paraId="61727586">
            <w:pPr>
              <w:pStyle w:val="108"/>
              <w:adjustRightInd/>
              <w:spacing w:line="360" w:lineRule="auto"/>
              <w:ind w:firstLine="480" w:firstLineChars="200"/>
              <w:jc w:val="center"/>
              <w:rPr>
                <w:rFonts w:eastAsia="黑体"/>
                <w:color w:val="auto"/>
              </w:rPr>
            </w:pPr>
            <w:r>
              <w:rPr>
                <w:rFonts w:hAnsi="黑体" w:eastAsia="黑体"/>
                <w:color w:val="auto"/>
              </w:rPr>
              <w:t>表</w:t>
            </w:r>
            <w:r>
              <w:rPr>
                <w:rFonts w:hint="eastAsia" w:eastAsia="黑体"/>
                <w:color w:val="auto"/>
              </w:rPr>
              <w:t>11</w:t>
            </w:r>
            <w:r>
              <w:rPr>
                <w:rFonts w:eastAsia="黑体"/>
                <w:color w:val="auto"/>
              </w:rPr>
              <w:t xml:space="preserve">  </w:t>
            </w:r>
            <w:r>
              <w:rPr>
                <w:rFonts w:hAnsi="黑体" w:eastAsia="黑体"/>
                <w:color w:val="auto"/>
              </w:rPr>
              <w:t>与土壤环境分区管控要求的协调性分析</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572"/>
              <w:gridCol w:w="4252"/>
              <w:gridCol w:w="2214"/>
            </w:tblGrid>
            <w:tr w14:paraId="2BAA70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72" w:type="dxa"/>
                  <w:vAlign w:val="center"/>
                </w:tcPr>
                <w:p w14:paraId="41D887E8">
                  <w:pPr>
                    <w:pStyle w:val="108"/>
                    <w:adjustRightInd/>
                    <w:spacing w:line="276" w:lineRule="auto"/>
                    <w:jc w:val="center"/>
                    <w:rPr>
                      <w:color w:val="auto"/>
                      <w:sz w:val="21"/>
                      <w:szCs w:val="21"/>
                    </w:rPr>
                  </w:pPr>
                  <w:r>
                    <w:rPr>
                      <w:rFonts w:hint="eastAsia"/>
                      <w:color w:val="auto"/>
                      <w:sz w:val="21"/>
                      <w:szCs w:val="21"/>
                    </w:rPr>
                    <w:t>管控单元分类</w:t>
                  </w:r>
                </w:p>
              </w:tc>
              <w:tc>
                <w:tcPr>
                  <w:tcW w:w="4252" w:type="dxa"/>
                  <w:vAlign w:val="center"/>
                </w:tcPr>
                <w:p w14:paraId="0B44E7F5">
                  <w:pPr>
                    <w:pStyle w:val="108"/>
                    <w:adjustRightInd/>
                    <w:spacing w:line="276" w:lineRule="auto"/>
                    <w:jc w:val="center"/>
                    <w:rPr>
                      <w:color w:val="auto"/>
                      <w:sz w:val="21"/>
                      <w:szCs w:val="21"/>
                    </w:rPr>
                  </w:pPr>
                  <w:r>
                    <w:rPr>
                      <w:rFonts w:hint="eastAsia"/>
                      <w:color w:val="auto"/>
                      <w:sz w:val="21"/>
                      <w:szCs w:val="21"/>
                    </w:rPr>
                    <w:t>环境管控要求</w:t>
                  </w:r>
                </w:p>
              </w:tc>
              <w:tc>
                <w:tcPr>
                  <w:tcW w:w="2214" w:type="dxa"/>
                  <w:vAlign w:val="center"/>
                </w:tcPr>
                <w:p w14:paraId="7419E713">
                  <w:pPr>
                    <w:pStyle w:val="108"/>
                    <w:adjustRightInd/>
                    <w:spacing w:line="276" w:lineRule="auto"/>
                    <w:jc w:val="center"/>
                    <w:rPr>
                      <w:color w:val="auto"/>
                      <w:sz w:val="21"/>
                      <w:szCs w:val="21"/>
                    </w:rPr>
                  </w:pPr>
                  <w:r>
                    <w:rPr>
                      <w:rFonts w:hint="eastAsia"/>
                      <w:color w:val="auto"/>
                      <w:sz w:val="21"/>
                      <w:szCs w:val="21"/>
                    </w:rPr>
                    <w:t>协调性分析</w:t>
                  </w:r>
                </w:p>
              </w:tc>
            </w:tr>
            <w:tr w14:paraId="6C409AA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72" w:type="dxa"/>
                  <w:vAlign w:val="center"/>
                </w:tcPr>
                <w:p w14:paraId="567565FA">
                  <w:pPr>
                    <w:pStyle w:val="108"/>
                    <w:adjustRightInd/>
                    <w:spacing w:line="276" w:lineRule="auto"/>
                    <w:jc w:val="center"/>
                    <w:rPr>
                      <w:color w:val="auto"/>
                      <w:sz w:val="21"/>
                      <w:szCs w:val="21"/>
                    </w:rPr>
                  </w:pPr>
                  <w:r>
                    <w:rPr>
                      <w:rFonts w:hint="eastAsia"/>
                      <w:color w:val="auto"/>
                      <w:sz w:val="21"/>
                      <w:szCs w:val="21"/>
                    </w:rPr>
                    <w:t>一般管控区</w:t>
                  </w:r>
                </w:p>
              </w:tc>
              <w:tc>
                <w:tcPr>
                  <w:tcW w:w="4252" w:type="dxa"/>
                  <w:vAlign w:val="center"/>
                </w:tcPr>
                <w:p w14:paraId="3827DAD5">
                  <w:pPr>
                    <w:pStyle w:val="108"/>
                    <w:adjustRightInd/>
                    <w:spacing w:line="276" w:lineRule="auto"/>
                    <w:jc w:val="center"/>
                    <w:rPr>
                      <w:color w:val="auto"/>
                      <w:sz w:val="21"/>
                      <w:szCs w:val="21"/>
                    </w:rPr>
                  </w:pPr>
                  <w:r>
                    <w:rPr>
                      <w:rFonts w:hint="eastAsia"/>
                      <w:color w:val="auto"/>
                      <w:sz w:val="21"/>
                      <w:szCs w:val="21"/>
                      <w:lang w:bidi="en-US"/>
                    </w:rPr>
                    <w:t>依据《中华人民共和国土壤污染防治法》《土壤污染防治行动计划》《安徽省土壤污染防治工作方案》《安徽省“十四五”生态环境保护规划》等要求及各市土壤污染防治工作方案对一般管控区实施管控。</w:t>
                  </w:r>
                </w:p>
              </w:tc>
              <w:tc>
                <w:tcPr>
                  <w:tcW w:w="2214" w:type="dxa"/>
                  <w:vAlign w:val="center"/>
                </w:tcPr>
                <w:p w14:paraId="747A4F83">
                  <w:pPr>
                    <w:pStyle w:val="108"/>
                    <w:adjustRightInd/>
                    <w:spacing w:line="276" w:lineRule="auto"/>
                    <w:jc w:val="center"/>
                    <w:rPr>
                      <w:color w:val="auto"/>
                      <w:sz w:val="21"/>
                      <w:szCs w:val="21"/>
                    </w:rPr>
                  </w:pPr>
                  <w:r>
                    <w:rPr>
                      <w:color w:val="auto"/>
                      <w:sz w:val="21"/>
                      <w:szCs w:val="21"/>
                    </w:rPr>
                    <w:t>本项目租赁已有厂房进行生产，厂房地面均硬化处理，本项目建成后将按贮存要求进行分区防渗</w:t>
                  </w:r>
                  <w:r>
                    <w:rPr>
                      <w:rFonts w:hint="eastAsia"/>
                      <w:color w:val="auto"/>
                      <w:sz w:val="21"/>
                      <w:szCs w:val="21"/>
                    </w:rPr>
                    <w:t>，落实防渗防腐要求。</w:t>
                  </w:r>
                </w:p>
              </w:tc>
            </w:tr>
          </w:tbl>
          <w:p w14:paraId="7741FBFC">
            <w:pPr>
              <w:pStyle w:val="108"/>
              <w:adjustRightInd/>
              <w:spacing w:line="360" w:lineRule="auto"/>
              <w:ind w:firstLine="482" w:firstLineChars="200"/>
              <w:rPr>
                <w:b/>
                <w:color w:val="auto"/>
              </w:rPr>
            </w:pPr>
            <w:r>
              <w:rPr>
                <w:rFonts w:hint="eastAsia"/>
                <w:b/>
                <w:color w:val="auto"/>
              </w:rPr>
              <w:t>4、项目与排污许可联动内容相关性分析</w:t>
            </w:r>
          </w:p>
          <w:p w14:paraId="18671309">
            <w:pPr>
              <w:spacing w:line="360" w:lineRule="auto"/>
              <w:ind w:firstLine="472" w:firstLineChars="200"/>
              <w:rPr>
                <w:spacing w:val="-2"/>
                <w:kern w:val="0"/>
                <w:sz w:val="24"/>
                <w:szCs w:val="24"/>
              </w:rPr>
            </w:pPr>
            <w:r>
              <w:rPr>
                <w:rFonts w:hint="eastAsia"/>
                <w:spacing w:val="-2"/>
                <w:kern w:val="0"/>
                <w:sz w:val="24"/>
                <w:szCs w:val="24"/>
              </w:rPr>
              <w:t>根据安徽省生态环境厅于</w:t>
            </w:r>
            <w:r>
              <w:rPr>
                <w:spacing w:val="-2"/>
                <w:kern w:val="0"/>
                <w:sz w:val="24"/>
                <w:szCs w:val="24"/>
              </w:rPr>
              <w:t>2021</w:t>
            </w:r>
            <w:r>
              <w:rPr>
                <w:rFonts w:hint="eastAsia"/>
                <w:spacing w:val="-2"/>
                <w:kern w:val="0"/>
                <w:sz w:val="24"/>
                <w:szCs w:val="24"/>
              </w:rPr>
              <w:t>年</w:t>
            </w:r>
            <w:r>
              <w:rPr>
                <w:spacing w:val="-2"/>
                <w:kern w:val="0"/>
                <w:sz w:val="24"/>
                <w:szCs w:val="24"/>
              </w:rPr>
              <w:t>1</w:t>
            </w:r>
            <w:r>
              <w:rPr>
                <w:rFonts w:hint="eastAsia"/>
                <w:spacing w:val="-2"/>
                <w:kern w:val="0"/>
                <w:sz w:val="24"/>
                <w:szCs w:val="24"/>
              </w:rPr>
              <w:t>月</w:t>
            </w:r>
            <w:r>
              <w:rPr>
                <w:spacing w:val="-2"/>
                <w:kern w:val="0"/>
                <w:sz w:val="24"/>
                <w:szCs w:val="24"/>
              </w:rPr>
              <w:t>30</w:t>
            </w:r>
            <w:r>
              <w:rPr>
                <w:rFonts w:hint="eastAsia"/>
                <w:spacing w:val="-2"/>
                <w:kern w:val="0"/>
                <w:sz w:val="24"/>
                <w:szCs w:val="24"/>
              </w:rPr>
              <w:t>日发布的《安徽省生态环境厅关于统筹做好固定污染源排污许可日常监管工作的通知》（皖环发〔</w:t>
            </w:r>
            <w:r>
              <w:rPr>
                <w:spacing w:val="-2"/>
                <w:kern w:val="0"/>
                <w:sz w:val="24"/>
                <w:szCs w:val="24"/>
              </w:rPr>
              <w:t>2021</w:t>
            </w:r>
            <w:r>
              <w:rPr>
                <w:rFonts w:hint="eastAsia"/>
                <w:spacing w:val="-2"/>
                <w:kern w:val="0"/>
                <w:sz w:val="24"/>
                <w:szCs w:val="24"/>
              </w:rPr>
              <w:t>〕</w:t>
            </w:r>
            <w:r>
              <w:rPr>
                <w:spacing w:val="-2"/>
                <w:kern w:val="0"/>
                <w:sz w:val="24"/>
                <w:szCs w:val="24"/>
              </w:rPr>
              <w:t>7</w:t>
            </w:r>
            <w:r>
              <w:rPr>
                <w:rFonts w:hint="eastAsia"/>
                <w:spacing w:val="-2"/>
                <w:kern w:val="0"/>
                <w:sz w:val="24"/>
                <w:szCs w:val="24"/>
              </w:rPr>
              <w:t>号），属于现行《固定污染源排污许可分类管理名录》内重点管理和简化管理的行业，在环评文件中应明确“建设项目环境影响评价与排污许可联动内容”。</w:t>
            </w:r>
          </w:p>
          <w:p w14:paraId="07040CD1">
            <w:pPr>
              <w:pStyle w:val="108"/>
              <w:adjustRightInd/>
              <w:spacing w:line="360" w:lineRule="auto"/>
              <w:ind w:firstLine="480" w:firstLineChars="200"/>
              <w:rPr>
                <w:color w:val="auto"/>
              </w:rPr>
            </w:pPr>
            <w:r>
              <w:rPr>
                <w:rFonts w:hint="eastAsia"/>
                <w:color w:val="auto"/>
              </w:rPr>
              <w:t>本项目国民经济行业类别为</w:t>
            </w:r>
            <w:r>
              <w:rPr>
                <w:color w:val="auto"/>
              </w:rPr>
              <w:t>C</w:t>
            </w:r>
            <w:r>
              <w:rPr>
                <w:rFonts w:hint="eastAsia"/>
                <w:color w:val="auto"/>
              </w:rPr>
              <w:t>2459其他玩具制造，根据《固定污染源排污许可分类管理名录（</w:t>
            </w:r>
            <w:r>
              <w:rPr>
                <w:color w:val="auto"/>
              </w:rPr>
              <w:t>2019</w:t>
            </w:r>
            <w:r>
              <w:rPr>
                <w:rFonts w:hint="eastAsia"/>
                <w:color w:val="auto"/>
              </w:rPr>
              <w:t>年版）》，本项目属于固定污染源排污许可分类管理名录表中的“十九、</w:t>
            </w:r>
            <w:r>
              <w:rPr>
                <w:color w:val="auto"/>
              </w:rPr>
              <w:t>文教、工美、体育和娱乐用品制造业24</w:t>
            </w:r>
            <w:r>
              <w:rPr>
                <w:rFonts w:hint="eastAsia"/>
                <w:color w:val="auto"/>
              </w:rPr>
              <w:t>”“41</w:t>
            </w:r>
            <w:r>
              <w:rPr>
                <w:color w:val="auto"/>
              </w:rPr>
              <w:t>玩具制造 245</w:t>
            </w:r>
            <w:r>
              <w:rPr>
                <w:rFonts w:hint="eastAsia"/>
                <w:color w:val="auto"/>
              </w:rPr>
              <w:t>”中的“其他*”。因此，项目的排污许可填报管理类别应为“登记管理”。</w:t>
            </w:r>
          </w:p>
          <w:p w14:paraId="735419F0">
            <w:pPr>
              <w:autoSpaceDE w:val="0"/>
              <w:autoSpaceDN w:val="0"/>
              <w:spacing w:line="360" w:lineRule="auto"/>
              <w:jc w:val="center"/>
              <w:rPr>
                <w:rFonts w:hAnsi="黑体" w:eastAsia="黑体"/>
                <w:szCs w:val="21"/>
              </w:rPr>
            </w:pPr>
            <w:r>
              <w:rPr>
                <w:rFonts w:hAnsi="黑体" w:eastAsia="黑体"/>
                <w:sz w:val="24"/>
                <w:szCs w:val="24"/>
              </w:rPr>
              <w:t>表</w:t>
            </w:r>
            <w:r>
              <w:rPr>
                <w:rFonts w:hint="eastAsia" w:hAnsi="黑体" w:eastAsia="黑体"/>
                <w:sz w:val="24"/>
                <w:szCs w:val="24"/>
              </w:rPr>
              <w:t>12</w:t>
            </w:r>
            <w:r>
              <w:rPr>
                <w:rFonts w:hAnsi="黑体" w:eastAsia="黑体"/>
                <w:sz w:val="24"/>
                <w:szCs w:val="24"/>
              </w:rPr>
              <w:t xml:space="preserve">  固定污染源排污许可分类管理名录</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121"/>
              <w:gridCol w:w="2620"/>
              <w:gridCol w:w="2704"/>
              <w:gridCol w:w="1077"/>
            </w:tblGrid>
            <w:tr w14:paraId="2DB53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330" w:type="pct"/>
                  <w:vAlign w:val="center"/>
                </w:tcPr>
                <w:p w14:paraId="44C5FB36">
                  <w:pPr>
                    <w:spacing w:line="276" w:lineRule="auto"/>
                    <w:jc w:val="center"/>
                    <w:rPr>
                      <w:b/>
                    </w:rPr>
                  </w:pPr>
                  <w:r>
                    <w:rPr>
                      <w:b/>
                    </w:rPr>
                    <w:t>序号</w:t>
                  </w:r>
                </w:p>
              </w:tc>
              <w:tc>
                <w:tcPr>
                  <w:tcW w:w="696" w:type="pct"/>
                  <w:vAlign w:val="center"/>
                </w:tcPr>
                <w:p w14:paraId="38AF2038">
                  <w:pPr>
                    <w:spacing w:line="276" w:lineRule="auto"/>
                    <w:jc w:val="center"/>
                    <w:rPr>
                      <w:b/>
                    </w:rPr>
                  </w:pPr>
                  <w:r>
                    <w:rPr>
                      <w:b/>
                    </w:rPr>
                    <w:t>行业类别</w:t>
                  </w:r>
                </w:p>
              </w:tc>
              <w:tc>
                <w:tcPr>
                  <w:tcW w:w="1627" w:type="pct"/>
                  <w:vAlign w:val="center"/>
                </w:tcPr>
                <w:p w14:paraId="4B6C4FE0">
                  <w:pPr>
                    <w:spacing w:line="276" w:lineRule="auto"/>
                    <w:jc w:val="center"/>
                    <w:rPr>
                      <w:b/>
                    </w:rPr>
                  </w:pPr>
                  <w:r>
                    <w:rPr>
                      <w:b/>
                    </w:rPr>
                    <w:t>重点管理</w:t>
                  </w:r>
                </w:p>
              </w:tc>
              <w:tc>
                <w:tcPr>
                  <w:tcW w:w="1679" w:type="pct"/>
                  <w:shd w:val="clear" w:color="auto" w:fill="auto"/>
                  <w:vAlign w:val="center"/>
                </w:tcPr>
                <w:p w14:paraId="37C138CD">
                  <w:pPr>
                    <w:spacing w:line="276" w:lineRule="auto"/>
                    <w:jc w:val="center"/>
                    <w:rPr>
                      <w:b/>
                    </w:rPr>
                  </w:pPr>
                  <w:r>
                    <w:rPr>
                      <w:b/>
                    </w:rPr>
                    <w:t>简化管理</w:t>
                  </w:r>
                </w:p>
              </w:tc>
              <w:tc>
                <w:tcPr>
                  <w:tcW w:w="668" w:type="pct"/>
                  <w:vAlign w:val="center"/>
                </w:tcPr>
                <w:p w14:paraId="345FF0BF">
                  <w:pPr>
                    <w:spacing w:line="276" w:lineRule="auto"/>
                    <w:jc w:val="center"/>
                    <w:rPr>
                      <w:b/>
                    </w:rPr>
                  </w:pPr>
                  <w:r>
                    <w:rPr>
                      <w:b/>
                    </w:rPr>
                    <w:t>登记管理</w:t>
                  </w:r>
                </w:p>
              </w:tc>
            </w:tr>
            <w:tr w14:paraId="73F13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5000" w:type="pct"/>
                  <w:gridSpan w:val="5"/>
                  <w:vAlign w:val="center"/>
                </w:tcPr>
                <w:p w14:paraId="1D7AE78B">
                  <w:pPr>
                    <w:spacing w:line="276" w:lineRule="auto"/>
                    <w:jc w:val="left"/>
                    <w:rPr>
                      <w:szCs w:val="21"/>
                    </w:rPr>
                  </w:pPr>
                  <w:r>
                    <w:t>十九、文教、工美、体育和娱乐用品制造业</w:t>
                  </w:r>
                  <w:r>
                    <w:rPr>
                      <w:rFonts w:hint="eastAsia"/>
                    </w:rPr>
                    <w:t>24</w:t>
                  </w:r>
                </w:p>
              </w:tc>
            </w:tr>
            <w:tr w14:paraId="1EC7C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330" w:type="pct"/>
                  <w:vAlign w:val="center"/>
                </w:tcPr>
                <w:p w14:paraId="1816EAB3">
                  <w:pPr>
                    <w:spacing w:line="276" w:lineRule="auto"/>
                    <w:jc w:val="center"/>
                  </w:pPr>
                  <w:r>
                    <w:rPr>
                      <w:rFonts w:hint="eastAsia"/>
                    </w:rPr>
                    <w:t>41</w:t>
                  </w:r>
                </w:p>
              </w:tc>
              <w:tc>
                <w:tcPr>
                  <w:tcW w:w="696" w:type="pct"/>
                  <w:vAlign w:val="center"/>
                </w:tcPr>
                <w:p w14:paraId="325D3585">
                  <w:pPr>
                    <w:spacing w:line="276" w:lineRule="auto"/>
                    <w:jc w:val="center"/>
                  </w:pPr>
                  <w:r>
                    <w:t>玩具制造245</w:t>
                  </w:r>
                </w:p>
              </w:tc>
              <w:tc>
                <w:tcPr>
                  <w:tcW w:w="1627" w:type="pct"/>
                  <w:vAlign w:val="center"/>
                </w:tcPr>
                <w:p w14:paraId="2CF9F1F9">
                  <w:pPr>
                    <w:spacing w:line="276" w:lineRule="auto"/>
                    <w:jc w:val="center"/>
                  </w:pPr>
                  <w:r>
                    <w:t>涉及通用工序重点管理的</w:t>
                  </w:r>
                </w:p>
              </w:tc>
              <w:tc>
                <w:tcPr>
                  <w:tcW w:w="1679" w:type="pct"/>
                  <w:shd w:val="clear" w:color="auto" w:fill="auto"/>
                  <w:vAlign w:val="center"/>
                </w:tcPr>
                <w:p w14:paraId="522FE1EB">
                  <w:pPr>
                    <w:spacing w:line="276" w:lineRule="auto"/>
                    <w:jc w:val="center"/>
                  </w:pPr>
                  <w:r>
                    <w:t>涉及通用工序简化管理的</w:t>
                  </w:r>
                </w:p>
              </w:tc>
              <w:tc>
                <w:tcPr>
                  <w:tcW w:w="668" w:type="pct"/>
                  <w:shd w:val="clear" w:color="auto" w:fill="BEBEBE" w:themeFill="background1" w:themeFillShade="BF"/>
                  <w:vAlign w:val="center"/>
                </w:tcPr>
                <w:p w14:paraId="20727EA5">
                  <w:pPr>
                    <w:spacing w:line="276" w:lineRule="auto"/>
                    <w:jc w:val="center"/>
                  </w:pPr>
                  <w:r>
                    <w:rPr>
                      <w:rFonts w:hint="eastAsia"/>
                      <w:szCs w:val="21"/>
                    </w:rPr>
                    <w:t>其他*</w:t>
                  </w:r>
                </w:p>
              </w:tc>
            </w:tr>
          </w:tbl>
          <w:p w14:paraId="5782397A">
            <w:pPr>
              <w:pStyle w:val="108"/>
              <w:spacing w:line="440" w:lineRule="exact"/>
              <w:rPr>
                <w:color w:val="auto"/>
              </w:rPr>
            </w:pPr>
          </w:p>
          <w:p w14:paraId="35343CFD"/>
          <w:p w14:paraId="27345C31"/>
          <w:p w14:paraId="0A5BC472"/>
          <w:p w14:paraId="015304AB"/>
          <w:p w14:paraId="2691A840"/>
          <w:p w14:paraId="26B16E1C"/>
          <w:p w14:paraId="20BF7C2D"/>
        </w:tc>
      </w:tr>
    </w:tbl>
    <w:p w14:paraId="4CCC62D0">
      <w:pPr>
        <w:widowControl/>
        <w:jc w:val="center"/>
        <w:outlineLvl w:val="0"/>
        <w:rPr>
          <w:rFonts w:ascii="宋体" w:hAnsi="宋体"/>
          <w:b/>
          <w:bCs/>
          <w:kern w:val="0"/>
          <w:sz w:val="30"/>
          <w:szCs w:val="30"/>
        </w:rPr>
        <w:sectPr>
          <w:pgSz w:w="11906" w:h="16838"/>
          <w:pgMar w:top="1440" w:right="1508" w:bottom="1440" w:left="1797" w:header="851" w:footer="992" w:gutter="0"/>
          <w:cols w:space="720" w:num="1"/>
          <w:docGrid w:type="lines" w:linePitch="312" w:charSpace="0"/>
        </w:sectPr>
      </w:pPr>
    </w:p>
    <w:p w14:paraId="47A7716A">
      <w:pPr>
        <w:widowControl/>
        <w:jc w:val="center"/>
        <w:outlineLvl w:val="0"/>
        <w:rPr>
          <w:rFonts w:ascii="宋体" w:hAnsi="宋体"/>
          <w:b/>
          <w:bCs/>
          <w:kern w:val="0"/>
          <w:sz w:val="30"/>
          <w:szCs w:val="30"/>
        </w:rPr>
      </w:pPr>
      <w:r>
        <w:rPr>
          <w:rFonts w:ascii="宋体" w:hAnsi="宋体"/>
          <w:b/>
          <w:bCs/>
          <w:kern w:val="0"/>
          <w:sz w:val="30"/>
          <w:szCs w:val="30"/>
        </w:rPr>
        <w:t>二</w:t>
      </w:r>
      <w:r>
        <w:rPr>
          <w:rFonts w:hint="eastAsia" w:ascii="宋体" w:hAnsi="宋体"/>
          <w:b/>
          <w:bCs/>
          <w:kern w:val="0"/>
          <w:sz w:val="30"/>
          <w:szCs w:val="30"/>
        </w:rPr>
        <w:t>、</w:t>
      </w:r>
      <w:bookmarkEnd w:id="3"/>
      <w:r>
        <w:rPr>
          <w:rFonts w:ascii="宋体" w:hAnsi="宋体"/>
          <w:b/>
          <w:bCs/>
          <w:kern w:val="0"/>
          <w:sz w:val="30"/>
          <w:szCs w:val="30"/>
        </w:rPr>
        <w:t>建设项目工程分析</w:t>
      </w:r>
    </w:p>
    <w:tbl>
      <w:tblPr>
        <w:tblStyle w:val="34"/>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5"/>
        <w:gridCol w:w="8362"/>
      </w:tblGrid>
      <w:tr w14:paraId="2EDF7A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088" w:hRule="atLeast"/>
        </w:trPr>
        <w:tc>
          <w:tcPr>
            <w:tcW w:w="454" w:type="dxa"/>
            <w:vAlign w:val="center"/>
          </w:tcPr>
          <w:p w14:paraId="6E3F1B30">
            <w:pPr>
              <w:widowControl/>
              <w:spacing w:line="360" w:lineRule="auto"/>
              <w:jc w:val="center"/>
              <w:rPr>
                <w:rFonts w:hAnsi="宋体"/>
                <w:kern w:val="0"/>
                <w:sz w:val="24"/>
              </w:rPr>
            </w:pPr>
            <w:r>
              <w:rPr>
                <w:rFonts w:hAnsi="宋体"/>
                <w:kern w:val="0"/>
                <w:sz w:val="24"/>
              </w:rPr>
              <w:t>建设</w:t>
            </w:r>
          </w:p>
          <w:p w14:paraId="3E8CDA36">
            <w:pPr>
              <w:widowControl/>
              <w:spacing w:line="360" w:lineRule="auto"/>
              <w:jc w:val="center"/>
              <w:rPr>
                <w:b/>
                <w:bCs/>
                <w:kern w:val="0"/>
                <w:sz w:val="24"/>
                <w:szCs w:val="28"/>
              </w:rPr>
            </w:pPr>
            <w:r>
              <w:rPr>
                <w:rFonts w:hAnsi="宋体"/>
                <w:kern w:val="0"/>
                <w:sz w:val="24"/>
              </w:rPr>
              <w:t>内容</w:t>
            </w:r>
          </w:p>
        </w:tc>
        <w:tc>
          <w:tcPr>
            <w:tcW w:w="8363" w:type="dxa"/>
          </w:tcPr>
          <w:p w14:paraId="39CE5E1B">
            <w:pPr>
              <w:spacing w:line="360" w:lineRule="auto"/>
              <w:ind w:firstLine="482" w:firstLineChars="200"/>
              <w:rPr>
                <w:b/>
                <w:sz w:val="24"/>
              </w:rPr>
            </w:pPr>
            <w:r>
              <w:rPr>
                <w:rFonts w:hint="eastAsia"/>
                <w:b/>
                <w:sz w:val="24"/>
              </w:rPr>
              <w:t>1、项目背景</w:t>
            </w:r>
          </w:p>
          <w:p w14:paraId="505590E5">
            <w:pPr>
              <w:pStyle w:val="108"/>
              <w:adjustRightInd/>
              <w:spacing w:line="360" w:lineRule="auto"/>
              <w:ind w:firstLine="480" w:firstLineChars="200"/>
              <w:rPr>
                <w:color w:val="auto"/>
              </w:rPr>
            </w:pPr>
            <w:r>
              <w:rPr>
                <w:rFonts w:hint="eastAsia"/>
                <w:color w:val="auto"/>
              </w:rPr>
              <w:t>淮南市梦趣玩具有限公司成立于2018年，注册资金为50万元，是一家专业从事其他玩具制造及销售的企业。2020年，公司拟投资5000万元租赁淮南市毛集经济开发区工业城安徽焦岗湖产业发展有限公司内2#标准化厂房1层和3层建设年产9000万只荧光棒生产线项目。</w:t>
            </w:r>
          </w:p>
          <w:p w14:paraId="0ED5D65A">
            <w:pPr>
              <w:pStyle w:val="108"/>
              <w:adjustRightInd/>
              <w:spacing w:line="360" w:lineRule="auto"/>
              <w:ind w:firstLine="480" w:firstLineChars="200"/>
              <w:rPr>
                <w:color w:val="auto"/>
              </w:rPr>
            </w:pPr>
            <w:r>
              <w:rPr>
                <w:rFonts w:hint="eastAsia"/>
                <w:color w:val="auto"/>
              </w:rPr>
              <w:t>安徽焦岗湖产业发展有限公司成立于2010年9月，主要经营范围为房地产开发、房屋租赁、物业管理，参与淮南市毛集社会发展综合实验区重大项目投资、经营、运作，不涉及工业化生产经营。2013年10月该公司创立了毛集实验区小微企业创业基地，基地主要任务是为广大小微企业和创业者提供孵化场地、技术服务、开发条件、资金筹措、人才培训和指导性管理等综合服务，培养优秀创新创业人才，促进科技成果转化。</w:t>
            </w:r>
          </w:p>
          <w:p w14:paraId="51BF675A">
            <w:pPr>
              <w:pStyle w:val="108"/>
              <w:adjustRightInd/>
              <w:spacing w:line="360" w:lineRule="auto"/>
              <w:ind w:firstLine="480" w:firstLineChars="200"/>
              <w:rPr>
                <w:color w:val="auto"/>
              </w:rPr>
            </w:pPr>
            <w:r>
              <w:rPr>
                <w:rFonts w:hint="eastAsia"/>
                <w:color w:val="auto"/>
              </w:rPr>
              <w:t>应建设单位生产需求，本项目拟购置一批离心机、液体搅拌机、玻璃热熔封口机、塑料压封机、真空抽液机、空压机以及收缩膜封口机等设备，建设荧光棒玩具制造生产线，年可加工9000万只荧光棒玩具。2023年10月，“年产9000万只荧光棒玩具生产线建设项目”通过毛集实验区发展改革局备案（项目代码：2020-340407-88-03-031706），同意项目建设。</w:t>
            </w:r>
          </w:p>
          <w:p w14:paraId="02540D56">
            <w:pPr>
              <w:pStyle w:val="8"/>
              <w:spacing w:line="360" w:lineRule="auto"/>
              <w:ind w:firstLine="480" w:firstLineChars="200"/>
              <w:rPr>
                <w:sz w:val="24"/>
              </w:rPr>
            </w:pPr>
            <w:r>
              <w:rPr>
                <w:rFonts w:hint="eastAsia" w:hAnsi="宋体"/>
                <w:sz w:val="24"/>
              </w:rPr>
              <w:t>根据《中华人民共和国环境保护法》（主席令2014年第9号）、《中华人民共和国</w:t>
            </w:r>
            <w:r>
              <w:rPr>
                <w:rFonts w:hint="eastAsia" w:hAnsi="宋体"/>
                <w:sz w:val="24"/>
                <w:szCs w:val="24"/>
              </w:rPr>
              <w:t>环境影响评价法》（2018年12月29日修订）中有关规定，同时根据《建设项目环境影响评价分</w:t>
            </w:r>
            <w:r>
              <w:rPr>
                <w:sz w:val="24"/>
                <w:szCs w:val="24"/>
              </w:rPr>
              <w:t>类管理名录》（2021年版），</w:t>
            </w:r>
            <w:r>
              <w:rPr>
                <w:rFonts w:hAnsi="宋体"/>
                <w:sz w:val="24"/>
                <w:szCs w:val="24"/>
              </w:rPr>
              <w:t>本项目属于</w:t>
            </w:r>
            <w:r>
              <w:rPr>
                <w:rFonts w:ascii="宋体" w:hAnsi="宋体"/>
                <w:sz w:val="24"/>
                <w:szCs w:val="24"/>
              </w:rPr>
              <w:t>“二十一、文教、工美、体育和娱乐用品制造业</w:t>
            </w:r>
            <w:r>
              <w:rPr>
                <w:sz w:val="24"/>
                <w:szCs w:val="24"/>
              </w:rPr>
              <w:t>24</w:t>
            </w:r>
            <w:r>
              <w:rPr>
                <w:rFonts w:ascii="宋体" w:hAnsi="宋体"/>
                <w:sz w:val="24"/>
                <w:szCs w:val="24"/>
              </w:rPr>
              <w:t>”的“</w:t>
            </w:r>
            <w:r>
              <w:rPr>
                <w:rFonts w:hint="eastAsia"/>
                <w:sz w:val="24"/>
                <w:szCs w:val="24"/>
              </w:rPr>
              <w:t>40玩具制造245*</w:t>
            </w:r>
            <w:r>
              <w:rPr>
                <w:rFonts w:ascii="宋体" w:hAnsi="宋体"/>
                <w:sz w:val="24"/>
                <w:szCs w:val="24"/>
              </w:rPr>
              <w:t>”的“年用溶剂型处理剂</w:t>
            </w:r>
            <w:r>
              <w:rPr>
                <w:rFonts w:hint="eastAsia"/>
                <w:sz w:val="24"/>
                <w:szCs w:val="24"/>
              </w:rPr>
              <w:t>3吨及以上的</w:t>
            </w:r>
            <w:r>
              <w:rPr>
                <w:rFonts w:ascii="宋体" w:hAnsi="宋体"/>
                <w:sz w:val="24"/>
                <w:szCs w:val="24"/>
              </w:rPr>
              <w:t>”，建设项目应编制环境影响报告表</w:t>
            </w:r>
            <w:r>
              <w:rPr>
                <w:rFonts w:ascii="宋体" w:hAnsi="宋体"/>
                <w:sz w:val="24"/>
              </w:rPr>
              <w:t>。</w:t>
            </w:r>
          </w:p>
          <w:p w14:paraId="542CEDB7">
            <w:pPr>
              <w:autoSpaceDE w:val="0"/>
              <w:autoSpaceDN w:val="0"/>
              <w:adjustRightInd w:val="0"/>
              <w:snapToGrid w:val="0"/>
              <w:jc w:val="center"/>
              <w:rPr>
                <w:rFonts w:hAnsi="黑体" w:eastAsia="黑体"/>
                <w:szCs w:val="21"/>
              </w:rPr>
            </w:pPr>
            <w:r>
              <w:rPr>
                <w:rFonts w:hAnsi="黑体" w:eastAsia="黑体"/>
                <w:sz w:val="24"/>
                <w:szCs w:val="24"/>
              </w:rPr>
              <w:t>表</w:t>
            </w:r>
            <w:r>
              <w:rPr>
                <w:rFonts w:hint="eastAsia" w:hAnsi="黑体" w:eastAsia="黑体"/>
                <w:sz w:val="24"/>
                <w:szCs w:val="24"/>
              </w:rPr>
              <w:t>13</w:t>
            </w:r>
            <w:r>
              <w:rPr>
                <w:rFonts w:hAnsi="黑体" w:eastAsia="黑体"/>
                <w:sz w:val="24"/>
                <w:szCs w:val="24"/>
              </w:rPr>
              <w:t xml:space="preserve">  建设项目环境影响评价分类管理名录</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134"/>
              <w:gridCol w:w="1982"/>
              <w:gridCol w:w="3396"/>
              <w:gridCol w:w="945"/>
            </w:tblGrid>
            <w:tr w14:paraId="2FBF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14" w:type="pct"/>
                  <w:gridSpan w:val="2"/>
                  <w:tcBorders>
                    <w:top w:val="single" w:color="auto" w:sz="12" w:space="0"/>
                    <w:left w:val="nil"/>
                    <w:tl2br w:val="single" w:color="auto" w:sz="4" w:space="0"/>
                  </w:tcBorders>
                  <w:vAlign w:val="center"/>
                </w:tcPr>
                <w:p w14:paraId="22A871D1">
                  <w:pPr>
                    <w:autoSpaceDE w:val="0"/>
                    <w:autoSpaceDN w:val="0"/>
                    <w:spacing w:line="276" w:lineRule="auto"/>
                    <w:jc w:val="right"/>
                    <w:rPr>
                      <w:b/>
                      <w:szCs w:val="21"/>
                    </w:rPr>
                  </w:pPr>
                  <w:r>
                    <w:rPr>
                      <w:rFonts w:hAnsi="宋体"/>
                      <w:b/>
                      <w:szCs w:val="21"/>
                    </w:rPr>
                    <w:t>环评类别</w:t>
                  </w:r>
                </w:p>
                <w:p w14:paraId="6B56BFE4">
                  <w:pPr>
                    <w:spacing w:line="276" w:lineRule="auto"/>
                    <w:jc w:val="left"/>
                  </w:pPr>
                  <w:r>
                    <w:rPr>
                      <w:rFonts w:hAnsi="宋体"/>
                      <w:b/>
                      <w:szCs w:val="21"/>
                    </w:rPr>
                    <w:t>项目类别</w:t>
                  </w:r>
                </w:p>
              </w:tc>
              <w:tc>
                <w:tcPr>
                  <w:tcW w:w="1218" w:type="pct"/>
                  <w:tcBorders>
                    <w:top w:val="single" w:color="auto" w:sz="12" w:space="0"/>
                  </w:tcBorders>
                  <w:vAlign w:val="center"/>
                </w:tcPr>
                <w:p w14:paraId="3C17059E">
                  <w:pPr>
                    <w:autoSpaceDE w:val="0"/>
                    <w:autoSpaceDN w:val="0"/>
                    <w:spacing w:line="276" w:lineRule="auto"/>
                    <w:jc w:val="center"/>
                    <w:rPr>
                      <w:b/>
                      <w:szCs w:val="21"/>
                    </w:rPr>
                  </w:pPr>
                  <w:r>
                    <w:rPr>
                      <w:rFonts w:hAnsi="宋体"/>
                      <w:b/>
                      <w:szCs w:val="21"/>
                    </w:rPr>
                    <w:t>报告书</w:t>
                  </w:r>
                </w:p>
              </w:tc>
              <w:tc>
                <w:tcPr>
                  <w:tcW w:w="2087" w:type="pct"/>
                  <w:tcBorders>
                    <w:top w:val="single" w:color="auto" w:sz="12" w:space="0"/>
                  </w:tcBorders>
                  <w:shd w:val="clear" w:color="auto" w:fill="D9D9D9"/>
                  <w:vAlign w:val="center"/>
                </w:tcPr>
                <w:p w14:paraId="78CB42C8">
                  <w:pPr>
                    <w:autoSpaceDE w:val="0"/>
                    <w:autoSpaceDN w:val="0"/>
                    <w:spacing w:line="276" w:lineRule="auto"/>
                    <w:jc w:val="center"/>
                    <w:rPr>
                      <w:b/>
                      <w:szCs w:val="21"/>
                    </w:rPr>
                  </w:pPr>
                  <w:r>
                    <w:rPr>
                      <w:rFonts w:hAnsi="宋体"/>
                      <w:b/>
                      <w:szCs w:val="21"/>
                    </w:rPr>
                    <w:t>报告表</w:t>
                  </w:r>
                </w:p>
              </w:tc>
              <w:tc>
                <w:tcPr>
                  <w:tcW w:w="581" w:type="pct"/>
                  <w:tcBorders>
                    <w:top w:val="single" w:color="auto" w:sz="12" w:space="0"/>
                    <w:right w:val="nil"/>
                  </w:tcBorders>
                  <w:vAlign w:val="center"/>
                </w:tcPr>
                <w:p w14:paraId="16E4CF74">
                  <w:pPr>
                    <w:autoSpaceDE w:val="0"/>
                    <w:autoSpaceDN w:val="0"/>
                    <w:spacing w:line="276" w:lineRule="auto"/>
                    <w:jc w:val="center"/>
                    <w:rPr>
                      <w:b/>
                      <w:szCs w:val="21"/>
                    </w:rPr>
                  </w:pPr>
                  <w:r>
                    <w:rPr>
                      <w:rFonts w:hAnsi="宋体"/>
                      <w:b/>
                      <w:szCs w:val="21"/>
                    </w:rPr>
                    <w:t>登记表</w:t>
                  </w:r>
                </w:p>
              </w:tc>
            </w:tr>
            <w:tr w14:paraId="4600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5000" w:type="pct"/>
                  <w:gridSpan w:val="5"/>
                  <w:tcBorders>
                    <w:left w:val="nil"/>
                    <w:bottom w:val="single" w:color="auto" w:sz="4" w:space="0"/>
                    <w:right w:val="nil"/>
                  </w:tcBorders>
                  <w:vAlign w:val="center"/>
                </w:tcPr>
                <w:p w14:paraId="018F6EEE">
                  <w:pPr>
                    <w:spacing w:line="276" w:lineRule="auto"/>
                    <w:jc w:val="left"/>
                    <w:rPr>
                      <w:szCs w:val="21"/>
                    </w:rPr>
                  </w:pPr>
                  <w:r>
                    <w:rPr>
                      <w:szCs w:val="21"/>
                    </w:rPr>
                    <w:t>二十一、文教、工美、体育和娱乐用品制造业24</w:t>
                  </w:r>
                </w:p>
              </w:tc>
            </w:tr>
            <w:tr w14:paraId="575D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17" w:type="pct"/>
                  <w:tcBorders>
                    <w:left w:val="nil"/>
                    <w:bottom w:val="single" w:color="auto" w:sz="12" w:space="0"/>
                  </w:tcBorders>
                  <w:vAlign w:val="center"/>
                </w:tcPr>
                <w:p w14:paraId="7527AE64">
                  <w:pPr>
                    <w:spacing w:line="276" w:lineRule="auto"/>
                    <w:jc w:val="center"/>
                  </w:pPr>
                  <w:r>
                    <w:rPr>
                      <w:rFonts w:hint="eastAsia"/>
                    </w:rPr>
                    <w:t>40</w:t>
                  </w:r>
                </w:p>
              </w:tc>
              <w:tc>
                <w:tcPr>
                  <w:tcW w:w="697" w:type="pct"/>
                  <w:tcBorders>
                    <w:bottom w:val="single" w:color="auto" w:sz="12" w:space="0"/>
                  </w:tcBorders>
                  <w:vAlign w:val="center"/>
                </w:tcPr>
                <w:p w14:paraId="0CD5C4E1">
                  <w:pPr>
                    <w:spacing w:line="276" w:lineRule="auto"/>
                    <w:jc w:val="center"/>
                  </w:pPr>
                  <w:r>
                    <w:rPr>
                      <w:rFonts w:hint="eastAsia"/>
                    </w:rPr>
                    <w:t>玩具制造245*</w:t>
                  </w:r>
                </w:p>
              </w:tc>
              <w:tc>
                <w:tcPr>
                  <w:tcW w:w="1218" w:type="pct"/>
                  <w:tcBorders>
                    <w:bottom w:val="single" w:color="auto" w:sz="12" w:space="0"/>
                  </w:tcBorders>
                  <w:vAlign w:val="center"/>
                </w:tcPr>
                <w:p w14:paraId="1F7DD29F">
                  <w:pPr>
                    <w:spacing w:line="276" w:lineRule="auto"/>
                    <w:jc w:val="center"/>
                  </w:pPr>
                  <w:r>
                    <w:t>有电镀工艺的</w:t>
                  </w:r>
                  <w:r>
                    <w:rPr>
                      <w:rFonts w:hint="eastAsia"/>
                    </w:rPr>
                    <w:t>；</w:t>
                  </w:r>
                  <w:r>
                    <w:t>年用溶剂型涂料</w:t>
                  </w:r>
                  <w:r>
                    <w:rPr>
                      <w:rFonts w:hint="eastAsia"/>
                    </w:rPr>
                    <w:t>（含稀释剂）10吨及以上的</w:t>
                  </w:r>
                </w:p>
              </w:tc>
              <w:tc>
                <w:tcPr>
                  <w:tcW w:w="2087" w:type="pct"/>
                  <w:tcBorders>
                    <w:bottom w:val="single" w:color="auto" w:sz="12" w:space="0"/>
                  </w:tcBorders>
                  <w:shd w:val="clear" w:color="auto" w:fill="D9D9D9"/>
                  <w:vAlign w:val="center"/>
                </w:tcPr>
                <w:p w14:paraId="5779053C">
                  <w:pPr>
                    <w:jc w:val="center"/>
                  </w:pPr>
                  <w:r>
                    <w:t>有橡胶硫化工艺、塑料注塑工艺的；年用溶剂型涂料（含稀释剂）10吨以下的，或年用非溶剂型低VOCs含量涂料10吨及以上的；年用溶剂型胶粘剂10吨及以上的，或年用溶剂型处理剂3吨及以上的</w:t>
                  </w:r>
                </w:p>
              </w:tc>
              <w:tc>
                <w:tcPr>
                  <w:tcW w:w="581" w:type="pct"/>
                  <w:tcBorders>
                    <w:bottom w:val="single" w:color="auto" w:sz="12" w:space="0"/>
                    <w:right w:val="nil"/>
                  </w:tcBorders>
                  <w:vAlign w:val="center"/>
                </w:tcPr>
                <w:p w14:paraId="35012BB0">
                  <w:pPr>
                    <w:spacing w:line="276" w:lineRule="auto"/>
                    <w:jc w:val="center"/>
                  </w:pPr>
                  <w:r>
                    <w:rPr>
                      <w:rFonts w:hint="eastAsia"/>
                      <w:szCs w:val="21"/>
                    </w:rPr>
                    <w:t>/</w:t>
                  </w:r>
                </w:p>
              </w:tc>
            </w:tr>
          </w:tbl>
          <w:p w14:paraId="40D7B305">
            <w:pPr>
              <w:spacing w:line="360" w:lineRule="auto"/>
              <w:ind w:firstLine="480" w:firstLineChars="200"/>
              <w:rPr>
                <w:kern w:val="0"/>
                <w:sz w:val="24"/>
                <w:szCs w:val="24"/>
              </w:rPr>
            </w:pPr>
            <w:r>
              <w:rPr>
                <w:rFonts w:hint="eastAsia"/>
                <w:sz w:val="24"/>
                <w:szCs w:val="24"/>
              </w:rPr>
              <w:t>淮南市梦趣玩具有限公司</w:t>
            </w:r>
            <w:r>
              <w:rPr>
                <w:rFonts w:hint="eastAsia" w:ascii="宋体" w:hAnsi="宋体" w:cs="宋体"/>
                <w:kern w:val="0"/>
                <w:sz w:val="24"/>
                <w:szCs w:val="24"/>
              </w:rPr>
              <w:t>于</w:t>
            </w:r>
            <w:r>
              <w:rPr>
                <w:sz w:val="24"/>
                <w:szCs w:val="24"/>
              </w:rPr>
              <w:t>20</w:t>
            </w:r>
            <w:r>
              <w:rPr>
                <w:rFonts w:hint="eastAsia"/>
                <w:sz w:val="24"/>
                <w:szCs w:val="24"/>
              </w:rPr>
              <w:t>23</w:t>
            </w:r>
            <w:r>
              <w:rPr>
                <w:rFonts w:hint="eastAsia" w:hAnsi="宋体"/>
                <w:sz w:val="24"/>
                <w:szCs w:val="24"/>
              </w:rPr>
              <w:t>年</w:t>
            </w:r>
            <w:r>
              <w:rPr>
                <w:sz w:val="24"/>
                <w:szCs w:val="24"/>
              </w:rPr>
              <w:t>10</w:t>
            </w:r>
            <w:r>
              <w:rPr>
                <w:rFonts w:hint="eastAsia"/>
                <w:sz w:val="24"/>
                <w:szCs w:val="24"/>
              </w:rPr>
              <w:t>月</w:t>
            </w:r>
            <w:r>
              <w:rPr>
                <w:rFonts w:hint="eastAsia" w:hAnsi="宋体"/>
                <w:sz w:val="24"/>
                <w:szCs w:val="24"/>
              </w:rPr>
              <w:t>委托我公司为该项目进行环境影响评价。我公司在接受委托后，立即到现场踏勘，认真了解项目所在区域的周边环境情况，收集有关资料，编写完成本项目的环境影响报告表，现呈报生态环境主管部门审批。</w:t>
            </w:r>
          </w:p>
          <w:p w14:paraId="50B2AA7F">
            <w:pPr>
              <w:spacing w:line="360" w:lineRule="auto"/>
              <w:ind w:firstLine="482" w:firstLineChars="200"/>
              <w:rPr>
                <w:b/>
                <w:sz w:val="24"/>
              </w:rPr>
            </w:pPr>
            <w:r>
              <w:rPr>
                <w:rFonts w:hint="eastAsia"/>
                <w:b/>
                <w:sz w:val="24"/>
              </w:rPr>
              <w:t>2、项目基本情况</w:t>
            </w:r>
          </w:p>
          <w:p w14:paraId="74CF04F5">
            <w:pPr>
              <w:spacing w:line="360" w:lineRule="auto"/>
              <w:ind w:firstLine="480" w:firstLineChars="200"/>
              <w:rPr>
                <w:sz w:val="24"/>
                <w:szCs w:val="28"/>
              </w:rPr>
            </w:pPr>
            <w:r>
              <w:rPr>
                <w:rFonts w:hint="eastAsia"/>
                <w:sz w:val="24"/>
                <w:szCs w:val="28"/>
              </w:rPr>
              <w:t>（1）</w:t>
            </w:r>
            <w:r>
              <w:rPr>
                <w:sz w:val="24"/>
                <w:szCs w:val="28"/>
              </w:rPr>
              <w:t>项目名称</w:t>
            </w:r>
            <w:r>
              <w:rPr>
                <w:rFonts w:hint="eastAsia"/>
                <w:sz w:val="24"/>
                <w:szCs w:val="28"/>
              </w:rPr>
              <w:t>：年产9000万只荧光棒生产线建设项目</w:t>
            </w:r>
          </w:p>
          <w:p w14:paraId="1CF7D27D">
            <w:pPr>
              <w:spacing w:line="360" w:lineRule="auto"/>
              <w:ind w:firstLine="480" w:firstLineChars="200"/>
              <w:rPr>
                <w:sz w:val="24"/>
                <w:szCs w:val="28"/>
              </w:rPr>
            </w:pPr>
            <w:r>
              <w:rPr>
                <w:rFonts w:hint="eastAsia"/>
                <w:sz w:val="24"/>
                <w:szCs w:val="28"/>
              </w:rPr>
              <w:t>（2）</w:t>
            </w:r>
            <w:r>
              <w:rPr>
                <w:sz w:val="24"/>
                <w:szCs w:val="28"/>
              </w:rPr>
              <w:t>建设单位</w:t>
            </w:r>
            <w:r>
              <w:rPr>
                <w:rFonts w:hint="eastAsia"/>
                <w:sz w:val="24"/>
                <w:szCs w:val="28"/>
              </w:rPr>
              <w:t>：</w:t>
            </w:r>
            <w:r>
              <w:rPr>
                <w:rFonts w:hint="eastAsia"/>
                <w:sz w:val="24"/>
                <w:szCs w:val="24"/>
              </w:rPr>
              <w:t>淮南市梦趣玩具有限公司</w:t>
            </w:r>
          </w:p>
          <w:p w14:paraId="699AA957">
            <w:pPr>
              <w:spacing w:line="360" w:lineRule="auto"/>
              <w:ind w:firstLine="480" w:firstLineChars="200"/>
              <w:rPr>
                <w:sz w:val="24"/>
                <w:szCs w:val="28"/>
              </w:rPr>
            </w:pPr>
            <w:r>
              <w:rPr>
                <w:rFonts w:hint="eastAsia"/>
                <w:sz w:val="24"/>
                <w:szCs w:val="28"/>
              </w:rPr>
              <w:t>（3）</w:t>
            </w:r>
            <w:r>
              <w:rPr>
                <w:sz w:val="24"/>
                <w:szCs w:val="28"/>
              </w:rPr>
              <w:t>项目性质</w:t>
            </w:r>
            <w:r>
              <w:rPr>
                <w:rFonts w:hint="eastAsia"/>
                <w:sz w:val="24"/>
                <w:szCs w:val="28"/>
              </w:rPr>
              <w:t>：新建</w:t>
            </w:r>
          </w:p>
          <w:p w14:paraId="283883EA">
            <w:pPr>
              <w:spacing w:line="360" w:lineRule="auto"/>
              <w:ind w:firstLine="480" w:firstLineChars="200"/>
              <w:rPr>
                <w:sz w:val="24"/>
                <w:szCs w:val="28"/>
              </w:rPr>
            </w:pPr>
            <w:r>
              <w:rPr>
                <w:rFonts w:hint="eastAsia"/>
                <w:sz w:val="24"/>
                <w:szCs w:val="28"/>
              </w:rPr>
              <w:t>（4）项目建设地点：</w:t>
            </w:r>
            <w:r>
              <w:rPr>
                <w:rFonts w:hint="eastAsia" w:hAnsi="宋体"/>
                <w:sz w:val="24"/>
              </w:rPr>
              <w:t>本项目位于</w:t>
            </w:r>
            <w:r>
              <w:rPr>
                <w:rFonts w:hint="eastAsia"/>
                <w:sz w:val="24"/>
              </w:rPr>
              <w:t>安徽省淮南市毛集经济开发区工业城2号楼1层和3层</w:t>
            </w:r>
            <w:r>
              <w:rPr>
                <w:rFonts w:hint="eastAsia"/>
                <w:sz w:val="24"/>
                <w:szCs w:val="28"/>
              </w:rPr>
              <w:t>。2层为其他工业企业（安徽凯曼服饰科技有限公司），所属行业类别为服装制造行业，与本项目生产不冲突。1层、3层建筑面积均为1400m</w:t>
            </w:r>
            <w:r>
              <w:rPr>
                <w:rFonts w:hint="eastAsia"/>
                <w:sz w:val="24"/>
                <w:szCs w:val="28"/>
                <w:vertAlign w:val="superscript"/>
              </w:rPr>
              <w:t>2</w:t>
            </w:r>
            <w:r>
              <w:rPr>
                <w:rFonts w:hint="eastAsia"/>
                <w:sz w:val="24"/>
                <w:szCs w:val="28"/>
              </w:rPr>
              <w:t>，项目中心位置地理坐标为（</w:t>
            </w:r>
            <w:r>
              <w:rPr>
                <w:rFonts w:hint="eastAsia"/>
                <w:kern w:val="0"/>
                <w:sz w:val="24"/>
                <w:szCs w:val="24"/>
              </w:rPr>
              <w:t>E：</w:t>
            </w:r>
            <w:r>
              <w:rPr>
                <w:sz w:val="24"/>
                <w:szCs w:val="24"/>
              </w:rPr>
              <w:t>116</w:t>
            </w:r>
            <w:r>
              <w:rPr>
                <w:rFonts w:hint="eastAsia" w:ascii="宋体" w:hAnsi="宋体" w:cs="宋体"/>
                <w:sz w:val="24"/>
                <w:szCs w:val="24"/>
              </w:rPr>
              <w:t>°</w:t>
            </w:r>
            <w:r>
              <w:rPr>
                <w:rFonts w:hint="eastAsia"/>
                <w:sz w:val="24"/>
                <w:szCs w:val="24"/>
              </w:rPr>
              <w:t>35</w:t>
            </w:r>
            <w:r>
              <w:rPr>
                <w:rFonts w:hint="eastAsia" w:ascii="宋体" w:hAnsi="宋体" w:cs="宋体"/>
                <w:sz w:val="24"/>
                <w:szCs w:val="24"/>
              </w:rPr>
              <w:t>′</w:t>
            </w:r>
            <w:r>
              <w:rPr>
                <w:rFonts w:hint="eastAsia"/>
                <w:sz w:val="24"/>
                <w:szCs w:val="24"/>
              </w:rPr>
              <w:t>42.612</w:t>
            </w:r>
            <w:r>
              <w:rPr>
                <w:rFonts w:hint="eastAsia" w:ascii="宋体" w:hAnsi="宋体" w:cs="宋体"/>
                <w:sz w:val="24"/>
                <w:szCs w:val="24"/>
              </w:rPr>
              <w:t>″，</w:t>
            </w:r>
            <w:r>
              <w:rPr>
                <w:rFonts w:hint="eastAsia"/>
                <w:kern w:val="0"/>
                <w:sz w:val="24"/>
                <w:szCs w:val="24"/>
              </w:rPr>
              <w:t>N：</w:t>
            </w:r>
            <w:r>
              <w:rPr>
                <w:sz w:val="24"/>
                <w:szCs w:val="24"/>
              </w:rPr>
              <w:t>3</w:t>
            </w:r>
            <w:r>
              <w:rPr>
                <w:rFonts w:hint="eastAsia"/>
                <w:sz w:val="24"/>
                <w:szCs w:val="24"/>
              </w:rPr>
              <w:t>2</w:t>
            </w:r>
            <w:r>
              <w:rPr>
                <w:rFonts w:hint="eastAsia" w:ascii="宋体" w:hAnsi="宋体" w:cs="宋体"/>
                <w:sz w:val="24"/>
                <w:szCs w:val="24"/>
              </w:rPr>
              <w:t>°</w:t>
            </w:r>
            <w:r>
              <w:rPr>
                <w:rFonts w:hint="eastAsia"/>
                <w:sz w:val="24"/>
                <w:szCs w:val="24"/>
              </w:rPr>
              <w:t>39</w:t>
            </w:r>
            <w:r>
              <w:rPr>
                <w:rFonts w:hint="eastAsia" w:ascii="宋体" w:hAnsi="宋体" w:cs="宋体"/>
                <w:sz w:val="24"/>
                <w:szCs w:val="24"/>
              </w:rPr>
              <w:t>′</w:t>
            </w:r>
            <w:r>
              <w:rPr>
                <w:rFonts w:hint="eastAsia"/>
                <w:sz w:val="24"/>
                <w:szCs w:val="24"/>
              </w:rPr>
              <w:t>34.417</w:t>
            </w:r>
            <w:r>
              <w:rPr>
                <w:rFonts w:hint="eastAsia" w:ascii="宋体" w:hAnsi="宋体" w:cs="宋体"/>
                <w:sz w:val="24"/>
                <w:szCs w:val="24"/>
              </w:rPr>
              <w:t>″</w:t>
            </w:r>
            <w:r>
              <w:rPr>
                <w:rFonts w:hint="eastAsia"/>
                <w:sz w:val="24"/>
                <w:szCs w:val="28"/>
              </w:rPr>
              <w:t>）。本项目地理位置见附图1。</w:t>
            </w:r>
          </w:p>
          <w:p w14:paraId="18E78FB0">
            <w:pPr>
              <w:pStyle w:val="8"/>
              <w:spacing w:line="360" w:lineRule="auto"/>
              <w:ind w:firstLine="480" w:firstLineChars="200"/>
              <w:rPr>
                <w:sz w:val="24"/>
                <w:szCs w:val="28"/>
              </w:rPr>
            </w:pPr>
            <w:r>
              <w:rPr>
                <w:rFonts w:hint="eastAsia"/>
                <w:sz w:val="24"/>
                <w:szCs w:val="28"/>
              </w:rPr>
              <w:t>（</w:t>
            </w:r>
            <w:r>
              <w:rPr>
                <w:sz w:val="24"/>
                <w:szCs w:val="28"/>
              </w:rPr>
              <w:t>5</w:t>
            </w:r>
            <w:r>
              <w:rPr>
                <w:rFonts w:hint="eastAsia"/>
                <w:sz w:val="24"/>
                <w:szCs w:val="28"/>
              </w:rPr>
              <w:t>）项目投资：项目总投资</w:t>
            </w:r>
            <w:r>
              <w:rPr>
                <w:rFonts w:hint="eastAsia"/>
                <w:sz w:val="24"/>
                <w:szCs w:val="24"/>
              </w:rPr>
              <w:t>5000</w:t>
            </w:r>
            <w:r>
              <w:rPr>
                <w:rFonts w:hint="eastAsia"/>
                <w:sz w:val="24"/>
                <w:szCs w:val="28"/>
              </w:rPr>
              <w:t>万元，其中环保投资250万元，占总投资5</w:t>
            </w:r>
            <w:r>
              <w:rPr>
                <w:sz w:val="24"/>
                <w:szCs w:val="28"/>
              </w:rPr>
              <w:t>%</w:t>
            </w:r>
            <w:r>
              <w:rPr>
                <w:rFonts w:hint="eastAsia"/>
                <w:sz w:val="24"/>
                <w:szCs w:val="28"/>
              </w:rPr>
              <w:t>。</w:t>
            </w:r>
          </w:p>
          <w:p w14:paraId="7DC977BD">
            <w:pPr>
              <w:spacing w:line="360" w:lineRule="auto"/>
              <w:ind w:firstLine="482" w:firstLineChars="200"/>
              <w:rPr>
                <w:b/>
                <w:sz w:val="24"/>
              </w:rPr>
            </w:pPr>
            <w:r>
              <w:rPr>
                <w:rFonts w:hint="eastAsia"/>
                <w:b/>
                <w:sz w:val="24"/>
              </w:rPr>
              <w:t>3</w:t>
            </w:r>
            <w:r>
              <w:rPr>
                <w:b/>
                <w:sz w:val="24"/>
              </w:rPr>
              <w:t>、</w:t>
            </w:r>
            <w:r>
              <w:rPr>
                <w:rFonts w:hint="eastAsia"/>
                <w:b/>
                <w:sz w:val="24"/>
              </w:rPr>
              <w:t>项目</w:t>
            </w:r>
            <w:r>
              <w:rPr>
                <w:b/>
                <w:sz w:val="24"/>
              </w:rPr>
              <w:t>组成</w:t>
            </w:r>
          </w:p>
          <w:p w14:paraId="76AC8422">
            <w:pPr>
              <w:spacing w:line="440" w:lineRule="exact"/>
              <w:ind w:firstLine="480" w:firstLineChars="200"/>
              <w:rPr>
                <w:rFonts w:hAnsi="宋体"/>
                <w:kern w:val="0"/>
                <w:sz w:val="24"/>
              </w:rPr>
            </w:pPr>
            <w:r>
              <w:rPr>
                <w:rFonts w:hint="eastAsia" w:hAnsi="宋体"/>
                <w:kern w:val="0"/>
                <w:sz w:val="24"/>
              </w:rPr>
              <w:t>项目建设内容见下表。</w:t>
            </w:r>
          </w:p>
          <w:p w14:paraId="69D260D3">
            <w:pPr>
              <w:autoSpaceDE w:val="0"/>
              <w:autoSpaceDN w:val="0"/>
              <w:adjustRightInd w:val="0"/>
              <w:snapToGrid w:val="0"/>
              <w:spacing w:line="276" w:lineRule="auto"/>
              <w:jc w:val="center"/>
              <w:rPr>
                <w:rFonts w:ascii="黑体" w:hAnsi="黑体" w:eastAsia="黑体"/>
                <w:bCs/>
                <w:szCs w:val="21"/>
              </w:rPr>
            </w:pPr>
            <w:r>
              <w:rPr>
                <w:rFonts w:hAnsi="黑体" w:eastAsia="黑体"/>
                <w:sz w:val="24"/>
                <w:szCs w:val="24"/>
              </w:rPr>
              <w:t>表</w:t>
            </w:r>
            <w:r>
              <w:rPr>
                <w:rFonts w:hint="eastAsia" w:hAnsi="黑体" w:eastAsia="黑体"/>
                <w:sz w:val="24"/>
                <w:szCs w:val="24"/>
              </w:rPr>
              <w:t>14</w:t>
            </w:r>
            <w:r>
              <w:rPr>
                <w:rFonts w:hAnsi="黑体" w:eastAsia="黑体"/>
                <w:sz w:val="24"/>
                <w:szCs w:val="24"/>
              </w:rPr>
              <w:t xml:space="preserve">  项目建设组成一览表</w:t>
            </w:r>
          </w:p>
          <w:tbl>
            <w:tblPr>
              <w:tblStyle w:val="3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91"/>
              <w:gridCol w:w="708"/>
              <w:gridCol w:w="1136"/>
              <w:gridCol w:w="3557"/>
              <w:gridCol w:w="922"/>
              <w:gridCol w:w="732"/>
            </w:tblGrid>
            <w:tr w14:paraId="546039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Align w:val="center"/>
                </w:tcPr>
                <w:p w14:paraId="2BD34F82">
                  <w:pPr>
                    <w:spacing w:line="276" w:lineRule="auto"/>
                    <w:contextualSpacing/>
                    <w:jc w:val="center"/>
                    <w:rPr>
                      <w:b/>
                      <w:bCs/>
                      <w:szCs w:val="21"/>
                    </w:rPr>
                  </w:pPr>
                  <w:r>
                    <w:rPr>
                      <w:b/>
                      <w:bCs/>
                      <w:szCs w:val="21"/>
                    </w:rPr>
                    <w:t>工程</w:t>
                  </w:r>
                </w:p>
                <w:p w14:paraId="76A99512">
                  <w:pPr>
                    <w:spacing w:line="276" w:lineRule="auto"/>
                    <w:contextualSpacing/>
                    <w:jc w:val="center"/>
                    <w:rPr>
                      <w:b/>
                      <w:bCs/>
                      <w:szCs w:val="21"/>
                    </w:rPr>
                  </w:pPr>
                  <w:r>
                    <w:rPr>
                      <w:b/>
                      <w:bCs/>
                      <w:szCs w:val="21"/>
                    </w:rPr>
                    <w:t>类别</w:t>
                  </w:r>
                </w:p>
              </w:tc>
              <w:tc>
                <w:tcPr>
                  <w:tcW w:w="1132" w:type="pct"/>
                  <w:gridSpan w:val="2"/>
                  <w:vAlign w:val="center"/>
                </w:tcPr>
                <w:p w14:paraId="3DD50043">
                  <w:pPr>
                    <w:spacing w:line="276" w:lineRule="auto"/>
                    <w:contextualSpacing/>
                    <w:jc w:val="center"/>
                    <w:rPr>
                      <w:b/>
                      <w:bCs/>
                      <w:szCs w:val="21"/>
                    </w:rPr>
                  </w:pPr>
                  <w:r>
                    <w:rPr>
                      <w:b/>
                      <w:bCs/>
                      <w:szCs w:val="21"/>
                    </w:rPr>
                    <w:t>单项工程名</w:t>
                  </w:r>
                  <w:r>
                    <w:rPr>
                      <w:rFonts w:hint="eastAsia"/>
                      <w:b/>
                      <w:bCs/>
                      <w:szCs w:val="21"/>
                    </w:rPr>
                    <w:t>称</w:t>
                  </w:r>
                </w:p>
              </w:tc>
              <w:tc>
                <w:tcPr>
                  <w:tcW w:w="2183" w:type="pct"/>
                  <w:vAlign w:val="center"/>
                </w:tcPr>
                <w:p w14:paraId="15D583EF">
                  <w:pPr>
                    <w:spacing w:line="276" w:lineRule="auto"/>
                    <w:contextualSpacing/>
                    <w:jc w:val="center"/>
                    <w:rPr>
                      <w:b/>
                      <w:bCs/>
                      <w:szCs w:val="21"/>
                    </w:rPr>
                  </w:pPr>
                  <w:r>
                    <w:rPr>
                      <w:b/>
                      <w:bCs/>
                      <w:szCs w:val="21"/>
                    </w:rPr>
                    <w:t>工程</w:t>
                  </w:r>
                  <w:r>
                    <w:rPr>
                      <w:rFonts w:hint="eastAsia"/>
                      <w:b/>
                      <w:bCs/>
                      <w:szCs w:val="21"/>
                    </w:rPr>
                    <w:t>建设</w:t>
                  </w:r>
                  <w:r>
                    <w:rPr>
                      <w:b/>
                      <w:bCs/>
                      <w:szCs w:val="21"/>
                    </w:rPr>
                    <w:t>内容</w:t>
                  </w:r>
                </w:p>
              </w:tc>
              <w:tc>
                <w:tcPr>
                  <w:tcW w:w="1015" w:type="pct"/>
                  <w:gridSpan w:val="2"/>
                  <w:vAlign w:val="center"/>
                </w:tcPr>
                <w:p w14:paraId="2D9A9AA3">
                  <w:pPr>
                    <w:spacing w:line="276" w:lineRule="auto"/>
                    <w:contextualSpacing/>
                    <w:jc w:val="center"/>
                    <w:rPr>
                      <w:b/>
                      <w:bCs/>
                      <w:szCs w:val="21"/>
                    </w:rPr>
                  </w:pPr>
                  <w:r>
                    <w:rPr>
                      <w:rFonts w:hint="eastAsia"/>
                      <w:b/>
                      <w:bCs/>
                      <w:szCs w:val="21"/>
                    </w:rPr>
                    <w:t>工程规模</w:t>
                  </w:r>
                </w:p>
              </w:tc>
            </w:tr>
            <w:tr w14:paraId="6BB684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restart"/>
                  <w:vAlign w:val="center"/>
                </w:tcPr>
                <w:p w14:paraId="30A2727D">
                  <w:pPr>
                    <w:spacing w:line="276" w:lineRule="auto"/>
                    <w:contextualSpacing/>
                    <w:jc w:val="center"/>
                    <w:rPr>
                      <w:bCs/>
                      <w:szCs w:val="21"/>
                    </w:rPr>
                  </w:pPr>
                  <w:r>
                    <w:rPr>
                      <w:bCs/>
                      <w:szCs w:val="21"/>
                    </w:rPr>
                    <w:t>主体工程</w:t>
                  </w:r>
                </w:p>
              </w:tc>
              <w:tc>
                <w:tcPr>
                  <w:tcW w:w="435" w:type="pct"/>
                  <w:vMerge w:val="restart"/>
                  <w:vAlign w:val="center"/>
                </w:tcPr>
                <w:p w14:paraId="6A55C9D9">
                  <w:pPr>
                    <w:spacing w:line="276" w:lineRule="auto"/>
                    <w:contextualSpacing/>
                    <w:jc w:val="center"/>
                    <w:rPr>
                      <w:bCs/>
                      <w:szCs w:val="21"/>
                    </w:rPr>
                  </w:pPr>
                  <w:r>
                    <w:rPr>
                      <w:bCs/>
                      <w:szCs w:val="21"/>
                    </w:rPr>
                    <w:t>生产车间</w:t>
                  </w:r>
                </w:p>
              </w:tc>
              <w:tc>
                <w:tcPr>
                  <w:tcW w:w="697" w:type="pct"/>
                  <w:vAlign w:val="center"/>
                </w:tcPr>
                <w:p w14:paraId="39D641D8">
                  <w:pPr>
                    <w:spacing w:line="276" w:lineRule="auto"/>
                    <w:contextualSpacing/>
                    <w:jc w:val="center"/>
                    <w:rPr>
                      <w:bCs/>
                      <w:szCs w:val="21"/>
                    </w:rPr>
                  </w:pPr>
                  <w:r>
                    <w:rPr>
                      <w:rFonts w:hint="eastAsia"/>
                      <w:bCs/>
                      <w:szCs w:val="21"/>
                    </w:rPr>
                    <w:t>玻璃管灌装、加工车间</w:t>
                  </w:r>
                </w:p>
              </w:tc>
              <w:tc>
                <w:tcPr>
                  <w:tcW w:w="2183" w:type="pct"/>
                  <w:vAlign w:val="center"/>
                </w:tcPr>
                <w:p w14:paraId="317DA6C8">
                  <w:pPr>
                    <w:snapToGrid w:val="0"/>
                    <w:spacing w:line="264" w:lineRule="auto"/>
                    <w:jc w:val="center"/>
                    <w:rPr>
                      <w:bCs/>
                      <w:szCs w:val="21"/>
                    </w:rPr>
                  </w:pPr>
                  <w:r>
                    <w:rPr>
                      <w:bCs/>
                      <w:szCs w:val="21"/>
                    </w:rPr>
                    <w:t>位于生产厂房</w:t>
                  </w:r>
                  <w:r>
                    <w:rPr>
                      <w:rFonts w:hint="eastAsia"/>
                      <w:bCs/>
                      <w:szCs w:val="21"/>
                    </w:rPr>
                    <w:t>3层</w:t>
                  </w:r>
                  <w:r>
                    <w:rPr>
                      <w:bCs/>
                      <w:szCs w:val="21"/>
                    </w:rPr>
                    <w:t>北部</w:t>
                  </w:r>
                  <w:r>
                    <w:rPr>
                      <w:rFonts w:hint="eastAsia"/>
                      <w:bCs/>
                      <w:szCs w:val="21"/>
                    </w:rPr>
                    <w:t>（厂房共4层，层高4.0m）</w:t>
                  </w:r>
                  <w:r>
                    <w:rPr>
                      <w:bCs/>
                      <w:szCs w:val="21"/>
                    </w:rPr>
                    <w:t>，主要布设</w:t>
                  </w:r>
                  <w:r>
                    <w:rPr>
                      <w:rFonts w:hint="eastAsia"/>
                      <w:bCs/>
                      <w:szCs w:val="21"/>
                    </w:rPr>
                    <w:t>1台</w:t>
                  </w:r>
                  <w:r>
                    <w:rPr>
                      <w:bCs/>
                      <w:szCs w:val="21"/>
                    </w:rPr>
                    <w:t>液体搅拌机及</w:t>
                  </w:r>
                  <w:r>
                    <w:rPr>
                      <w:rFonts w:hint="eastAsia"/>
                      <w:bCs/>
                      <w:szCs w:val="21"/>
                    </w:rPr>
                    <w:t>6台</w:t>
                  </w:r>
                  <w:r>
                    <w:rPr>
                      <w:bCs/>
                      <w:szCs w:val="21"/>
                    </w:rPr>
                    <w:t>玻璃热熔封口机、</w:t>
                  </w:r>
                  <w:r>
                    <w:rPr>
                      <w:rFonts w:hint="eastAsia"/>
                      <w:bCs/>
                      <w:szCs w:val="21"/>
                    </w:rPr>
                    <w:t>1台真空抽液机、1台</w:t>
                  </w:r>
                  <w:r>
                    <w:rPr>
                      <w:bCs/>
                      <w:szCs w:val="21"/>
                    </w:rPr>
                    <w:t>离心机等设备，建设玻璃管灌装、加工生产线</w:t>
                  </w:r>
                </w:p>
              </w:tc>
              <w:tc>
                <w:tcPr>
                  <w:tcW w:w="566" w:type="pct"/>
                  <w:vAlign w:val="center"/>
                </w:tcPr>
                <w:p w14:paraId="4C8E384C">
                  <w:pPr>
                    <w:spacing w:line="276" w:lineRule="auto"/>
                    <w:contextualSpacing/>
                    <w:jc w:val="center"/>
                    <w:rPr>
                      <w:bCs/>
                      <w:szCs w:val="21"/>
                    </w:rPr>
                  </w:pPr>
                  <w:r>
                    <w:rPr>
                      <w:bCs/>
                      <w:szCs w:val="21"/>
                    </w:rPr>
                    <w:t>建筑面积为</w:t>
                  </w:r>
                  <w:r>
                    <w:rPr>
                      <w:rFonts w:hint="eastAsia"/>
                      <w:bCs/>
                      <w:szCs w:val="21"/>
                    </w:rPr>
                    <w:t>110m</w:t>
                  </w:r>
                  <w:r>
                    <w:rPr>
                      <w:rFonts w:hint="eastAsia"/>
                      <w:bCs/>
                      <w:szCs w:val="21"/>
                      <w:vertAlign w:val="superscript"/>
                    </w:rPr>
                    <w:t>2</w:t>
                  </w:r>
                </w:p>
              </w:tc>
              <w:tc>
                <w:tcPr>
                  <w:tcW w:w="449" w:type="pct"/>
                  <w:vMerge w:val="restart"/>
                  <w:vAlign w:val="center"/>
                </w:tcPr>
                <w:p w14:paraId="48A9DF8F">
                  <w:pPr>
                    <w:spacing w:line="276" w:lineRule="auto"/>
                    <w:contextualSpacing/>
                    <w:jc w:val="center"/>
                    <w:rPr>
                      <w:bCs/>
                      <w:szCs w:val="21"/>
                    </w:rPr>
                  </w:pPr>
                  <w:r>
                    <w:rPr>
                      <w:bCs/>
                      <w:szCs w:val="21"/>
                    </w:rPr>
                    <w:t>年产</w:t>
                  </w:r>
                  <w:r>
                    <w:rPr>
                      <w:rFonts w:hint="eastAsia"/>
                      <w:bCs/>
                      <w:szCs w:val="21"/>
                    </w:rPr>
                    <w:t>9000万只荧光棒</w:t>
                  </w:r>
                </w:p>
              </w:tc>
            </w:tr>
            <w:tr w14:paraId="1CBF2D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6F25949D">
                  <w:pPr>
                    <w:spacing w:line="276" w:lineRule="auto"/>
                    <w:contextualSpacing/>
                    <w:jc w:val="center"/>
                    <w:rPr>
                      <w:bCs/>
                      <w:szCs w:val="21"/>
                    </w:rPr>
                  </w:pPr>
                </w:p>
              </w:tc>
              <w:tc>
                <w:tcPr>
                  <w:tcW w:w="435" w:type="pct"/>
                  <w:vMerge w:val="continue"/>
                  <w:vAlign w:val="center"/>
                </w:tcPr>
                <w:p w14:paraId="7FAA2850">
                  <w:pPr>
                    <w:spacing w:line="276" w:lineRule="auto"/>
                    <w:contextualSpacing/>
                    <w:jc w:val="center"/>
                    <w:rPr>
                      <w:bCs/>
                      <w:szCs w:val="21"/>
                    </w:rPr>
                  </w:pPr>
                </w:p>
              </w:tc>
              <w:tc>
                <w:tcPr>
                  <w:tcW w:w="697" w:type="pct"/>
                  <w:vAlign w:val="center"/>
                </w:tcPr>
                <w:p w14:paraId="36EB6AF2">
                  <w:pPr>
                    <w:spacing w:line="276" w:lineRule="auto"/>
                    <w:contextualSpacing/>
                    <w:jc w:val="center"/>
                    <w:rPr>
                      <w:bCs/>
                      <w:szCs w:val="21"/>
                    </w:rPr>
                  </w:pPr>
                  <w:r>
                    <w:rPr>
                      <w:bCs/>
                      <w:szCs w:val="21"/>
                    </w:rPr>
                    <w:t>塑料管灌装车间</w:t>
                  </w:r>
                </w:p>
              </w:tc>
              <w:tc>
                <w:tcPr>
                  <w:tcW w:w="2183" w:type="pct"/>
                  <w:vAlign w:val="center"/>
                </w:tcPr>
                <w:p w14:paraId="20D6E1EE">
                  <w:pPr>
                    <w:snapToGrid w:val="0"/>
                    <w:spacing w:line="264" w:lineRule="auto"/>
                    <w:jc w:val="center"/>
                    <w:rPr>
                      <w:bCs/>
                      <w:szCs w:val="21"/>
                    </w:rPr>
                  </w:pPr>
                  <w:r>
                    <w:rPr>
                      <w:bCs/>
                      <w:szCs w:val="21"/>
                    </w:rPr>
                    <w:t>位于生产厂房</w:t>
                  </w:r>
                  <w:r>
                    <w:rPr>
                      <w:rFonts w:hint="eastAsia"/>
                      <w:bCs/>
                      <w:szCs w:val="21"/>
                    </w:rPr>
                    <w:t>3层</w:t>
                  </w:r>
                  <w:r>
                    <w:rPr>
                      <w:bCs/>
                      <w:szCs w:val="21"/>
                    </w:rPr>
                    <w:t>南部，主要布设</w:t>
                  </w:r>
                  <w:r>
                    <w:rPr>
                      <w:rFonts w:hint="eastAsia"/>
                      <w:bCs/>
                      <w:szCs w:val="21"/>
                    </w:rPr>
                    <w:t>1台液体搅拌机、1台真空抽液机、1台离心机，建设塑料管灌装生产线</w:t>
                  </w:r>
                </w:p>
              </w:tc>
              <w:tc>
                <w:tcPr>
                  <w:tcW w:w="566" w:type="pct"/>
                  <w:vAlign w:val="center"/>
                </w:tcPr>
                <w:p w14:paraId="18A3AE3F">
                  <w:pPr>
                    <w:spacing w:line="276" w:lineRule="auto"/>
                    <w:contextualSpacing/>
                    <w:jc w:val="center"/>
                    <w:rPr>
                      <w:bCs/>
                      <w:szCs w:val="21"/>
                    </w:rPr>
                  </w:pPr>
                  <w:r>
                    <w:rPr>
                      <w:bCs/>
                      <w:szCs w:val="21"/>
                    </w:rPr>
                    <w:t>建筑面积为</w:t>
                  </w:r>
                  <w:r>
                    <w:rPr>
                      <w:rFonts w:hint="eastAsia"/>
                      <w:bCs/>
                      <w:szCs w:val="21"/>
                    </w:rPr>
                    <w:t>110m</w:t>
                  </w:r>
                  <w:r>
                    <w:rPr>
                      <w:rFonts w:hint="eastAsia"/>
                      <w:bCs/>
                      <w:szCs w:val="21"/>
                      <w:vertAlign w:val="superscript"/>
                    </w:rPr>
                    <w:t>2</w:t>
                  </w:r>
                </w:p>
              </w:tc>
              <w:tc>
                <w:tcPr>
                  <w:tcW w:w="449" w:type="pct"/>
                  <w:vMerge w:val="continue"/>
                  <w:vAlign w:val="center"/>
                </w:tcPr>
                <w:p w14:paraId="5B443D3B">
                  <w:pPr>
                    <w:spacing w:line="276" w:lineRule="auto"/>
                    <w:contextualSpacing/>
                    <w:jc w:val="center"/>
                    <w:rPr>
                      <w:bCs/>
                      <w:szCs w:val="21"/>
                    </w:rPr>
                  </w:pPr>
                </w:p>
              </w:tc>
            </w:tr>
            <w:tr w14:paraId="4FEBC4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20ADCEEE">
                  <w:pPr>
                    <w:spacing w:line="276" w:lineRule="auto"/>
                    <w:contextualSpacing/>
                    <w:jc w:val="center"/>
                    <w:rPr>
                      <w:bCs/>
                      <w:szCs w:val="21"/>
                    </w:rPr>
                  </w:pPr>
                </w:p>
              </w:tc>
              <w:tc>
                <w:tcPr>
                  <w:tcW w:w="435" w:type="pct"/>
                  <w:vMerge w:val="continue"/>
                  <w:vAlign w:val="center"/>
                </w:tcPr>
                <w:p w14:paraId="09B9F869">
                  <w:pPr>
                    <w:spacing w:line="276" w:lineRule="auto"/>
                    <w:contextualSpacing/>
                    <w:jc w:val="center"/>
                    <w:rPr>
                      <w:bCs/>
                      <w:szCs w:val="21"/>
                    </w:rPr>
                  </w:pPr>
                </w:p>
              </w:tc>
              <w:tc>
                <w:tcPr>
                  <w:tcW w:w="697" w:type="pct"/>
                  <w:vAlign w:val="center"/>
                </w:tcPr>
                <w:p w14:paraId="0729C83E">
                  <w:pPr>
                    <w:spacing w:line="276" w:lineRule="auto"/>
                    <w:contextualSpacing/>
                    <w:jc w:val="center"/>
                    <w:rPr>
                      <w:bCs/>
                      <w:szCs w:val="21"/>
                    </w:rPr>
                  </w:pPr>
                  <w:r>
                    <w:rPr>
                      <w:bCs/>
                      <w:szCs w:val="21"/>
                    </w:rPr>
                    <w:t>组合、封口车间</w:t>
                  </w:r>
                </w:p>
              </w:tc>
              <w:tc>
                <w:tcPr>
                  <w:tcW w:w="2183" w:type="pct"/>
                  <w:vAlign w:val="center"/>
                </w:tcPr>
                <w:p w14:paraId="7CF336DE">
                  <w:pPr>
                    <w:snapToGrid w:val="0"/>
                    <w:spacing w:line="264" w:lineRule="auto"/>
                    <w:jc w:val="center"/>
                    <w:rPr>
                      <w:bCs/>
                      <w:szCs w:val="21"/>
                    </w:rPr>
                  </w:pPr>
                  <w:r>
                    <w:rPr>
                      <w:bCs/>
                      <w:szCs w:val="21"/>
                    </w:rPr>
                    <w:t>位于生产厂房</w:t>
                  </w:r>
                  <w:r>
                    <w:rPr>
                      <w:rFonts w:hint="eastAsia"/>
                      <w:bCs/>
                      <w:szCs w:val="21"/>
                    </w:rPr>
                    <w:t>3层</w:t>
                  </w:r>
                  <w:r>
                    <w:rPr>
                      <w:bCs/>
                      <w:szCs w:val="21"/>
                    </w:rPr>
                    <w:t>中部，主要布设</w:t>
                  </w:r>
                  <w:r>
                    <w:rPr>
                      <w:rFonts w:hint="eastAsia"/>
                      <w:bCs/>
                      <w:szCs w:val="21"/>
                    </w:rPr>
                    <w:t>7台塑料压封机，2个塑料管清洗槽，1台离心机</w:t>
                  </w:r>
                  <w:r>
                    <w:rPr>
                      <w:bCs/>
                      <w:szCs w:val="21"/>
                    </w:rPr>
                    <w:t>，建设塑料管和玻璃管组合、封口生产线</w:t>
                  </w:r>
                </w:p>
              </w:tc>
              <w:tc>
                <w:tcPr>
                  <w:tcW w:w="566" w:type="pct"/>
                  <w:vAlign w:val="center"/>
                </w:tcPr>
                <w:p w14:paraId="253608DF">
                  <w:pPr>
                    <w:spacing w:line="276" w:lineRule="auto"/>
                    <w:contextualSpacing/>
                    <w:jc w:val="center"/>
                    <w:rPr>
                      <w:bCs/>
                      <w:szCs w:val="21"/>
                    </w:rPr>
                  </w:pPr>
                  <w:r>
                    <w:rPr>
                      <w:bCs/>
                      <w:szCs w:val="21"/>
                    </w:rPr>
                    <w:t>建筑面积为</w:t>
                  </w:r>
                  <w:r>
                    <w:rPr>
                      <w:rFonts w:hint="eastAsia"/>
                      <w:bCs/>
                      <w:szCs w:val="21"/>
                    </w:rPr>
                    <w:t>165m</w:t>
                  </w:r>
                  <w:r>
                    <w:rPr>
                      <w:rFonts w:hint="eastAsia"/>
                      <w:bCs/>
                      <w:szCs w:val="21"/>
                      <w:vertAlign w:val="superscript"/>
                    </w:rPr>
                    <w:t>2</w:t>
                  </w:r>
                </w:p>
              </w:tc>
              <w:tc>
                <w:tcPr>
                  <w:tcW w:w="449" w:type="pct"/>
                  <w:vMerge w:val="continue"/>
                  <w:vAlign w:val="center"/>
                </w:tcPr>
                <w:p w14:paraId="0ED8969A">
                  <w:pPr>
                    <w:spacing w:line="276" w:lineRule="auto"/>
                    <w:contextualSpacing/>
                    <w:jc w:val="center"/>
                    <w:rPr>
                      <w:bCs/>
                      <w:szCs w:val="21"/>
                    </w:rPr>
                  </w:pPr>
                </w:p>
              </w:tc>
            </w:tr>
            <w:tr w14:paraId="1B8970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restart"/>
                  <w:vAlign w:val="center"/>
                </w:tcPr>
                <w:p w14:paraId="48B6434A">
                  <w:pPr>
                    <w:spacing w:line="276" w:lineRule="auto"/>
                    <w:contextualSpacing/>
                    <w:jc w:val="center"/>
                    <w:rPr>
                      <w:bCs/>
                      <w:szCs w:val="21"/>
                    </w:rPr>
                  </w:pPr>
                  <w:r>
                    <w:rPr>
                      <w:bCs/>
                      <w:szCs w:val="21"/>
                    </w:rPr>
                    <w:t>储运工程</w:t>
                  </w:r>
                </w:p>
              </w:tc>
              <w:tc>
                <w:tcPr>
                  <w:tcW w:w="1132" w:type="pct"/>
                  <w:gridSpan w:val="2"/>
                  <w:vAlign w:val="center"/>
                </w:tcPr>
                <w:p w14:paraId="1C8B4AD8">
                  <w:pPr>
                    <w:spacing w:line="276" w:lineRule="auto"/>
                    <w:contextualSpacing/>
                    <w:jc w:val="center"/>
                    <w:rPr>
                      <w:bCs/>
                      <w:szCs w:val="21"/>
                    </w:rPr>
                  </w:pPr>
                  <w:r>
                    <w:rPr>
                      <w:bCs/>
                      <w:szCs w:val="21"/>
                    </w:rPr>
                    <w:t>化学品库</w:t>
                  </w:r>
                </w:p>
              </w:tc>
              <w:tc>
                <w:tcPr>
                  <w:tcW w:w="2183" w:type="pct"/>
                  <w:vAlign w:val="center"/>
                </w:tcPr>
                <w:p w14:paraId="2A95DF09">
                  <w:pPr>
                    <w:snapToGrid w:val="0"/>
                    <w:spacing w:line="264" w:lineRule="auto"/>
                    <w:jc w:val="center"/>
                    <w:rPr>
                      <w:bCs/>
                      <w:szCs w:val="21"/>
                    </w:rPr>
                  </w:pPr>
                  <w:r>
                    <w:rPr>
                      <w:bCs/>
                      <w:szCs w:val="21"/>
                    </w:rPr>
                    <w:t>位于生产厂房</w:t>
                  </w:r>
                  <w:r>
                    <w:rPr>
                      <w:rFonts w:hint="eastAsia"/>
                      <w:bCs/>
                      <w:szCs w:val="21"/>
                    </w:rPr>
                    <w:t>3层</w:t>
                  </w:r>
                  <w:r>
                    <w:rPr>
                      <w:bCs/>
                      <w:szCs w:val="21"/>
                    </w:rPr>
                    <w:t>南部，主要用于</w:t>
                  </w:r>
                  <w:r>
                    <w:rPr>
                      <w:rFonts w:hint="eastAsia"/>
                      <w:bCs/>
                      <w:szCs w:val="21"/>
                    </w:rPr>
                    <w:t>储存邻苯二甲酸二甲酯、双草酸酯、染料、双氧水、乙醇等化学品原材料</w:t>
                  </w:r>
                </w:p>
              </w:tc>
              <w:tc>
                <w:tcPr>
                  <w:tcW w:w="1015" w:type="pct"/>
                  <w:gridSpan w:val="2"/>
                  <w:vAlign w:val="center"/>
                </w:tcPr>
                <w:p w14:paraId="5AA04F15">
                  <w:pPr>
                    <w:spacing w:line="276" w:lineRule="auto"/>
                    <w:contextualSpacing/>
                    <w:jc w:val="center"/>
                    <w:rPr>
                      <w:bCs/>
                      <w:szCs w:val="21"/>
                    </w:rPr>
                  </w:pPr>
                  <w:r>
                    <w:rPr>
                      <w:bCs/>
                      <w:szCs w:val="21"/>
                    </w:rPr>
                    <w:t>建筑面积为</w:t>
                  </w:r>
                  <w:r>
                    <w:rPr>
                      <w:rFonts w:hint="eastAsia"/>
                      <w:bCs/>
                      <w:szCs w:val="21"/>
                    </w:rPr>
                    <w:t>100m</w:t>
                  </w:r>
                  <w:r>
                    <w:rPr>
                      <w:rFonts w:hint="eastAsia"/>
                      <w:bCs/>
                      <w:szCs w:val="21"/>
                      <w:vertAlign w:val="superscript"/>
                    </w:rPr>
                    <w:t>2</w:t>
                  </w:r>
                </w:p>
              </w:tc>
            </w:tr>
            <w:tr w14:paraId="2C349E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66B29EA6">
                  <w:pPr>
                    <w:spacing w:line="276" w:lineRule="auto"/>
                    <w:contextualSpacing/>
                    <w:jc w:val="center"/>
                    <w:rPr>
                      <w:bCs/>
                      <w:szCs w:val="21"/>
                    </w:rPr>
                  </w:pPr>
                </w:p>
              </w:tc>
              <w:tc>
                <w:tcPr>
                  <w:tcW w:w="1132" w:type="pct"/>
                  <w:gridSpan w:val="2"/>
                  <w:vAlign w:val="center"/>
                </w:tcPr>
                <w:p w14:paraId="04F5224D">
                  <w:pPr>
                    <w:spacing w:line="276" w:lineRule="auto"/>
                    <w:contextualSpacing/>
                    <w:jc w:val="center"/>
                    <w:rPr>
                      <w:bCs/>
                      <w:szCs w:val="21"/>
                    </w:rPr>
                  </w:pPr>
                  <w:r>
                    <w:rPr>
                      <w:bCs/>
                      <w:szCs w:val="21"/>
                    </w:rPr>
                    <w:t>原材料仓库</w:t>
                  </w:r>
                </w:p>
              </w:tc>
              <w:tc>
                <w:tcPr>
                  <w:tcW w:w="2183" w:type="pct"/>
                  <w:vAlign w:val="center"/>
                </w:tcPr>
                <w:p w14:paraId="5A0A926B">
                  <w:pPr>
                    <w:snapToGrid w:val="0"/>
                    <w:spacing w:line="264" w:lineRule="auto"/>
                    <w:jc w:val="center"/>
                    <w:rPr>
                      <w:bCs/>
                      <w:szCs w:val="21"/>
                    </w:rPr>
                  </w:pPr>
                  <w:r>
                    <w:rPr>
                      <w:bCs/>
                      <w:szCs w:val="21"/>
                    </w:rPr>
                    <w:t>位于生产厂房</w:t>
                  </w:r>
                  <w:r>
                    <w:rPr>
                      <w:rFonts w:hint="eastAsia"/>
                      <w:bCs/>
                      <w:szCs w:val="21"/>
                    </w:rPr>
                    <w:t>3层</w:t>
                  </w:r>
                  <w:r>
                    <w:rPr>
                      <w:bCs/>
                      <w:szCs w:val="21"/>
                    </w:rPr>
                    <w:t>北部，主要用于储存玻璃管、塑料管、包装袋</w:t>
                  </w:r>
                  <w:r>
                    <w:rPr>
                      <w:rFonts w:hint="eastAsia"/>
                      <w:bCs/>
                      <w:szCs w:val="21"/>
                    </w:rPr>
                    <w:t>、纸箱</w:t>
                  </w:r>
                  <w:r>
                    <w:rPr>
                      <w:bCs/>
                      <w:szCs w:val="21"/>
                    </w:rPr>
                    <w:t>、包装膜等原材料</w:t>
                  </w:r>
                </w:p>
              </w:tc>
              <w:tc>
                <w:tcPr>
                  <w:tcW w:w="1015" w:type="pct"/>
                  <w:gridSpan w:val="2"/>
                  <w:vAlign w:val="center"/>
                </w:tcPr>
                <w:p w14:paraId="3DB770FE">
                  <w:pPr>
                    <w:spacing w:line="276" w:lineRule="auto"/>
                    <w:contextualSpacing/>
                    <w:jc w:val="center"/>
                    <w:rPr>
                      <w:bCs/>
                      <w:szCs w:val="21"/>
                    </w:rPr>
                  </w:pPr>
                  <w:r>
                    <w:rPr>
                      <w:bCs/>
                      <w:szCs w:val="21"/>
                    </w:rPr>
                    <w:t>建筑面积为</w:t>
                  </w:r>
                  <w:r>
                    <w:rPr>
                      <w:rFonts w:hint="eastAsia"/>
                      <w:bCs/>
                      <w:szCs w:val="21"/>
                    </w:rPr>
                    <w:t>100m</w:t>
                  </w:r>
                  <w:r>
                    <w:rPr>
                      <w:rFonts w:hint="eastAsia"/>
                      <w:bCs/>
                      <w:szCs w:val="21"/>
                      <w:vertAlign w:val="superscript"/>
                    </w:rPr>
                    <w:t>2</w:t>
                  </w:r>
                </w:p>
              </w:tc>
            </w:tr>
            <w:tr w14:paraId="417378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559A45BD">
                  <w:pPr>
                    <w:spacing w:line="276" w:lineRule="auto"/>
                    <w:contextualSpacing/>
                    <w:jc w:val="center"/>
                    <w:rPr>
                      <w:bCs/>
                      <w:szCs w:val="21"/>
                    </w:rPr>
                  </w:pPr>
                </w:p>
              </w:tc>
              <w:tc>
                <w:tcPr>
                  <w:tcW w:w="1132" w:type="pct"/>
                  <w:gridSpan w:val="2"/>
                  <w:vAlign w:val="center"/>
                </w:tcPr>
                <w:p w14:paraId="7D8986FB">
                  <w:pPr>
                    <w:spacing w:line="276" w:lineRule="auto"/>
                    <w:contextualSpacing/>
                    <w:jc w:val="center"/>
                    <w:rPr>
                      <w:bCs/>
                      <w:szCs w:val="21"/>
                    </w:rPr>
                  </w:pPr>
                  <w:r>
                    <w:rPr>
                      <w:bCs/>
                      <w:szCs w:val="21"/>
                    </w:rPr>
                    <w:t>包装区</w:t>
                  </w:r>
                </w:p>
              </w:tc>
              <w:tc>
                <w:tcPr>
                  <w:tcW w:w="2183" w:type="pct"/>
                  <w:vAlign w:val="center"/>
                </w:tcPr>
                <w:p w14:paraId="58DC6B9B">
                  <w:pPr>
                    <w:snapToGrid w:val="0"/>
                    <w:spacing w:line="264" w:lineRule="auto"/>
                    <w:jc w:val="center"/>
                    <w:rPr>
                      <w:bCs/>
                      <w:szCs w:val="21"/>
                    </w:rPr>
                  </w:pPr>
                  <w:r>
                    <w:rPr>
                      <w:bCs/>
                      <w:szCs w:val="21"/>
                    </w:rPr>
                    <w:t>位于生产厂房</w:t>
                  </w:r>
                  <w:r>
                    <w:rPr>
                      <w:rFonts w:hint="eastAsia"/>
                      <w:bCs/>
                      <w:szCs w:val="21"/>
                    </w:rPr>
                    <w:t>3层</w:t>
                  </w:r>
                  <w:r>
                    <w:rPr>
                      <w:bCs/>
                      <w:szCs w:val="21"/>
                    </w:rPr>
                    <w:t>中部东边，布设</w:t>
                  </w:r>
                  <w:r>
                    <w:rPr>
                      <w:rFonts w:hint="eastAsia"/>
                      <w:bCs/>
                      <w:szCs w:val="21"/>
                    </w:rPr>
                    <w:t>1台收缩膜封口机，</w:t>
                  </w:r>
                  <w:r>
                    <w:rPr>
                      <w:bCs/>
                      <w:szCs w:val="21"/>
                    </w:rPr>
                    <w:t>包装加工完成的荧光棒</w:t>
                  </w:r>
                </w:p>
              </w:tc>
              <w:tc>
                <w:tcPr>
                  <w:tcW w:w="1015" w:type="pct"/>
                  <w:gridSpan w:val="2"/>
                  <w:vAlign w:val="center"/>
                </w:tcPr>
                <w:p w14:paraId="13A52378">
                  <w:pPr>
                    <w:spacing w:line="276" w:lineRule="auto"/>
                    <w:contextualSpacing/>
                    <w:jc w:val="center"/>
                    <w:rPr>
                      <w:bCs/>
                      <w:szCs w:val="21"/>
                    </w:rPr>
                  </w:pPr>
                  <w:r>
                    <w:rPr>
                      <w:bCs/>
                      <w:szCs w:val="21"/>
                    </w:rPr>
                    <w:t>建筑面积为</w:t>
                  </w:r>
                  <w:r>
                    <w:rPr>
                      <w:rFonts w:hint="eastAsia"/>
                      <w:bCs/>
                      <w:szCs w:val="21"/>
                    </w:rPr>
                    <w:t>300m</w:t>
                  </w:r>
                  <w:r>
                    <w:rPr>
                      <w:rFonts w:hint="eastAsia"/>
                      <w:bCs/>
                      <w:szCs w:val="21"/>
                      <w:vertAlign w:val="superscript"/>
                    </w:rPr>
                    <w:t>2</w:t>
                  </w:r>
                </w:p>
              </w:tc>
            </w:tr>
            <w:tr w14:paraId="188107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53A214D6">
                  <w:pPr>
                    <w:spacing w:line="276" w:lineRule="auto"/>
                    <w:contextualSpacing/>
                    <w:jc w:val="center"/>
                    <w:rPr>
                      <w:bCs/>
                      <w:szCs w:val="21"/>
                    </w:rPr>
                  </w:pPr>
                </w:p>
              </w:tc>
              <w:tc>
                <w:tcPr>
                  <w:tcW w:w="1132" w:type="pct"/>
                  <w:gridSpan w:val="2"/>
                  <w:vAlign w:val="center"/>
                </w:tcPr>
                <w:p w14:paraId="38284A92">
                  <w:pPr>
                    <w:spacing w:line="276" w:lineRule="auto"/>
                    <w:contextualSpacing/>
                    <w:jc w:val="center"/>
                    <w:rPr>
                      <w:bCs/>
                      <w:szCs w:val="21"/>
                    </w:rPr>
                  </w:pPr>
                  <w:r>
                    <w:rPr>
                      <w:bCs/>
                      <w:szCs w:val="21"/>
                    </w:rPr>
                    <w:t>成品区</w:t>
                  </w:r>
                </w:p>
              </w:tc>
              <w:tc>
                <w:tcPr>
                  <w:tcW w:w="2183" w:type="pct"/>
                  <w:vAlign w:val="center"/>
                </w:tcPr>
                <w:p w14:paraId="45B4BACF">
                  <w:pPr>
                    <w:snapToGrid w:val="0"/>
                    <w:spacing w:line="264" w:lineRule="auto"/>
                    <w:jc w:val="center"/>
                    <w:rPr>
                      <w:bCs/>
                      <w:szCs w:val="21"/>
                    </w:rPr>
                  </w:pPr>
                  <w:r>
                    <w:rPr>
                      <w:bCs/>
                      <w:szCs w:val="21"/>
                    </w:rPr>
                    <w:t>位于生产厂房</w:t>
                  </w:r>
                  <w:r>
                    <w:rPr>
                      <w:rFonts w:hint="eastAsia"/>
                      <w:bCs/>
                      <w:szCs w:val="21"/>
                    </w:rPr>
                    <w:t>1层</w:t>
                  </w:r>
                  <w:r>
                    <w:rPr>
                      <w:bCs/>
                      <w:szCs w:val="21"/>
                    </w:rPr>
                    <w:t>，用于堆放包装后的荧光棒成品</w:t>
                  </w:r>
                </w:p>
              </w:tc>
              <w:tc>
                <w:tcPr>
                  <w:tcW w:w="1015" w:type="pct"/>
                  <w:gridSpan w:val="2"/>
                  <w:vAlign w:val="center"/>
                </w:tcPr>
                <w:p w14:paraId="381B63EE">
                  <w:pPr>
                    <w:spacing w:line="276" w:lineRule="auto"/>
                    <w:contextualSpacing/>
                    <w:jc w:val="center"/>
                    <w:rPr>
                      <w:bCs/>
                      <w:szCs w:val="21"/>
                    </w:rPr>
                  </w:pPr>
                  <w:r>
                    <w:rPr>
                      <w:bCs/>
                      <w:szCs w:val="21"/>
                    </w:rPr>
                    <w:t>建筑面积为</w:t>
                  </w:r>
                  <w:r>
                    <w:rPr>
                      <w:rFonts w:hint="eastAsia"/>
                      <w:bCs/>
                      <w:szCs w:val="21"/>
                    </w:rPr>
                    <w:t>1200m</w:t>
                  </w:r>
                  <w:r>
                    <w:rPr>
                      <w:rFonts w:hint="eastAsia"/>
                      <w:bCs/>
                      <w:szCs w:val="21"/>
                      <w:vertAlign w:val="superscript"/>
                    </w:rPr>
                    <w:t>2</w:t>
                  </w:r>
                </w:p>
              </w:tc>
            </w:tr>
            <w:tr w14:paraId="6AD61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restart"/>
                  <w:vAlign w:val="center"/>
                </w:tcPr>
                <w:p w14:paraId="143E9CC7">
                  <w:pPr>
                    <w:spacing w:line="276" w:lineRule="auto"/>
                    <w:contextualSpacing/>
                    <w:jc w:val="center"/>
                    <w:rPr>
                      <w:bCs/>
                      <w:szCs w:val="21"/>
                    </w:rPr>
                  </w:pPr>
                  <w:r>
                    <w:rPr>
                      <w:bCs/>
                      <w:szCs w:val="21"/>
                    </w:rPr>
                    <w:t>辅助工程</w:t>
                  </w:r>
                </w:p>
              </w:tc>
              <w:tc>
                <w:tcPr>
                  <w:tcW w:w="1132" w:type="pct"/>
                  <w:gridSpan w:val="2"/>
                  <w:vAlign w:val="center"/>
                </w:tcPr>
                <w:p w14:paraId="43206231">
                  <w:pPr>
                    <w:spacing w:line="276" w:lineRule="auto"/>
                    <w:contextualSpacing/>
                    <w:jc w:val="center"/>
                    <w:rPr>
                      <w:bCs/>
                      <w:szCs w:val="21"/>
                    </w:rPr>
                  </w:pPr>
                  <w:r>
                    <w:rPr>
                      <w:bCs/>
                      <w:szCs w:val="21"/>
                    </w:rPr>
                    <w:t>卫生间</w:t>
                  </w:r>
                </w:p>
              </w:tc>
              <w:tc>
                <w:tcPr>
                  <w:tcW w:w="2183" w:type="pct"/>
                  <w:vAlign w:val="center"/>
                </w:tcPr>
                <w:p w14:paraId="77FCD91E">
                  <w:pPr>
                    <w:snapToGrid w:val="0"/>
                    <w:spacing w:line="264" w:lineRule="auto"/>
                    <w:jc w:val="center"/>
                    <w:rPr>
                      <w:bCs/>
                      <w:szCs w:val="21"/>
                    </w:rPr>
                  </w:pPr>
                  <w:r>
                    <w:rPr>
                      <w:bCs/>
                      <w:szCs w:val="21"/>
                    </w:rPr>
                    <w:t>位于生产厂房</w:t>
                  </w:r>
                  <w:r>
                    <w:rPr>
                      <w:rFonts w:hint="eastAsia"/>
                      <w:bCs/>
                      <w:szCs w:val="21"/>
                    </w:rPr>
                    <w:t>1层和3层，用于</w:t>
                  </w:r>
                  <w:r>
                    <w:rPr>
                      <w:bCs/>
                      <w:szCs w:val="21"/>
                    </w:rPr>
                    <w:t>职工生活</w:t>
                  </w:r>
                </w:p>
              </w:tc>
              <w:tc>
                <w:tcPr>
                  <w:tcW w:w="1015" w:type="pct"/>
                  <w:gridSpan w:val="2"/>
                  <w:vAlign w:val="center"/>
                </w:tcPr>
                <w:p w14:paraId="5D01907C">
                  <w:pPr>
                    <w:spacing w:line="276" w:lineRule="auto"/>
                    <w:contextualSpacing/>
                    <w:jc w:val="center"/>
                    <w:rPr>
                      <w:bCs/>
                      <w:szCs w:val="21"/>
                    </w:rPr>
                  </w:pPr>
                  <w:r>
                    <w:rPr>
                      <w:bCs/>
                      <w:szCs w:val="21"/>
                    </w:rPr>
                    <w:t>建筑面积为</w:t>
                  </w:r>
                  <w:r>
                    <w:rPr>
                      <w:rFonts w:hint="eastAsia"/>
                      <w:bCs/>
                      <w:szCs w:val="21"/>
                    </w:rPr>
                    <w:t>20m</w:t>
                  </w:r>
                  <w:r>
                    <w:rPr>
                      <w:rFonts w:hint="eastAsia"/>
                      <w:bCs/>
                      <w:szCs w:val="21"/>
                      <w:vertAlign w:val="superscript"/>
                    </w:rPr>
                    <w:t>2</w:t>
                  </w:r>
                </w:p>
              </w:tc>
            </w:tr>
            <w:tr w14:paraId="26D030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10E61479">
                  <w:pPr>
                    <w:spacing w:line="276" w:lineRule="auto"/>
                    <w:contextualSpacing/>
                    <w:jc w:val="center"/>
                    <w:rPr>
                      <w:bCs/>
                      <w:szCs w:val="21"/>
                    </w:rPr>
                  </w:pPr>
                </w:p>
              </w:tc>
              <w:tc>
                <w:tcPr>
                  <w:tcW w:w="1132" w:type="pct"/>
                  <w:gridSpan w:val="2"/>
                  <w:vAlign w:val="center"/>
                </w:tcPr>
                <w:p w14:paraId="27E69598">
                  <w:pPr>
                    <w:spacing w:line="276" w:lineRule="auto"/>
                    <w:contextualSpacing/>
                    <w:jc w:val="center"/>
                    <w:rPr>
                      <w:bCs/>
                      <w:szCs w:val="21"/>
                    </w:rPr>
                  </w:pPr>
                  <w:r>
                    <w:rPr>
                      <w:bCs/>
                      <w:szCs w:val="21"/>
                    </w:rPr>
                    <w:t>办公室</w:t>
                  </w:r>
                </w:p>
              </w:tc>
              <w:tc>
                <w:tcPr>
                  <w:tcW w:w="2183" w:type="pct"/>
                  <w:vAlign w:val="center"/>
                </w:tcPr>
                <w:p w14:paraId="4C5C6798">
                  <w:pPr>
                    <w:snapToGrid w:val="0"/>
                    <w:spacing w:line="264" w:lineRule="auto"/>
                    <w:jc w:val="center"/>
                    <w:rPr>
                      <w:bCs/>
                      <w:szCs w:val="21"/>
                    </w:rPr>
                  </w:pPr>
                  <w:r>
                    <w:rPr>
                      <w:bCs/>
                      <w:szCs w:val="21"/>
                    </w:rPr>
                    <w:t>位于生产厂房</w:t>
                  </w:r>
                  <w:r>
                    <w:rPr>
                      <w:rFonts w:hint="eastAsia"/>
                      <w:bCs/>
                      <w:szCs w:val="21"/>
                    </w:rPr>
                    <w:t>3层，用于</w:t>
                  </w:r>
                  <w:r>
                    <w:rPr>
                      <w:bCs/>
                      <w:szCs w:val="21"/>
                    </w:rPr>
                    <w:t>员工办公</w:t>
                  </w:r>
                </w:p>
              </w:tc>
              <w:tc>
                <w:tcPr>
                  <w:tcW w:w="1015" w:type="pct"/>
                  <w:gridSpan w:val="2"/>
                  <w:vAlign w:val="center"/>
                </w:tcPr>
                <w:p w14:paraId="66479B95">
                  <w:pPr>
                    <w:spacing w:line="276" w:lineRule="auto"/>
                    <w:contextualSpacing/>
                    <w:jc w:val="center"/>
                    <w:rPr>
                      <w:bCs/>
                      <w:szCs w:val="21"/>
                    </w:rPr>
                  </w:pPr>
                  <w:r>
                    <w:rPr>
                      <w:bCs/>
                      <w:szCs w:val="21"/>
                    </w:rPr>
                    <w:t>建筑面积为</w:t>
                  </w:r>
                  <w:r>
                    <w:rPr>
                      <w:rFonts w:hint="eastAsia"/>
                      <w:bCs/>
                      <w:szCs w:val="21"/>
                    </w:rPr>
                    <w:t>80m</w:t>
                  </w:r>
                  <w:r>
                    <w:rPr>
                      <w:rFonts w:hint="eastAsia"/>
                      <w:bCs/>
                      <w:szCs w:val="21"/>
                      <w:vertAlign w:val="superscript"/>
                    </w:rPr>
                    <w:t>2</w:t>
                  </w:r>
                </w:p>
              </w:tc>
            </w:tr>
            <w:tr w14:paraId="352C98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restart"/>
                  <w:vAlign w:val="center"/>
                </w:tcPr>
                <w:p w14:paraId="7B0C0DFD">
                  <w:pPr>
                    <w:spacing w:line="276" w:lineRule="auto"/>
                    <w:contextualSpacing/>
                    <w:jc w:val="center"/>
                    <w:rPr>
                      <w:szCs w:val="21"/>
                    </w:rPr>
                  </w:pPr>
                  <w:r>
                    <w:rPr>
                      <w:szCs w:val="21"/>
                    </w:rPr>
                    <w:t>公用</w:t>
                  </w:r>
                </w:p>
                <w:p w14:paraId="65700A54">
                  <w:pPr>
                    <w:spacing w:line="276" w:lineRule="auto"/>
                    <w:contextualSpacing/>
                    <w:jc w:val="center"/>
                    <w:rPr>
                      <w:szCs w:val="21"/>
                    </w:rPr>
                  </w:pPr>
                  <w:r>
                    <w:rPr>
                      <w:szCs w:val="21"/>
                    </w:rPr>
                    <w:t>工程</w:t>
                  </w:r>
                </w:p>
              </w:tc>
              <w:tc>
                <w:tcPr>
                  <w:tcW w:w="1132" w:type="pct"/>
                  <w:gridSpan w:val="2"/>
                  <w:vAlign w:val="center"/>
                </w:tcPr>
                <w:p w14:paraId="05DC0644">
                  <w:pPr>
                    <w:spacing w:line="276" w:lineRule="auto"/>
                    <w:contextualSpacing/>
                    <w:jc w:val="center"/>
                    <w:rPr>
                      <w:szCs w:val="21"/>
                    </w:rPr>
                  </w:pPr>
                  <w:r>
                    <w:rPr>
                      <w:szCs w:val="21"/>
                    </w:rPr>
                    <w:t>给水</w:t>
                  </w:r>
                </w:p>
              </w:tc>
              <w:tc>
                <w:tcPr>
                  <w:tcW w:w="2183" w:type="pct"/>
                  <w:vAlign w:val="center"/>
                </w:tcPr>
                <w:p w14:paraId="337EE839">
                  <w:pPr>
                    <w:snapToGrid w:val="0"/>
                    <w:spacing w:line="264" w:lineRule="auto"/>
                    <w:jc w:val="center"/>
                    <w:rPr>
                      <w:szCs w:val="21"/>
                    </w:rPr>
                  </w:pPr>
                  <w:r>
                    <w:rPr>
                      <w:rFonts w:hint="eastAsia"/>
                      <w:szCs w:val="21"/>
                    </w:rPr>
                    <w:t>由市政供水管网供给</w:t>
                  </w:r>
                </w:p>
              </w:tc>
              <w:tc>
                <w:tcPr>
                  <w:tcW w:w="1015" w:type="pct"/>
                  <w:gridSpan w:val="2"/>
                  <w:vAlign w:val="center"/>
                </w:tcPr>
                <w:p w14:paraId="420A23D1">
                  <w:pPr>
                    <w:spacing w:line="276" w:lineRule="auto"/>
                    <w:contextualSpacing/>
                    <w:jc w:val="center"/>
                    <w:rPr>
                      <w:szCs w:val="21"/>
                    </w:rPr>
                  </w:pPr>
                  <w:r>
                    <w:rPr>
                      <w:rFonts w:hint="eastAsia"/>
                      <w:szCs w:val="21"/>
                    </w:rPr>
                    <w:t>用水量1.8m</w:t>
                  </w:r>
                  <w:r>
                    <w:rPr>
                      <w:rFonts w:hint="eastAsia"/>
                      <w:szCs w:val="21"/>
                      <w:vertAlign w:val="superscript"/>
                    </w:rPr>
                    <w:t>3</w:t>
                  </w:r>
                  <w:r>
                    <w:rPr>
                      <w:rFonts w:hint="eastAsia"/>
                      <w:szCs w:val="21"/>
                    </w:rPr>
                    <w:t>/d（594m</w:t>
                  </w:r>
                  <w:r>
                    <w:rPr>
                      <w:rFonts w:hint="eastAsia"/>
                      <w:szCs w:val="21"/>
                      <w:vertAlign w:val="superscript"/>
                    </w:rPr>
                    <w:t>3</w:t>
                  </w:r>
                  <w:r>
                    <w:rPr>
                      <w:rFonts w:hint="eastAsia"/>
                      <w:szCs w:val="21"/>
                    </w:rPr>
                    <w:t>/a）</w:t>
                  </w:r>
                </w:p>
              </w:tc>
            </w:tr>
            <w:tr w14:paraId="1F1FB7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6B0CDF99">
                  <w:pPr>
                    <w:spacing w:line="276" w:lineRule="auto"/>
                    <w:contextualSpacing/>
                    <w:jc w:val="center"/>
                    <w:rPr>
                      <w:szCs w:val="21"/>
                    </w:rPr>
                  </w:pPr>
                </w:p>
              </w:tc>
              <w:tc>
                <w:tcPr>
                  <w:tcW w:w="1132" w:type="pct"/>
                  <w:gridSpan w:val="2"/>
                  <w:vAlign w:val="center"/>
                </w:tcPr>
                <w:p w14:paraId="25AD6F00">
                  <w:pPr>
                    <w:spacing w:line="276" w:lineRule="auto"/>
                    <w:contextualSpacing/>
                    <w:jc w:val="center"/>
                    <w:rPr>
                      <w:szCs w:val="21"/>
                    </w:rPr>
                  </w:pPr>
                  <w:r>
                    <w:rPr>
                      <w:szCs w:val="21"/>
                    </w:rPr>
                    <w:t>排水</w:t>
                  </w:r>
                </w:p>
              </w:tc>
              <w:tc>
                <w:tcPr>
                  <w:tcW w:w="2183" w:type="pct"/>
                  <w:vAlign w:val="center"/>
                </w:tcPr>
                <w:p w14:paraId="76028EF3">
                  <w:pPr>
                    <w:snapToGrid w:val="0"/>
                    <w:spacing w:line="264" w:lineRule="auto"/>
                    <w:jc w:val="center"/>
                    <w:rPr>
                      <w:szCs w:val="21"/>
                    </w:rPr>
                  </w:pPr>
                  <w:r>
                    <w:rPr>
                      <w:rFonts w:hint="eastAsia"/>
                      <w:szCs w:val="21"/>
                    </w:rPr>
                    <w:t>雨污分流，雨水由厂区雨水管网收集经雨水总排口汇入园区雨水管网。</w:t>
                  </w:r>
                  <w:r>
                    <w:rPr>
                      <w:rFonts w:hint="eastAsia"/>
                      <w:kern w:val="0"/>
                      <w:szCs w:val="21"/>
                    </w:rPr>
                    <w:t>生活</w:t>
                  </w:r>
                  <w:r>
                    <w:rPr>
                      <w:kern w:val="0"/>
                      <w:szCs w:val="21"/>
                    </w:rPr>
                    <w:t>污水依托</w:t>
                  </w:r>
                  <w:r>
                    <w:rPr>
                      <w:rFonts w:hint="eastAsia"/>
                    </w:rPr>
                    <w:t>厂区内</w:t>
                  </w:r>
                  <w:r>
                    <w:rPr>
                      <w:kern w:val="0"/>
                      <w:szCs w:val="21"/>
                    </w:rPr>
                    <w:t>化粪池预处理后排入市政污水管网，再</w:t>
                  </w:r>
                  <w:r>
                    <w:rPr>
                      <w:rFonts w:hint="eastAsia"/>
                      <w:szCs w:val="21"/>
                    </w:rPr>
                    <w:t>进入毛集实验区污水处理厂处理</w:t>
                  </w:r>
                </w:p>
              </w:tc>
              <w:tc>
                <w:tcPr>
                  <w:tcW w:w="1015" w:type="pct"/>
                  <w:gridSpan w:val="2"/>
                  <w:vAlign w:val="center"/>
                </w:tcPr>
                <w:p w14:paraId="726EC072">
                  <w:pPr>
                    <w:spacing w:line="276" w:lineRule="auto"/>
                    <w:contextualSpacing/>
                    <w:jc w:val="center"/>
                    <w:rPr>
                      <w:szCs w:val="21"/>
                    </w:rPr>
                  </w:pPr>
                  <w:r>
                    <w:rPr>
                      <w:rFonts w:hint="eastAsia"/>
                      <w:szCs w:val="21"/>
                    </w:rPr>
                    <w:t>排水量1.44m</w:t>
                  </w:r>
                  <w:r>
                    <w:rPr>
                      <w:rFonts w:hint="eastAsia"/>
                      <w:szCs w:val="21"/>
                      <w:vertAlign w:val="superscript"/>
                    </w:rPr>
                    <w:t>3</w:t>
                  </w:r>
                  <w:r>
                    <w:rPr>
                      <w:rFonts w:hint="eastAsia"/>
                      <w:szCs w:val="21"/>
                    </w:rPr>
                    <w:t>/d（475m</w:t>
                  </w:r>
                  <w:r>
                    <w:rPr>
                      <w:rFonts w:hint="eastAsia"/>
                      <w:szCs w:val="21"/>
                      <w:vertAlign w:val="superscript"/>
                    </w:rPr>
                    <w:t>3</w:t>
                  </w:r>
                  <w:r>
                    <w:rPr>
                      <w:rFonts w:hint="eastAsia"/>
                      <w:szCs w:val="21"/>
                    </w:rPr>
                    <w:t>/a）</w:t>
                  </w:r>
                </w:p>
              </w:tc>
            </w:tr>
            <w:tr w14:paraId="30B6B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68765031">
                  <w:pPr>
                    <w:spacing w:line="276" w:lineRule="auto"/>
                    <w:contextualSpacing/>
                    <w:jc w:val="center"/>
                    <w:rPr>
                      <w:szCs w:val="21"/>
                    </w:rPr>
                  </w:pPr>
                </w:p>
              </w:tc>
              <w:tc>
                <w:tcPr>
                  <w:tcW w:w="1132" w:type="pct"/>
                  <w:gridSpan w:val="2"/>
                  <w:vAlign w:val="center"/>
                </w:tcPr>
                <w:p w14:paraId="272A609B">
                  <w:pPr>
                    <w:spacing w:line="276" w:lineRule="auto"/>
                    <w:contextualSpacing/>
                    <w:jc w:val="center"/>
                    <w:rPr>
                      <w:szCs w:val="21"/>
                    </w:rPr>
                  </w:pPr>
                  <w:r>
                    <w:rPr>
                      <w:szCs w:val="21"/>
                    </w:rPr>
                    <w:t>供电</w:t>
                  </w:r>
                </w:p>
              </w:tc>
              <w:tc>
                <w:tcPr>
                  <w:tcW w:w="2183" w:type="pct"/>
                  <w:vAlign w:val="center"/>
                </w:tcPr>
                <w:p w14:paraId="566A4559">
                  <w:pPr>
                    <w:snapToGrid w:val="0"/>
                    <w:spacing w:line="264" w:lineRule="auto"/>
                    <w:jc w:val="center"/>
                    <w:rPr>
                      <w:szCs w:val="21"/>
                    </w:rPr>
                  </w:pPr>
                  <w:r>
                    <w:rPr>
                      <w:szCs w:val="21"/>
                    </w:rPr>
                    <w:t>由</w:t>
                  </w:r>
                  <w:r>
                    <w:rPr>
                      <w:rFonts w:hint="eastAsia"/>
                      <w:szCs w:val="21"/>
                    </w:rPr>
                    <w:t>市政电网供电</w:t>
                  </w:r>
                </w:p>
              </w:tc>
              <w:tc>
                <w:tcPr>
                  <w:tcW w:w="1015" w:type="pct"/>
                  <w:gridSpan w:val="2"/>
                  <w:vAlign w:val="center"/>
                </w:tcPr>
                <w:p w14:paraId="00D10291">
                  <w:pPr>
                    <w:spacing w:line="276" w:lineRule="auto"/>
                    <w:contextualSpacing/>
                    <w:jc w:val="center"/>
                    <w:rPr>
                      <w:szCs w:val="21"/>
                    </w:rPr>
                  </w:pPr>
                  <w:r>
                    <w:rPr>
                      <w:szCs w:val="21"/>
                    </w:rPr>
                    <w:t>年用电量</w:t>
                  </w:r>
                  <w:r>
                    <w:rPr>
                      <w:rFonts w:hint="eastAsia" w:hAnsi="宋体"/>
                      <w:szCs w:val="21"/>
                    </w:rPr>
                    <w:t>10</w:t>
                  </w:r>
                  <w:r>
                    <w:rPr>
                      <w:rFonts w:hint="eastAsia"/>
                      <w:szCs w:val="21"/>
                    </w:rPr>
                    <w:t>万</w:t>
                  </w:r>
                  <w:r>
                    <w:rPr>
                      <w:szCs w:val="21"/>
                    </w:rPr>
                    <w:t>k</w:t>
                  </w:r>
                  <w:r>
                    <w:rPr>
                      <w:rFonts w:hint="eastAsia"/>
                      <w:szCs w:val="21"/>
                    </w:rPr>
                    <w:t>W</w:t>
                  </w:r>
                  <w:r>
                    <w:rPr>
                      <w:szCs w:val="21"/>
                    </w:rPr>
                    <w:t>·h</w:t>
                  </w:r>
                </w:p>
              </w:tc>
            </w:tr>
            <w:tr w14:paraId="24AB47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restart"/>
                  <w:vAlign w:val="center"/>
                </w:tcPr>
                <w:p w14:paraId="29B5AA75">
                  <w:pPr>
                    <w:spacing w:line="276" w:lineRule="auto"/>
                    <w:contextualSpacing/>
                    <w:jc w:val="center"/>
                    <w:rPr>
                      <w:szCs w:val="21"/>
                    </w:rPr>
                  </w:pPr>
                  <w:r>
                    <w:rPr>
                      <w:szCs w:val="21"/>
                    </w:rPr>
                    <w:t>环保</w:t>
                  </w:r>
                </w:p>
                <w:p w14:paraId="5B2F5213">
                  <w:pPr>
                    <w:spacing w:line="276" w:lineRule="auto"/>
                    <w:contextualSpacing/>
                    <w:jc w:val="center"/>
                    <w:rPr>
                      <w:szCs w:val="21"/>
                    </w:rPr>
                  </w:pPr>
                  <w:r>
                    <w:rPr>
                      <w:szCs w:val="21"/>
                    </w:rPr>
                    <w:t>工程</w:t>
                  </w:r>
                </w:p>
              </w:tc>
              <w:tc>
                <w:tcPr>
                  <w:tcW w:w="1132" w:type="pct"/>
                  <w:gridSpan w:val="2"/>
                  <w:vAlign w:val="center"/>
                </w:tcPr>
                <w:p w14:paraId="1B5920A8">
                  <w:pPr>
                    <w:spacing w:line="276" w:lineRule="auto"/>
                    <w:jc w:val="center"/>
                    <w:rPr>
                      <w:szCs w:val="21"/>
                    </w:rPr>
                  </w:pPr>
                  <w:r>
                    <w:rPr>
                      <w:szCs w:val="21"/>
                    </w:rPr>
                    <w:t>废气治理</w:t>
                  </w:r>
                </w:p>
              </w:tc>
              <w:tc>
                <w:tcPr>
                  <w:tcW w:w="3198" w:type="pct"/>
                  <w:gridSpan w:val="3"/>
                  <w:vAlign w:val="center"/>
                </w:tcPr>
                <w:p w14:paraId="69A45C53">
                  <w:pPr>
                    <w:spacing w:line="276" w:lineRule="auto"/>
                  </w:pPr>
                  <w:r>
                    <w:rPr>
                      <w:rFonts w:hint="eastAsia"/>
                    </w:rPr>
                    <w:t>玻璃管热熔封口废气（G</w:t>
                  </w:r>
                  <w:r>
                    <w:rPr>
                      <w:rFonts w:hint="eastAsia"/>
                      <w:vertAlign w:val="subscript"/>
                    </w:rPr>
                    <w:t>1</w:t>
                  </w:r>
                  <w:r>
                    <w:rPr>
                      <w:rFonts w:hint="eastAsia"/>
                    </w:rPr>
                    <w:t>）经集气罩收集后由15m高的排气筒DA001排放</w:t>
                  </w:r>
                  <w:r>
                    <w:rPr>
                      <w:rFonts w:hint="eastAsia" w:hAnsi="宋体"/>
                    </w:rPr>
                    <w:t>；</w:t>
                  </w:r>
                  <w:r>
                    <w:rPr>
                      <w:rFonts w:hint="eastAsia"/>
                    </w:rPr>
                    <w:t>组合管封口废气（G</w:t>
                  </w:r>
                  <w:r>
                    <w:rPr>
                      <w:rFonts w:hint="eastAsia"/>
                      <w:vertAlign w:val="subscript"/>
                    </w:rPr>
                    <w:t>2</w:t>
                  </w:r>
                  <w:r>
                    <w:rPr>
                      <w:rFonts w:hint="eastAsia"/>
                    </w:rPr>
                    <w:t>）、</w:t>
                  </w:r>
                  <w:r>
                    <w:rPr>
                      <w:rFonts w:hint="eastAsia"/>
                      <w:szCs w:val="21"/>
                    </w:rPr>
                    <w:t>清洗废气（G</w:t>
                  </w:r>
                  <w:r>
                    <w:rPr>
                      <w:rFonts w:hint="eastAsia"/>
                      <w:szCs w:val="21"/>
                      <w:vertAlign w:val="subscript"/>
                    </w:rPr>
                    <w:t>3</w:t>
                  </w:r>
                  <w:r>
                    <w:rPr>
                      <w:rFonts w:hint="eastAsia"/>
                      <w:szCs w:val="21"/>
                    </w:rPr>
                    <w:t>）、组合管</w:t>
                  </w:r>
                  <w:r>
                    <w:rPr>
                      <w:szCs w:val="21"/>
                    </w:rPr>
                    <w:t>离心废气（</w:t>
                  </w:r>
                  <w:r>
                    <w:rPr>
                      <w:rFonts w:hint="eastAsia"/>
                      <w:szCs w:val="21"/>
                    </w:rPr>
                    <w:t>G</w:t>
                  </w:r>
                  <w:r>
                    <w:rPr>
                      <w:rFonts w:hint="eastAsia"/>
                      <w:szCs w:val="21"/>
                      <w:vertAlign w:val="subscript"/>
                    </w:rPr>
                    <w:t>4</w:t>
                  </w:r>
                  <w:r>
                    <w:rPr>
                      <w:szCs w:val="21"/>
                    </w:rPr>
                    <w:t>）</w:t>
                  </w:r>
                  <w:r>
                    <w:rPr>
                      <w:rFonts w:hint="eastAsia"/>
                    </w:rPr>
                    <w:t>：分别设置集气罩收集后一并进入1套二级活性炭吸附装置（TA001）处理后最终由15m高的DA002排气筒排放。</w:t>
                  </w:r>
                </w:p>
              </w:tc>
            </w:tr>
            <w:tr w14:paraId="16999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67EDE573">
                  <w:pPr>
                    <w:spacing w:line="276" w:lineRule="auto"/>
                    <w:contextualSpacing/>
                    <w:jc w:val="center"/>
                    <w:rPr>
                      <w:szCs w:val="21"/>
                    </w:rPr>
                  </w:pPr>
                </w:p>
              </w:tc>
              <w:tc>
                <w:tcPr>
                  <w:tcW w:w="1132" w:type="pct"/>
                  <w:gridSpan w:val="2"/>
                  <w:vAlign w:val="center"/>
                </w:tcPr>
                <w:p w14:paraId="74C1C105">
                  <w:pPr>
                    <w:spacing w:line="276" w:lineRule="auto"/>
                    <w:contextualSpacing/>
                    <w:jc w:val="center"/>
                    <w:rPr>
                      <w:szCs w:val="21"/>
                    </w:rPr>
                  </w:pPr>
                  <w:r>
                    <w:rPr>
                      <w:szCs w:val="21"/>
                    </w:rPr>
                    <w:t>废水治理</w:t>
                  </w:r>
                </w:p>
              </w:tc>
              <w:tc>
                <w:tcPr>
                  <w:tcW w:w="3198" w:type="pct"/>
                  <w:gridSpan w:val="3"/>
                  <w:vAlign w:val="center"/>
                </w:tcPr>
                <w:p w14:paraId="445E1D49">
                  <w:pPr>
                    <w:spacing w:line="276" w:lineRule="auto"/>
                    <w:contextualSpacing/>
                    <w:jc w:val="left"/>
                    <w:rPr>
                      <w:szCs w:val="21"/>
                    </w:rPr>
                  </w:pPr>
                  <w:r>
                    <w:rPr>
                      <w:kern w:val="0"/>
                      <w:szCs w:val="21"/>
                    </w:rPr>
                    <w:t>生活污水依托</w:t>
                  </w:r>
                  <w:r>
                    <w:rPr>
                      <w:rFonts w:hint="eastAsia"/>
                    </w:rPr>
                    <w:t>厂区内</w:t>
                  </w:r>
                  <w:r>
                    <w:rPr>
                      <w:kern w:val="0"/>
                      <w:szCs w:val="21"/>
                    </w:rPr>
                    <w:t>化粪池预处理后接管市政污水管网</w:t>
                  </w:r>
                  <w:r>
                    <w:rPr>
                      <w:rFonts w:hint="eastAsia"/>
                      <w:kern w:val="0"/>
                      <w:szCs w:val="21"/>
                    </w:rPr>
                    <w:t>，进入</w:t>
                  </w:r>
                  <w:r>
                    <w:rPr>
                      <w:kern w:val="0"/>
                      <w:szCs w:val="21"/>
                    </w:rPr>
                    <w:t>毛集实验区污水处理厂处理，处理达标后排放</w:t>
                  </w:r>
                </w:p>
              </w:tc>
            </w:tr>
            <w:tr w14:paraId="0C4D9A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70" w:type="pct"/>
                  <w:vMerge w:val="continue"/>
                  <w:vAlign w:val="center"/>
                </w:tcPr>
                <w:p w14:paraId="6B9C99C2">
                  <w:pPr>
                    <w:spacing w:line="276" w:lineRule="auto"/>
                    <w:contextualSpacing/>
                    <w:jc w:val="center"/>
                    <w:rPr>
                      <w:szCs w:val="21"/>
                    </w:rPr>
                  </w:pPr>
                </w:p>
              </w:tc>
              <w:tc>
                <w:tcPr>
                  <w:tcW w:w="1132" w:type="pct"/>
                  <w:gridSpan w:val="2"/>
                  <w:vAlign w:val="center"/>
                </w:tcPr>
                <w:p w14:paraId="36225FE9">
                  <w:pPr>
                    <w:spacing w:line="276" w:lineRule="auto"/>
                    <w:contextualSpacing/>
                    <w:jc w:val="center"/>
                    <w:rPr>
                      <w:szCs w:val="21"/>
                    </w:rPr>
                  </w:pPr>
                  <w:r>
                    <w:rPr>
                      <w:szCs w:val="21"/>
                    </w:rPr>
                    <w:t>噪声治理</w:t>
                  </w:r>
                </w:p>
              </w:tc>
              <w:tc>
                <w:tcPr>
                  <w:tcW w:w="3198" w:type="pct"/>
                  <w:gridSpan w:val="3"/>
                  <w:vAlign w:val="center"/>
                </w:tcPr>
                <w:p w14:paraId="0A6A5D12">
                  <w:pPr>
                    <w:spacing w:line="276" w:lineRule="auto"/>
                    <w:contextualSpacing/>
                    <w:jc w:val="center"/>
                    <w:rPr>
                      <w:szCs w:val="21"/>
                    </w:rPr>
                  </w:pPr>
                  <w:r>
                    <w:rPr>
                      <w:rFonts w:hint="eastAsia"/>
                      <w:szCs w:val="21"/>
                    </w:rPr>
                    <w:t>选用低噪声设备，采取隔声、减振、消声等措施</w:t>
                  </w:r>
                </w:p>
              </w:tc>
            </w:tr>
            <w:tr w14:paraId="62C3AA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 w:hRule="atLeast"/>
              </w:trPr>
              <w:tc>
                <w:tcPr>
                  <w:tcW w:w="670" w:type="pct"/>
                  <w:vMerge w:val="continue"/>
                  <w:vAlign w:val="center"/>
                </w:tcPr>
                <w:p w14:paraId="78BBA3F0">
                  <w:pPr>
                    <w:spacing w:line="276" w:lineRule="auto"/>
                    <w:contextualSpacing/>
                    <w:jc w:val="center"/>
                    <w:rPr>
                      <w:szCs w:val="21"/>
                    </w:rPr>
                  </w:pPr>
                </w:p>
              </w:tc>
              <w:tc>
                <w:tcPr>
                  <w:tcW w:w="1132" w:type="pct"/>
                  <w:gridSpan w:val="2"/>
                  <w:vMerge w:val="restart"/>
                  <w:vAlign w:val="center"/>
                </w:tcPr>
                <w:p w14:paraId="7B4ACB79">
                  <w:pPr>
                    <w:spacing w:line="276" w:lineRule="auto"/>
                    <w:contextualSpacing/>
                    <w:jc w:val="center"/>
                    <w:rPr>
                      <w:szCs w:val="21"/>
                    </w:rPr>
                  </w:pPr>
                  <w:r>
                    <w:rPr>
                      <w:szCs w:val="21"/>
                    </w:rPr>
                    <w:t>固废治理</w:t>
                  </w:r>
                </w:p>
              </w:tc>
              <w:tc>
                <w:tcPr>
                  <w:tcW w:w="3198" w:type="pct"/>
                  <w:gridSpan w:val="3"/>
                  <w:vAlign w:val="center"/>
                </w:tcPr>
                <w:p w14:paraId="63E438BF">
                  <w:pPr>
                    <w:pStyle w:val="108"/>
                    <w:spacing w:line="276" w:lineRule="auto"/>
                    <w:rPr>
                      <w:color w:val="auto"/>
                      <w:sz w:val="21"/>
                      <w:szCs w:val="21"/>
                    </w:rPr>
                  </w:pPr>
                  <w:r>
                    <w:rPr>
                      <w:rFonts w:hint="eastAsia"/>
                      <w:b/>
                      <w:color w:val="auto"/>
                      <w:kern w:val="2"/>
                      <w:sz w:val="21"/>
                      <w:szCs w:val="21"/>
                    </w:rPr>
                    <w:t>生活垃圾：</w:t>
                  </w:r>
                  <w:r>
                    <w:rPr>
                      <w:rFonts w:hint="eastAsia"/>
                      <w:bCs/>
                      <w:color w:val="auto"/>
                      <w:sz w:val="21"/>
                      <w:szCs w:val="21"/>
                    </w:rPr>
                    <w:t>由环卫部门清运</w:t>
                  </w:r>
                </w:p>
              </w:tc>
            </w:tr>
            <w:tr w14:paraId="174EFD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 w:hRule="atLeast"/>
              </w:trPr>
              <w:tc>
                <w:tcPr>
                  <w:tcW w:w="670" w:type="pct"/>
                  <w:vMerge w:val="continue"/>
                  <w:vAlign w:val="center"/>
                </w:tcPr>
                <w:p w14:paraId="5462FC76">
                  <w:pPr>
                    <w:spacing w:line="276" w:lineRule="auto"/>
                    <w:contextualSpacing/>
                    <w:jc w:val="center"/>
                    <w:rPr>
                      <w:szCs w:val="21"/>
                    </w:rPr>
                  </w:pPr>
                </w:p>
              </w:tc>
              <w:tc>
                <w:tcPr>
                  <w:tcW w:w="1132" w:type="pct"/>
                  <w:gridSpan w:val="2"/>
                  <w:vMerge w:val="continue"/>
                  <w:vAlign w:val="center"/>
                </w:tcPr>
                <w:p w14:paraId="3525C17C">
                  <w:pPr>
                    <w:spacing w:line="276" w:lineRule="auto"/>
                    <w:contextualSpacing/>
                    <w:jc w:val="center"/>
                    <w:rPr>
                      <w:szCs w:val="21"/>
                    </w:rPr>
                  </w:pPr>
                </w:p>
              </w:tc>
              <w:tc>
                <w:tcPr>
                  <w:tcW w:w="3198" w:type="pct"/>
                  <w:gridSpan w:val="3"/>
                  <w:vAlign w:val="center"/>
                </w:tcPr>
                <w:p w14:paraId="1BCFD048">
                  <w:pPr>
                    <w:pStyle w:val="108"/>
                    <w:spacing w:line="276" w:lineRule="auto"/>
                    <w:rPr>
                      <w:b/>
                      <w:color w:val="auto"/>
                      <w:kern w:val="2"/>
                      <w:sz w:val="21"/>
                      <w:szCs w:val="21"/>
                    </w:rPr>
                  </w:pPr>
                  <w:r>
                    <w:rPr>
                      <w:rFonts w:hint="eastAsia"/>
                      <w:b/>
                      <w:color w:val="auto"/>
                      <w:kern w:val="2"/>
                      <w:sz w:val="21"/>
                      <w:szCs w:val="21"/>
                    </w:rPr>
                    <w:t>一般工业固体废物：</w:t>
                  </w:r>
                  <w:r>
                    <w:rPr>
                      <w:rFonts w:hint="eastAsia"/>
                      <w:color w:val="auto"/>
                      <w:kern w:val="2"/>
                      <w:sz w:val="21"/>
                      <w:szCs w:val="21"/>
                    </w:rPr>
                    <w:t>生产厂房1层西南角设置</w:t>
                  </w:r>
                  <w:r>
                    <w:rPr>
                      <w:bCs/>
                      <w:color w:val="auto"/>
                      <w:sz w:val="21"/>
                      <w:szCs w:val="21"/>
                    </w:rPr>
                    <w:t>一般工业固体废物暂存间，占地</w:t>
                  </w:r>
                  <w:r>
                    <w:rPr>
                      <w:rFonts w:hint="eastAsia"/>
                      <w:bCs/>
                      <w:color w:val="auto"/>
                      <w:sz w:val="21"/>
                      <w:szCs w:val="21"/>
                    </w:rPr>
                    <w:t>25m</w:t>
                  </w:r>
                  <w:r>
                    <w:rPr>
                      <w:rFonts w:hint="eastAsia"/>
                      <w:bCs/>
                      <w:color w:val="auto"/>
                      <w:sz w:val="21"/>
                      <w:szCs w:val="21"/>
                      <w:vertAlign w:val="superscript"/>
                    </w:rPr>
                    <w:t>2</w:t>
                  </w:r>
                  <w:r>
                    <w:rPr>
                      <w:rFonts w:hint="eastAsia"/>
                      <w:bCs/>
                      <w:color w:val="auto"/>
                      <w:sz w:val="21"/>
                      <w:szCs w:val="21"/>
                    </w:rPr>
                    <w:t>，</w:t>
                  </w:r>
                  <w:r>
                    <w:rPr>
                      <w:rFonts w:hint="eastAsia" w:hAnsi="宋体"/>
                      <w:color w:val="auto"/>
                      <w:kern w:val="2"/>
                      <w:sz w:val="21"/>
                      <w:szCs w:val="21"/>
                    </w:rPr>
                    <w:t>废包材、废包装袋等一般工业固体废物在一般工业固体废物暂存间暂存</w:t>
                  </w:r>
                  <w:r>
                    <w:rPr>
                      <w:rFonts w:hint="eastAsia"/>
                      <w:bCs/>
                      <w:color w:val="auto"/>
                      <w:sz w:val="21"/>
                      <w:szCs w:val="21"/>
                    </w:rPr>
                    <w:t>后</w:t>
                  </w:r>
                  <w:r>
                    <w:rPr>
                      <w:bCs/>
                      <w:color w:val="auto"/>
                      <w:sz w:val="21"/>
                      <w:szCs w:val="21"/>
                    </w:rPr>
                    <w:t>定期外售综合利用</w:t>
                  </w:r>
                </w:p>
              </w:tc>
            </w:tr>
            <w:tr w14:paraId="5F7F3D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 w:hRule="atLeast"/>
              </w:trPr>
              <w:tc>
                <w:tcPr>
                  <w:tcW w:w="670" w:type="pct"/>
                  <w:vMerge w:val="continue"/>
                  <w:vAlign w:val="center"/>
                </w:tcPr>
                <w:p w14:paraId="1D9A64EF">
                  <w:pPr>
                    <w:spacing w:line="276" w:lineRule="auto"/>
                    <w:contextualSpacing/>
                    <w:jc w:val="center"/>
                    <w:rPr>
                      <w:szCs w:val="21"/>
                    </w:rPr>
                  </w:pPr>
                </w:p>
              </w:tc>
              <w:tc>
                <w:tcPr>
                  <w:tcW w:w="1132" w:type="pct"/>
                  <w:gridSpan w:val="2"/>
                  <w:vMerge w:val="continue"/>
                  <w:vAlign w:val="center"/>
                </w:tcPr>
                <w:p w14:paraId="598713B9">
                  <w:pPr>
                    <w:spacing w:line="276" w:lineRule="auto"/>
                    <w:contextualSpacing/>
                    <w:jc w:val="center"/>
                    <w:rPr>
                      <w:szCs w:val="21"/>
                    </w:rPr>
                  </w:pPr>
                </w:p>
              </w:tc>
              <w:tc>
                <w:tcPr>
                  <w:tcW w:w="3198" w:type="pct"/>
                  <w:gridSpan w:val="3"/>
                  <w:vAlign w:val="center"/>
                </w:tcPr>
                <w:p w14:paraId="07917A7A">
                  <w:pPr>
                    <w:pStyle w:val="108"/>
                    <w:spacing w:line="276" w:lineRule="auto"/>
                    <w:rPr>
                      <w:b/>
                      <w:color w:val="auto"/>
                      <w:kern w:val="2"/>
                      <w:sz w:val="21"/>
                      <w:szCs w:val="21"/>
                    </w:rPr>
                  </w:pPr>
                  <w:r>
                    <w:rPr>
                      <w:rFonts w:hint="eastAsia"/>
                      <w:b/>
                      <w:color w:val="auto"/>
                      <w:kern w:val="2"/>
                      <w:sz w:val="21"/>
                      <w:szCs w:val="21"/>
                    </w:rPr>
                    <w:t>危险废物：</w:t>
                  </w:r>
                  <w:r>
                    <w:rPr>
                      <w:rFonts w:hint="eastAsia"/>
                      <w:color w:val="auto"/>
                      <w:kern w:val="2"/>
                      <w:sz w:val="21"/>
                      <w:szCs w:val="21"/>
                    </w:rPr>
                    <w:t>生产厂房1层西南角设置</w:t>
                  </w:r>
                  <w:r>
                    <w:rPr>
                      <w:bCs/>
                      <w:color w:val="auto"/>
                      <w:sz w:val="21"/>
                      <w:szCs w:val="21"/>
                    </w:rPr>
                    <w:t>危险废物暂存间</w:t>
                  </w:r>
                  <w:r>
                    <w:rPr>
                      <w:rFonts w:hint="eastAsia"/>
                      <w:bCs/>
                      <w:color w:val="auto"/>
                      <w:sz w:val="21"/>
                      <w:szCs w:val="21"/>
                    </w:rPr>
                    <w:t>，</w:t>
                  </w:r>
                  <w:r>
                    <w:rPr>
                      <w:bCs/>
                      <w:color w:val="auto"/>
                      <w:sz w:val="21"/>
                      <w:szCs w:val="21"/>
                    </w:rPr>
                    <w:t>占地</w:t>
                  </w:r>
                  <w:r>
                    <w:rPr>
                      <w:rFonts w:hint="eastAsia"/>
                      <w:bCs/>
                      <w:color w:val="auto"/>
                      <w:sz w:val="21"/>
                      <w:szCs w:val="21"/>
                    </w:rPr>
                    <w:t>25m</w:t>
                  </w:r>
                  <w:r>
                    <w:rPr>
                      <w:rFonts w:hint="eastAsia"/>
                      <w:bCs/>
                      <w:color w:val="auto"/>
                      <w:sz w:val="21"/>
                      <w:szCs w:val="21"/>
                      <w:vertAlign w:val="superscript"/>
                    </w:rPr>
                    <w:t>2</w:t>
                  </w:r>
                  <w:r>
                    <w:rPr>
                      <w:rFonts w:hint="eastAsia"/>
                      <w:bCs/>
                      <w:color w:val="auto"/>
                      <w:sz w:val="21"/>
                      <w:szCs w:val="21"/>
                    </w:rPr>
                    <w:t>，</w:t>
                  </w:r>
                  <w:r>
                    <w:rPr>
                      <w:rFonts w:hint="eastAsia" w:hAnsi="宋体"/>
                      <w:color w:val="auto"/>
                      <w:kern w:val="2"/>
                      <w:sz w:val="21"/>
                      <w:szCs w:val="21"/>
                    </w:rPr>
                    <w:t>废包装桶、不合格品、清洗废液、离心废液、废活性炭等危险废物</w:t>
                  </w:r>
                  <w:r>
                    <w:rPr>
                      <w:rFonts w:hint="eastAsia"/>
                      <w:bCs/>
                      <w:color w:val="auto"/>
                      <w:sz w:val="21"/>
                      <w:szCs w:val="21"/>
                    </w:rPr>
                    <w:t>在危险废物暂存间暂存后委托有资质单位定期处置</w:t>
                  </w:r>
                </w:p>
              </w:tc>
            </w:tr>
            <w:tr w14:paraId="4B3CC3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 w:hRule="atLeast"/>
              </w:trPr>
              <w:tc>
                <w:tcPr>
                  <w:tcW w:w="670" w:type="pct"/>
                  <w:vMerge w:val="continue"/>
                  <w:vAlign w:val="center"/>
                </w:tcPr>
                <w:p w14:paraId="2FADDE34">
                  <w:pPr>
                    <w:spacing w:line="276" w:lineRule="auto"/>
                    <w:contextualSpacing/>
                    <w:jc w:val="center"/>
                    <w:rPr>
                      <w:szCs w:val="21"/>
                    </w:rPr>
                  </w:pPr>
                </w:p>
              </w:tc>
              <w:tc>
                <w:tcPr>
                  <w:tcW w:w="1132" w:type="pct"/>
                  <w:gridSpan w:val="2"/>
                  <w:vAlign w:val="center"/>
                </w:tcPr>
                <w:p w14:paraId="7C7D0059">
                  <w:pPr>
                    <w:spacing w:line="276" w:lineRule="auto"/>
                    <w:contextualSpacing/>
                    <w:jc w:val="center"/>
                    <w:rPr>
                      <w:szCs w:val="21"/>
                    </w:rPr>
                  </w:pPr>
                  <w:r>
                    <w:rPr>
                      <w:szCs w:val="21"/>
                    </w:rPr>
                    <w:t>地下水</w:t>
                  </w:r>
                  <w:r>
                    <w:rPr>
                      <w:rFonts w:hint="eastAsia"/>
                      <w:szCs w:val="21"/>
                    </w:rPr>
                    <w:t>、</w:t>
                  </w:r>
                  <w:r>
                    <w:rPr>
                      <w:szCs w:val="21"/>
                    </w:rPr>
                    <w:t>土壤防治</w:t>
                  </w:r>
                </w:p>
              </w:tc>
              <w:tc>
                <w:tcPr>
                  <w:tcW w:w="3198" w:type="pct"/>
                  <w:gridSpan w:val="3"/>
                  <w:vAlign w:val="center"/>
                </w:tcPr>
                <w:p w14:paraId="3D637295">
                  <w:pPr>
                    <w:pStyle w:val="108"/>
                    <w:spacing w:line="276" w:lineRule="auto"/>
                    <w:jc w:val="center"/>
                    <w:rPr>
                      <w:color w:val="auto"/>
                      <w:kern w:val="2"/>
                      <w:sz w:val="21"/>
                      <w:szCs w:val="21"/>
                    </w:rPr>
                  </w:pPr>
                  <w:r>
                    <w:rPr>
                      <w:rFonts w:hint="eastAsia"/>
                      <w:b/>
                      <w:color w:val="auto"/>
                      <w:kern w:val="2"/>
                      <w:sz w:val="21"/>
                      <w:szCs w:val="21"/>
                    </w:rPr>
                    <w:t>分区防渗：</w:t>
                  </w:r>
                  <w:r>
                    <w:rPr>
                      <w:rFonts w:hint="eastAsia"/>
                      <w:color w:val="auto"/>
                      <w:kern w:val="2"/>
                      <w:sz w:val="21"/>
                      <w:szCs w:val="21"/>
                    </w:rPr>
                    <w:t>危废暂存间、化学品库等重点防渗，生产厂房其他区域一般防渗</w:t>
                  </w:r>
                </w:p>
              </w:tc>
            </w:tr>
            <w:tr w14:paraId="1AC16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 w:hRule="atLeast"/>
              </w:trPr>
              <w:tc>
                <w:tcPr>
                  <w:tcW w:w="670" w:type="pct"/>
                  <w:vMerge w:val="continue"/>
                  <w:vAlign w:val="center"/>
                </w:tcPr>
                <w:p w14:paraId="0D9C286B">
                  <w:pPr>
                    <w:spacing w:line="276" w:lineRule="auto"/>
                    <w:contextualSpacing/>
                    <w:jc w:val="center"/>
                    <w:rPr>
                      <w:szCs w:val="21"/>
                    </w:rPr>
                  </w:pPr>
                </w:p>
              </w:tc>
              <w:tc>
                <w:tcPr>
                  <w:tcW w:w="1132" w:type="pct"/>
                  <w:gridSpan w:val="2"/>
                  <w:vAlign w:val="center"/>
                </w:tcPr>
                <w:p w14:paraId="1320745D">
                  <w:pPr>
                    <w:spacing w:line="276" w:lineRule="auto"/>
                    <w:contextualSpacing/>
                    <w:jc w:val="center"/>
                    <w:rPr>
                      <w:szCs w:val="21"/>
                    </w:rPr>
                  </w:pPr>
                  <w:r>
                    <w:rPr>
                      <w:szCs w:val="21"/>
                    </w:rPr>
                    <w:t>环境风险防范措施和应急措施</w:t>
                  </w:r>
                </w:p>
              </w:tc>
              <w:tc>
                <w:tcPr>
                  <w:tcW w:w="3198" w:type="pct"/>
                  <w:gridSpan w:val="3"/>
                  <w:vAlign w:val="center"/>
                </w:tcPr>
                <w:p w14:paraId="25ABF1B0">
                  <w:pPr>
                    <w:pStyle w:val="108"/>
                    <w:spacing w:line="276" w:lineRule="auto"/>
                    <w:jc w:val="center"/>
                    <w:rPr>
                      <w:color w:val="auto"/>
                      <w:kern w:val="2"/>
                      <w:sz w:val="21"/>
                      <w:szCs w:val="21"/>
                    </w:rPr>
                  </w:pPr>
                  <w:r>
                    <w:rPr>
                      <w:rFonts w:hint="eastAsia"/>
                      <w:color w:val="auto"/>
                      <w:kern w:val="2"/>
                      <w:sz w:val="21"/>
                      <w:szCs w:val="21"/>
                    </w:rPr>
                    <w:t>按照国家和地方规定，制订企业突发环境事件应急预案，并报相关部门备案</w:t>
                  </w:r>
                </w:p>
              </w:tc>
            </w:tr>
          </w:tbl>
          <w:p w14:paraId="295A4357">
            <w:pPr>
              <w:spacing w:line="360" w:lineRule="auto"/>
              <w:ind w:firstLine="482" w:firstLineChars="200"/>
              <w:rPr>
                <w:b/>
                <w:sz w:val="24"/>
              </w:rPr>
            </w:pPr>
            <w:r>
              <w:rPr>
                <w:rFonts w:hint="eastAsia"/>
                <w:b/>
                <w:sz w:val="24"/>
              </w:rPr>
              <w:t>4、产品方案</w:t>
            </w:r>
          </w:p>
          <w:p w14:paraId="110FB586">
            <w:pPr>
              <w:pStyle w:val="108"/>
              <w:adjustRightInd/>
              <w:spacing w:line="360" w:lineRule="auto"/>
              <w:ind w:firstLine="480" w:firstLineChars="200"/>
              <w:rPr>
                <w:color w:val="auto"/>
              </w:rPr>
            </w:pPr>
            <w:r>
              <w:rPr>
                <w:rFonts w:hint="eastAsia"/>
                <w:color w:val="auto"/>
              </w:rPr>
              <w:t>本项目年产9000万只荧光棒玩具，包括荧光棒生产。荧光棒外层为塑料管，塑料管内置玻璃管，玻璃管内液体称为发光液（主要成分为邻苯二甲酸二甲酯、双草酸酯、染料（无重金属））；塑料管和玻璃管之间的液体称为活化剂（主要成分为邻苯二甲酸二甲酯、双氧水）。项目产品方案及规格具体如下表。</w:t>
            </w:r>
          </w:p>
          <w:p w14:paraId="586659D0">
            <w:pPr>
              <w:autoSpaceDE w:val="0"/>
              <w:autoSpaceDN w:val="0"/>
              <w:adjustRightInd w:val="0"/>
              <w:snapToGrid w:val="0"/>
              <w:jc w:val="center"/>
              <w:rPr>
                <w:rFonts w:ascii="黑体" w:hAnsi="黑体" w:eastAsia="黑体"/>
                <w:bCs/>
                <w:szCs w:val="21"/>
              </w:rPr>
            </w:pPr>
            <w:r>
              <w:rPr>
                <w:rFonts w:hAnsi="黑体" w:eastAsia="黑体"/>
                <w:sz w:val="24"/>
                <w:szCs w:val="24"/>
              </w:rPr>
              <w:t>表</w:t>
            </w:r>
            <w:r>
              <w:rPr>
                <w:rFonts w:hint="eastAsia" w:hAnsi="黑体" w:eastAsia="黑体"/>
                <w:sz w:val="24"/>
                <w:szCs w:val="24"/>
              </w:rPr>
              <w:t>15  产品方案一览表</w:t>
            </w:r>
          </w:p>
          <w:tbl>
            <w:tblPr>
              <w:tblStyle w:val="34"/>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21"/>
              <w:gridCol w:w="1418"/>
              <w:gridCol w:w="1448"/>
              <w:gridCol w:w="1486"/>
              <w:gridCol w:w="1486"/>
              <w:gridCol w:w="1487"/>
            </w:tblGrid>
            <w:tr w14:paraId="3DD206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822" w:type="dxa"/>
                  <w:vAlign w:val="center"/>
                </w:tcPr>
                <w:p w14:paraId="4A54430D">
                  <w:pPr>
                    <w:pStyle w:val="105"/>
                    <w:spacing w:line="276" w:lineRule="auto"/>
                    <w:rPr>
                      <w:b/>
                      <w:bCs/>
                      <w:szCs w:val="24"/>
                    </w:rPr>
                  </w:pPr>
                  <w:r>
                    <w:rPr>
                      <w:rFonts w:hint="eastAsia"/>
                      <w:b/>
                      <w:bCs/>
                      <w:szCs w:val="24"/>
                    </w:rPr>
                    <w:t>产品名称</w:t>
                  </w:r>
                </w:p>
              </w:tc>
              <w:tc>
                <w:tcPr>
                  <w:tcW w:w="1418" w:type="dxa"/>
                  <w:vAlign w:val="center"/>
                </w:tcPr>
                <w:p w14:paraId="108EFF68">
                  <w:pPr>
                    <w:pStyle w:val="105"/>
                    <w:spacing w:line="276" w:lineRule="auto"/>
                    <w:rPr>
                      <w:b/>
                      <w:bCs/>
                      <w:szCs w:val="24"/>
                    </w:rPr>
                  </w:pPr>
                  <w:r>
                    <w:rPr>
                      <w:rFonts w:hint="eastAsia"/>
                      <w:b/>
                      <w:bCs/>
                      <w:szCs w:val="24"/>
                    </w:rPr>
                    <w:t>产量</w:t>
                  </w:r>
                </w:p>
              </w:tc>
              <w:tc>
                <w:tcPr>
                  <w:tcW w:w="1448" w:type="dxa"/>
                  <w:vAlign w:val="center"/>
                </w:tcPr>
                <w:p w14:paraId="2B166B6A">
                  <w:pPr>
                    <w:pStyle w:val="105"/>
                    <w:spacing w:line="276" w:lineRule="auto"/>
                    <w:rPr>
                      <w:b/>
                      <w:bCs/>
                      <w:szCs w:val="24"/>
                    </w:rPr>
                  </w:pPr>
                  <w:r>
                    <w:rPr>
                      <w:rFonts w:hint="eastAsia"/>
                      <w:b/>
                      <w:bCs/>
                      <w:szCs w:val="24"/>
                    </w:rPr>
                    <w:t>规格</w:t>
                  </w:r>
                </w:p>
              </w:tc>
              <w:tc>
                <w:tcPr>
                  <w:tcW w:w="1486" w:type="dxa"/>
                  <w:vAlign w:val="center"/>
                </w:tcPr>
                <w:p w14:paraId="707CFA95">
                  <w:pPr>
                    <w:pStyle w:val="105"/>
                    <w:spacing w:line="276" w:lineRule="auto"/>
                    <w:rPr>
                      <w:b/>
                      <w:bCs/>
                      <w:szCs w:val="24"/>
                    </w:rPr>
                  </w:pPr>
                  <w:r>
                    <w:rPr>
                      <w:rFonts w:hint="eastAsia"/>
                      <w:b/>
                      <w:bCs/>
                      <w:szCs w:val="24"/>
                    </w:rPr>
                    <w:t>单个重量（g）</w:t>
                  </w:r>
                </w:p>
              </w:tc>
              <w:tc>
                <w:tcPr>
                  <w:tcW w:w="1486" w:type="dxa"/>
                  <w:vAlign w:val="center"/>
                </w:tcPr>
                <w:p w14:paraId="59045435">
                  <w:pPr>
                    <w:pStyle w:val="105"/>
                    <w:spacing w:line="276" w:lineRule="auto"/>
                    <w:rPr>
                      <w:b/>
                      <w:bCs/>
                      <w:szCs w:val="24"/>
                    </w:rPr>
                  </w:pPr>
                  <w:r>
                    <w:rPr>
                      <w:b/>
                      <w:bCs/>
                      <w:szCs w:val="24"/>
                    </w:rPr>
                    <w:t>单个消耗活化剂的量</w:t>
                  </w:r>
                  <w:r>
                    <w:rPr>
                      <w:rFonts w:hint="eastAsia"/>
                      <w:b/>
                      <w:bCs/>
                      <w:szCs w:val="24"/>
                    </w:rPr>
                    <w:t>（g）</w:t>
                  </w:r>
                </w:p>
              </w:tc>
              <w:tc>
                <w:tcPr>
                  <w:tcW w:w="1487" w:type="dxa"/>
                  <w:vAlign w:val="center"/>
                </w:tcPr>
                <w:p w14:paraId="77590090">
                  <w:pPr>
                    <w:pStyle w:val="105"/>
                    <w:spacing w:line="276" w:lineRule="auto"/>
                    <w:rPr>
                      <w:b/>
                      <w:bCs/>
                      <w:szCs w:val="24"/>
                    </w:rPr>
                  </w:pPr>
                  <w:r>
                    <w:rPr>
                      <w:b/>
                      <w:bCs/>
                      <w:szCs w:val="24"/>
                    </w:rPr>
                    <w:t>单个消耗发光液的量</w:t>
                  </w:r>
                  <w:r>
                    <w:rPr>
                      <w:rFonts w:hint="eastAsia"/>
                      <w:b/>
                      <w:bCs/>
                      <w:szCs w:val="24"/>
                    </w:rPr>
                    <w:t>(g)</w:t>
                  </w:r>
                </w:p>
              </w:tc>
            </w:tr>
            <w:tr w14:paraId="299649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9" w:hRule="atLeast"/>
                <w:jc w:val="center"/>
              </w:trPr>
              <w:tc>
                <w:tcPr>
                  <w:tcW w:w="822" w:type="dxa"/>
                  <w:vMerge w:val="restart"/>
                  <w:vAlign w:val="center"/>
                </w:tcPr>
                <w:p w14:paraId="618E514F">
                  <w:pPr>
                    <w:pStyle w:val="105"/>
                    <w:spacing w:line="276" w:lineRule="auto"/>
                    <w:rPr>
                      <w:szCs w:val="24"/>
                    </w:rPr>
                  </w:pPr>
                  <w:r>
                    <w:rPr>
                      <w:rFonts w:hint="eastAsia"/>
                      <w:szCs w:val="24"/>
                    </w:rPr>
                    <w:t>荧光棒</w:t>
                  </w:r>
                </w:p>
              </w:tc>
              <w:tc>
                <w:tcPr>
                  <w:tcW w:w="1418" w:type="dxa"/>
                  <w:vAlign w:val="center"/>
                </w:tcPr>
                <w:p w14:paraId="53BCE840">
                  <w:pPr>
                    <w:pStyle w:val="105"/>
                    <w:spacing w:line="276" w:lineRule="auto"/>
                    <w:rPr>
                      <w:szCs w:val="21"/>
                    </w:rPr>
                  </w:pPr>
                  <w:r>
                    <w:rPr>
                      <w:szCs w:val="21"/>
                    </w:rPr>
                    <w:t>28.6</w:t>
                  </w:r>
                  <w:r>
                    <w:rPr>
                      <w:rFonts w:hAnsi="宋体"/>
                      <w:bCs/>
                      <w:szCs w:val="21"/>
                    </w:rPr>
                    <w:t>万支</w:t>
                  </w:r>
                  <w:r>
                    <w:rPr>
                      <w:bCs/>
                      <w:szCs w:val="21"/>
                    </w:rPr>
                    <w:t>/</w:t>
                  </w:r>
                  <w:r>
                    <w:rPr>
                      <w:rFonts w:hAnsi="宋体"/>
                      <w:bCs/>
                      <w:szCs w:val="21"/>
                    </w:rPr>
                    <w:t>天</w:t>
                  </w:r>
                </w:p>
              </w:tc>
              <w:tc>
                <w:tcPr>
                  <w:tcW w:w="1448" w:type="dxa"/>
                  <w:vAlign w:val="center"/>
                </w:tcPr>
                <w:p w14:paraId="6A2FA1C9">
                  <w:pPr>
                    <w:pStyle w:val="105"/>
                    <w:spacing w:line="276" w:lineRule="auto"/>
                    <w:rPr>
                      <w:szCs w:val="24"/>
                    </w:rPr>
                  </w:pPr>
                  <w:r>
                    <w:rPr>
                      <w:rFonts w:hint="eastAsia"/>
                      <w:szCs w:val="24"/>
                    </w:rPr>
                    <w:t>长20cm，</w:t>
                  </w:r>
                </w:p>
                <w:p w14:paraId="5A0F5982">
                  <w:pPr>
                    <w:pStyle w:val="105"/>
                    <w:spacing w:line="276" w:lineRule="auto"/>
                    <w:rPr>
                      <w:szCs w:val="24"/>
                    </w:rPr>
                  </w:pPr>
                  <w:r>
                    <w:rPr>
                      <w:rFonts w:hint="eastAsia"/>
                      <w:szCs w:val="24"/>
                    </w:rPr>
                    <w:t>直径0.5cm</w:t>
                  </w:r>
                </w:p>
              </w:tc>
              <w:tc>
                <w:tcPr>
                  <w:tcW w:w="1486" w:type="dxa"/>
                  <w:vAlign w:val="center"/>
                </w:tcPr>
                <w:p w14:paraId="65013EFF">
                  <w:pPr>
                    <w:pStyle w:val="105"/>
                    <w:spacing w:line="276" w:lineRule="auto"/>
                    <w:rPr>
                      <w:szCs w:val="24"/>
                    </w:rPr>
                  </w:pPr>
                  <w:r>
                    <w:rPr>
                      <w:rFonts w:hint="eastAsia"/>
                      <w:szCs w:val="24"/>
                    </w:rPr>
                    <w:t>4.2</w:t>
                  </w:r>
                </w:p>
              </w:tc>
              <w:tc>
                <w:tcPr>
                  <w:tcW w:w="1486" w:type="dxa"/>
                  <w:vAlign w:val="center"/>
                </w:tcPr>
                <w:p w14:paraId="534893FF">
                  <w:pPr>
                    <w:pStyle w:val="105"/>
                    <w:spacing w:line="276" w:lineRule="auto"/>
                    <w:rPr>
                      <w:szCs w:val="24"/>
                    </w:rPr>
                  </w:pPr>
                  <w:r>
                    <w:rPr>
                      <w:rFonts w:hint="eastAsia"/>
                      <w:szCs w:val="24"/>
                    </w:rPr>
                    <w:t>0.65</w:t>
                  </w:r>
                </w:p>
              </w:tc>
              <w:tc>
                <w:tcPr>
                  <w:tcW w:w="1487" w:type="dxa"/>
                  <w:vAlign w:val="center"/>
                </w:tcPr>
                <w:p w14:paraId="25B3FE1C">
                  <w:pPr>
                    <w:pStyle w:val="105"/>
                    <w:spacing w:line="276" w:lineRule="auto"/>
                    <w:rPr>
                      <w:szCs w:val="24"/>
                    </w:rPr>
                  </w:pPr>
                  <w:r>
                    <w:rPr>
                      <w:rFonts w:hint="eastAsia"/>
                      <w:szCs w:val="24"/>
                    </w:rPr>
                    <w:t>0.5</w:t>
                  </w:r>
                </w:p>
              </w:tc>
            </w:tr>
            <w:tr w14:paraId="5F4A1E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2" w:hRule="atLeast"/>
                <w:jc w:val="center"/>
              </w:trPr>
              <w:tc>
                <w:tcPr>
                  <w:tcW w:w="822" w:type="dxa"/>
                  <w:vMerge w:val="continue"/>
                  <w:vAlign w:val="center"/>
                </w:tcPr>
                <w:p w14:paraId="1EC9560C">
                  <w:pPr>
                    <w:pStyle w:val="105"/>
                    <w:spacing w:line="276" w:lineRule="auto"/>
                    <w:rPr>
                      <w:szCs w:val="24"/>
                    </w:rPr>
                  </w:pPr>
                </w:p>
              </w:tc>
              <w:tc>
                <w:tcPr>
                  <w:tcW w:w="1418" w:type="dxa"/>
                  <w:vAlign w:val="center"/>
                </w:tcPr>
                <w:p w14:paraId="4290D1E8">
                  <w:pPr>
                    <w:pStyle w:val="105"/>
                    <w:spacing w:line="276" w:lineRule="auto"/>
                    <w:rPr>
                      <w:szCs w:val="21"/>
                    </w:rPr>
                  </w:pPr>
                  <w:r>
                    <w:rPr>
                      <w:szCs w:val="21"/>
                    </w:rPr>
                    <w:t>0.7</w:t>
                  </w:r>
                  <w:r>
                    <w:rPr>
                      <w:rFonts w:hAnsi="宋体"/>
                      <w:bCs/>
                      <w:szCs w:val="21"/>
                    </w:rPr>
                    <w:t>万支</w:t>
                  </w:r>
                  <w:r>
                    <w:rPr>
                      <w:bCs/>
                      <w:szCs w:val="21"/>
                    </w:rPr>
                    <w:t>/</w:t>
                  </w:r>
                  <w:r>
                    <w:rPr>
                      <w:rFonts w:hAnsi="宋体"/>
                      <w:bCs/>
                      <w:szCs w:val="21"/>
                    </w:rPr>
                    <w:t>天</w:t>
                  </w:r>
                </w:p>
              </w:tc>
              <w:tc>
                <w:tcPr>
                  <w:tcW w:w="1448" w:type="dxa"/>
                  <w:vAlign w:val="center"/>
                </w:tcPr>
                <w:p w14:paraId="58A28CAC">
                  <w:pPr>
                    <w:pStyle w:val="105"/>
                    <w:spacing w:line="276" w:lineRule="auto"/>
                    <w:rPr>
                      <w:szCs w:val="24"/>
                    </w:rPr>
                  </w:pPr>
                  <w:r>
                    <w:rPr>
                      <w:szCs w:val="24"/>
                    </w:rPr>
                    <w:t>长</w:t>
                  </w:r>
                  <w:r>
                    <w:rPr>
                      <w:rFonts w:hint="eastAsia"/>
                      <w:szCs w:val="24"/>
                    </w:rPr>
                    <w:t>15cm，</w:t>
                  </w:r>
                </w:p>
                <w:p w14:paraId="6EEC9657">
                  <w:pPr>
                    <w:pStyle w:val="105"/>
                    <w:spacing w:line="276" w:lineRule="auto"/>
                    <w:rPr>
                      <w:szCs w:val="24"/>
                    </w:rPr>
                  </w:pPr>
                  <w:r>
                    <w:rPr>
                      <w:rFonts w:hint="eastAsia"/>
                      <w:szCs w:val="24"/>
                    </w:rPr>
                    <w:t>直径1.5cm</w:t>
                  </w:r>
                </w:p>
              </w:tc>
              <w:tc>
                <w:tcPr>
                  <w:tcW w:w="1486" w:type="dxa"/>
                  <w:vAlign w:val="center"/>
                </w:tcPr>
                <w:p w14:paraId="42D4002F">
                  <w:pPr>
                    <w:pStyle w:val="105"/>
                    <w:spacing w:line="276" w:lineRule="auto"/>
                    <w:rPr>
                      <w:szCs w:val="24"/>
                    </w:rPr>
                  </w:pPr>
                  <w:r>
                    <w:rPr>
                      <w:rFonts w:hint="eastAsia"/>
                      <w:szCs w:val="24"/>
                    </w:rPr>
                    <w:t>21</w:t>
                  </w:r>
                </w:p>
              </w:tc>
              <w:tc>
                <w:tcPr>
                  <w:tcW w:w="1486" w:type="dxa"/>
                  <w:vAlign w:val="center"/>
                </w:tcPr>
                <w:p w14:paraId="48A10CA5">
                  <w:pPr>
                    <w:pStyle w:val="105"/>
                    <w:spacing w:line="276" w:lineRule="auto"/>
                    <w:rPr>
                      <w:szCs w:val="24"/>
                    </w:rPr>
                  </w:pPr>
                  <w:r>
                    <w:rPr>
                      <w:rFonts w:hint="eastAsia"/>
                      <w:szCs w:val="24"/>
                    </w:rPr>
                    <w:t>7</w:t>
                  </w:r>
                </w:p>
              </w:tc>
              <w:tc>
                <w:tcPr>
                  <w:tcW w:w="1487" w:type="dxa"/>
                  <w:vAlign w:val="center"/>
                </w:tcPr>
                <w:p w14:paraId="76687D9C">
                  <w:pPr>
                    <w:pStyle w:val="105"/>
                    <w:spacing w:line="276" w:lineRule="auto"/>
                    <w:rPr>
                      <w:szCs w:val="24"/>
                    </w:rPr>
                  </w:pPr>
                  <w:r>
                    <w:rPr>
                      <w:rFonts w:hint="eastAsia"/>
                      <w:szCs w:val="24"/>
                    </w:rPr>
                    <w:t>5</w:t>
                  </w:r>
                </w:p>
              </w:tc>
            </w:tr>
            <w:tr w14:paraId="28AAE1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 w:hRule="atLeast"/>
                <w:jc w:val="center"/>
              </w:trPr>
              <w:tc>
                <w:tcPr>
                  <w:tcW w:w="822" w:type="dxa"/>
                  <w:vMerge w:val="continue"/>
                  <w:vAlign w:val="center"/>
                </w:tcPr>
                <w:p w14:paraId="4B3ADBB9">
                  <w:pPr>
                    <w:pStyle w:val="105"/>
                    <w:spacing w:line="276" w:lineRule="auto"/>
                    <w:rPr>
                      <w:szCs w:val="24"/>
                    </w:rPr>
                  </w:pPr>
                </w:p>
              </w:tc>
              <w:tc>
                <w:tcPr>
                  <w:tcW w:w="1418" w:type="dxa"/>
                  <w:vAlign w:val="center"/>
                </w:tcPr>
                <w:p w14:paraId="27266B0F">
                  <w:pPr>
                    <w:pStyle w:val="105"/>
                    <w:spacing w:line="276" w:lineRule="auto"/>
                    <w:rPr>
                      <w:szCs w:val="21"/>
                    </w:rPr>
                  </w:pPr>
                  <w:r>
                    <w:rPr>
                      <w:szCs w:val="21"/>
                    </w:rPr>
                    <w:t>0.7</w:t>
                  </w:r>
                  <w:r>
                    <w:rPr>
                      <w:rFonts w:hAnsi="宋体"/>
                      <w:bCs/>
                      <w:szCs w:val="21"/>
                    </w:rPr>
                    <w:t>万支</w:t>
                  </w:r>
                  <w:r>
                    <w:rPr>
                      <w:bCs/>
                      <w:szCs w:val="21"/>
                    </w:rPr>
                    <w:t>/</w:t>
                  </w:r>
                  <w:r>
                    <w:rPr>
                      <w:rFonts w:hAnsi="宋体"/>
                      <w:bCs/>
                      <w:szCs w:val="21"/>
                    </w:rPr>
                    <w:t>天</w:t>
                  </w:r>
                </w:p>
              </w:tc>
              <w:tc>
                <w:tcPr>
                  <w:tcW w:w="1448" w:type="dxa"/>
                  <w:vAlign w:val="center"/>
                </w:tcPr>
                <w:p w14:paraId="723192E0">
                  <w:pPr>
                    <w:widowControl/>
                    <w:spacing w:line="276" w:lineRule="auto"/>
                    <w:jc w:val="center"/>
                    <w:rPr>
                      <w:szCs w:val="24"/>
                    </w:rPr>
                  </w:pPr>
                  <w:r>
                    <w:rPr>
                      <w:rFonts w:hint="eastAsia"/>
                      <w:szCs w:val="24"/>
                    </w:rPr>
                    <w:t>长30cm，</w:t>
                  </w:r>
                </w:p>
                <w:p w14:paraId="123CCE10">
                  <w:pPr>
                    <w:widowControl/>
                    <w:spacing w:line="276" w:lineRule="auto"/>
                    <w:jc w:val="center"/>
                    <w:rPr>
                      <w:szCs w:val="24"/>
                    </w:rPr>
                  </w:pPr>
                  <w:r>
                    <w:rPr>
                      <w:rFonts w:hint="eastAsia"/>
                      <w:szCs w:val="24"/>
                    </w:rPr>
                    <w:t>直径30cm</w:t>
                  </w:r>
                </w:p>
              </w:tc>
              <w:tc>
                <w:tcPr>
                  <w:tcW w:w="1486" w:type="dxa"/>
                  <w:vAlign w:val="center"/>
                </w:tcPr>
                <w:p w14:paraId="10940293">
                  <w:pPr>
                    <w:widowControl/>
                    <w:spacing w:line="276" w:lineRule="auto"/>
                    <w:jc w:val="center"/>
                    <w:rPr>
                      <w:szCs w:val="24"/>
                    </w:rPr>
                  </w:pPr>
                  <w:r>
                    <w:rPr>
                      <w:rFonts w:hint="eastAsia"/>
                      <w:szCs w:val="24"/>
                    </w:rPr>
                    <w:t>22</w:t>
                  </w:r>
                </w:p>
              </w:tc>
              <w:tc>
                <w:tcPr>
                  <w:tcW w:w="1486" w:type="dxa"/>
                  <w:vAlign w:val="center"/>
                </w:tcPr>
                <w:p w14:paraId="7FCA4E9E">
                  <w:pPr>
                    <w:widowControl/>
                    <w:spacing w:line="276" w:lineRule="auto"/>
                    <w:jc w:val="center"/>
                    <w:rPr>
                      <w:szCs w:val="24"/>
                    </w:rPr>
                  </w:pPr>
                  <w:r>
                    <w:rPr>
                      <w:rFonts w:hint="eastAsia"/>
                      <w:szCs w:val="24"/>
                    </w:rPr>
                    <w:t>7</w:t>
                  </w:r>
                </w:p>
              </w:tc>
              <w:tc>
                <w:tcPr>
                  <w:tcW w:w="1487" w:type="dxa"/>
                  <w:vAlign w:val="center"/>
                </w:tcPr>
                <w:p w14:paraId="04B2164C">
                  <w:pPr>
                    <w:widowControl/>
                    <w:spacing w:line="276" w:lineRule="auto"/>
                    <w:jc w:val="center"/>
                    <w:rPr>
                      <w:szCs w:val="24"/>
                    </w:rPr>
                  </w:pPr>
                  <w:r>
                    <w:rPr>
                      <w:rFonts w:hint="eastAsia"/>
                      <w:szCs w:val="24"/>
                    </w:rPr>
                    <w:t>5</w:t>
                  </w:r>
                </w:p>
              </w:tc>
            </w:tr>
          </w:tbl>
          <w:p w14:paraId="60F13CD7">
            <w:pPr>
              <w:pStyle w:val="108"/>
              <w:adjustRightInd/>
              <w:spacing w:line="360" w:lineRule="auto"/>
              <w:ind w:firstLine="480" w:firstLineChars="200"/>
              <w:jc w:val="center"/>
              <w:rPr>
                <w:color w:val="auto"/>
              </w:rPr>
            </w:pPr>
            <w:r>
              <w:rPr>
                <w:color w:val="auto"/>
              </w:rPr>
              <w:pict>
                <v:group id="_x0000_s7644" o:spid="_x0000_s7644" o:spt="203" style="height:86.9pt;width:274.9pt;" coordorigin="3369,10252" coordsize="4859,1536" editas="canvas">
                  <o:lock v:ext="edit"/>
                  <v:shape id="_x0000_s7645" o:spid="_x0000_s7645" o:spt="75" type="#_x0000_t75" style="position:absolute;left:3369;top:10252;height:1536;width:4859;" filled="f" o:preferrelative="f" stroked="f" coordsize="21600,21600">
                    <v:path/>
                    <v:fill on="f" focussize="0,0"/>
                    <v:stroke on="f" joinstyle="miter"/>
                    <v:imagedata o:title=""/>
                    <o:lock v:ext="edit" text="t" aspectratio="t"/>
                  </v:shape>
                  <v:shape id="_x0000_s7646" o:spid="_x0000_s7646" o:spt="3" type="#_x0000_t3" style="position:absolute;left:5008;top:10453;height:1272;width:1273;" fillcolor="#EEECE1" filled="t" coordsize="21600,21600">
                    <v:path/>
                    <v:fill on="t" focussize="0,0"/>
                    <v:stroke weight="1.25pt"/>
                    <v:imagedata o:title=""/>
                    <o:lock v:ext="edit"/>
                  </v:shape>
                  <v:shape id="_x0000_s7647" o:spid="_x0000_s7647" o:spt="3" type="#_x0000_t3" style="position:absolute;left:5314;top:10793;height:620;width:636;" fillcolor="#FABF8F" filled="t" stroked="t" coordsize="21600,21600">
                    <v:path/>
                    <v:fill on="t" focussize="0,0"/>
                    <v:stroke color="#FFFFFF"/>
                    <v:imagedata o:title=""/>
                    <o:lock v:ext="edit"/>
                  </v:shape>
                  <v:shape id="_x0000_s7648" o:spid="_x0000_s7648" o:spt="202" type="#_x0000_t202" style="position:absolute;left:5239;top:10881;height:399;width:831;" filled="f" stroked="f" coordsize="21600,21600">
                    <v:path/>
                    <v:fill on="f" focussize="0,0"/>
                    <v:stroke on="f" joinstyle="miter"/>
                    <v:imagedata o:title=""/>
                    <o:lock v:ext="edit"/>
                    <v:textbox>
                      <w:txbxContent>
                        <w:p w14:paraId="322ECA53">
                          <w:pPr>
                            <w:rPr>
                              <w:rFonts w:ascii="黑体" w:hAnsi="黑体" w:eastAsia="黑体"/>
                              <w:color w:val="FF0000"/>
                              <w:sz w:val="18"/>
                              <w:szCs w:val="18"/>
                            </w:rPr>
                          </w:pPr>
                          <w:r>
                            <w:rPr>
                              <w:rFonts w:ascii="黑体" w:hAnsi="黑体" w:eastAsia="黑体"/>
                              <w:color w:val="FF0000"/>
                              <w:sz w:val="18"/>
                              <w:szCs w:val="18"/>
                            </w:rPr>
                            <w:t>发光液</w:t>
                          </w:r>
                        </w:p>
                      </w:txbxContent>
                    </v:textbox>
                  </v:shape>
                  <v:shape id="_x0000_s7649" o:spid="_x0000_s7649" o:spt="202" type="#_x0000_t202" style="position:absolute;left:6844;top:10881;height:399;width:904;" filled="f" stroked="f" coordsize="21600,21600">
                    <v:path/>
                    <v:fill on="f" focussize="0,0"/>
                    <v:stroke on="f" joinstyle="miter"/>
                    <v:imagedata o:title=""/>
                    <o:lock v:ext="edit"/>
                    <v:textbox>
                      <w:txbxContent>
                        <w:p w14:paraId="517823F5">
                          <w:pPr>
                            <w:rPr>
                              <w:rFonts w:ascii="黑体" w:hAnsi="黑体" w:eastAsia="黑体"/>
                              <w:color w:val="000000" w:themeColor="text1"/>
                              <w:sz w:val="18"/>
                              <w:szCs w:val="18"/>
                            </w:rPr>
                          </w:pPr>
                          <w:r>
                            <w:rPr>
                              <w:rFonts w:ascii="黑体" w:hAnsi="黑体" w:eastAsia="黑体"/>
                              <w:color w:val="000000" w:themeColor="text1"/>
                              <w:sz w:val="18"/>
                              <w:szCs w:val="18"/>
                            </w:rPr>
                            <w:t>玻璃管</w:t>
                          </w:r>
                        </w:p>
                      </w:txbxContent>
                    </v:textbox>
                  </v:shape>
                  <v:shape id="_x0000_s7650" o:spid="_x0000_s7650" o:spt="202" type="#_x0000_t202" style="position:absolute;left:5239;top:11326;height:399;width:904;" filled="f" stroked="f" coordsize="21600,21600">
                    <v:path/>
                    <v:fill on="f" focussize="0,0"/>
                    <v:stroke on="f" joinstyle="miter"/>
                    <v:imagedata o:title=""/>
                    <o:lock v:ext="edit"/>
                    <v:textbox>
                      <w:txbxContent>
                        <w:p w14:paraId="198F2C78">
                          <w:pPr>
                            <w:rPr>
                              <w:rFonts w:ascii="黑体" w:hAnsi="黑体" w:eastAsia="黑体"/>
                              <w:color w:val="FF0000"/>
                              <w:sz w:val="18"/>
                              <w:szCs w:val="18"/>
                            </w:rPr>
                          </w:pPr>
                          <w:r>
                            <w:rPr>
                              <w:rFonts w:ascii="黑体" w:hAnsi="黑体" w:eastAsia="黑体"/>
                              <w:color w:val="FF0000"/>
                              <w:sz w:val="18"/>
                              <w:szCs w:val="18"/>
                            </w:rPr>
                            <w:t>活化剂</w:t>
                          </w:r>
                        </w:p>
                      </w:txbxContent>
                    </v:textbox>
                  </v:shape>
                  <v:shape id="_x0000_s7651" o:spid="_x0000_s7651" o:spt="202" type="#_x0000_t202" style="position:absolute;left:3536;top:10793;height:399;width:903;" filled="f" stroked="f" coordsize="21600,21600">
                    <v:path/>
                    <v:fill on="f" focussize="0,0"/>
                    <v:stroke on="f" joinstyle="miter"/>
                    <v:imagedata o:title=""/>
                    <o:lock v:ext="edit"/>
                    <v:textbox>
                      <w:txbxContent>
                        <w:p w14:paraId="6D16CC7B">
                          <w:pPr>
                            <w:rPr>
                              <w:rFonts w:ascii="黑体" w:hAnsi="黑体" w:eastAsia="黑体"/>
                              <w:sz w:val="18"/>
                              <w:szCs w:val="18"/>
                            </w:rPr>
                          </w:pPr>
                          <w:r>
                            <w:rPr>
                              <w:rFonts w:ascii="黑体" w:hAnsi="黑体" w:eastAsia="黑体"/>
                              <w:sz w:val="18"/>
                              <w:szCs w:val="18"/>
                            </w:rPr>
                            <w:t>塑料管</w:t>
                          </w:r>
                        </w:p>
                      </w:txbxContent>
                    </v:textbox>
                  </v:shape>
                  <v:shape id="_x0000_s7652" o:spid="_x0000_s7652" o:spt="32" type="#_x0000_t32" style="position:absolute;left:5950;top:11081;flip:y;height:22;width:894;" o:connectortype="straight" filled="f" coordsize="21600,21600">
                    <v:path arrowok="t"/>
                    <v:fill on="f" focussize="0,0"/>
                    <v:stroke endarrow="block" endarrowwidth="narrow" endarrowlength="long"/>
                    <v:imagedata o:title=""/>
                    <o:lock v:ext="edit"/>
                  </v:shape>
                  <v:shape id="_x0000_s7653" o:spid="_x0000_s7653" o:spt="32" type="#_x0000_t32" style="position:absolute;left:4439;top:10993;flip:x y;height:96;width:559;" o:connectortype="straight" filled="f" coordsize="21600,21600">
                    <v:path arrowok="t"/>
                    <v:fill on="f" focussize="0,0"/>
                    <v:stroke endarrow="block" endarrowwidth="narrow" endarrowlength="long"/>
                    <v:imagedata o:title=""/>
                    <o:lock v:ext="edit"/>
                  </v:shape>
                  <w10:wrap type="none"/>
                  <w10:anchorlock/>
                </v:group>
              </w:pict>
            </w:r>
          </w:p>
          <w:p w14:paraId="535A9595">
            <w:pPr>
              <w:pStyle w:val="108"/>
              <w:adjustRightInd/>
              <w:spacing w:line="360" w:lineRule="auto"/>
              <w:ind w:firstLine="480" w:firstLineChars="200"/>
              <w:jc w:val="center"/>
              <w:rPr>
                <w:rFonts w:eastAsia="黑体"/>
                <w:color w:val="auto"/>
              </w:rPr>
            </w:pPr>
            <w:r>
              <w:rPr>
                <w:rFonts w:hAnsi="黑体" w:eastAsia="黑体"/>
                <w:color w:val="auto"/>
              </w:rPr>
              <w:t>图</w:t>
            </w:r>
            <w:r>
              <w:rPr>
                <w:rFonts w:hint="eastAsia" w:eastAsia="黑体"/>
                <w:color w:val="auto"/>
              </w:rPr>
              <w:t xml:space="preserve">1 </w:t>
            </w:r>
            <w:r>
              <w:rPr>
                <w:rFonts w:eastAsia="黑体"/>
                <w:color w:val="auto"/>
              </w:rPr>
              <w:t xml:space="preserve"> </w:t>
            </w:r>
            <w:r>
              <w:rPr>
                <w:rFonts w:hAnsi="黑体" w:eastAsia="黑体"/>
                <w:color w:val="auto"/>
              </w:rPr>
              <w:t>荧光棒剖面图</w:t>
            </w:r>
          </w:p>
          <w:p w14:paraId="7453A343">
            <w:pPr>
              <w:spacing w:line="360" w:lineRule="auto"/>
              <w:ind w:firstLine="482" w:firstLineChars="200"/>
              <w:rPr>
                <w:b/>
                <w:sz w:val="24"/>
              </w:rPr>
            </w:pPr>
            <w:r>
              <w:rPr>
                <w:rFonts w:hint="eastAsia"/>
                <w:b/>
                <w:sz w:val="24"/>
              </w:rPr>
              <w:t>5</w:t>
            </w:r>
            <w:r>
              <w:rPr>
                <w:b/>
                <w:sz w:val="24"/>
              </w:rPr>
              <w:t>、</w:t>
            </w:r>
            <w:r>
              <w:rPr>
                <w:rFonts w:hint="eastAsia"/>
                <w:b/>
                <w:sz w:val="24"/>
              </w:rPr>
              <w:t>主要生产设备</w:t>
            </w:r>
          </w:p>
          <w:p w14:paraId="1436F6FD">
            <w:pPr>
              <w:autoSpaceDE w:val="0"/>
              <w:autoSpaceDN w:val="0"/>
              <w:adjustRightInd w:val="0"/>
              <w:snapToGrid w:val="0"/>
              <w:spacing w:line="360" w:lineRule="auto"/>
              <w:ind w:firstLine="480" w:firstLineChars="200"/>
              <w:jc w:val="left"/>
              <w:rPr>
                <w:sz w:val="24"/>
                <w:szCs w:val="24"/>
              </w:rPr>
            </w:pPr>
            <w:r>
              <w:rPr>
                <w:sz w:val="24"/>
                <w:szCs w:val="24"/>
              </w:rPr>
              <w:t>本项目主要生产设备清单见下表</w:t>
            </w:r>
            <w:r>
              <w:rPr>
                <w:rFonts w:hint="eastAsia"/>
                <w:sz w:val="24"/>
                <w:szCs w:val="24"/>
              </w:rPr>
              <w:t>16。</w:t>
            </w:r>
          </w:p>
          <w:p w14:paraId="67E1FEFA">
            <w:pPr>
              <w:autoSpaceDE w:val="0"/>
              <w:autoSpaceDN w:val="0"/>
              <w:adjustRightInd w:val="0"/>
              <w:snapToGrid w:val="0"/>
              <w:jc w:val="center"/>
              <w:rPr>
                <w:rFonts w:eastAsia="黑体"/>
                <w:bCs/>
                <w:szCs w:val="21"/>
              </w:rPr>
            </w:pPr>
            <w:r>
              <w:rPr>
                <w:rFonts w:hAnsi="黑体" w:eastAsia="黑体"/>
                <w:sz w:val="24"/>
                <w:szCs w:val="24"/>
              </w:rPr>
              <w:t>表</w:t>
            </w:r>
            <w:r>
              <w:rPr>
                <w:rFonts w:hint="eastAsia" w:hAnsi="黑体" w:eastAsia="黑体"/>
                <w:sz w:val="24"/>
                <w:szCs w:val="24"/>
              </w:rPr>
              <w:t>16</w:t>
            </w:r>
            <w:r>
              <w:rPr>
                <w:rFonts w:hAnsi="黑体" w:eastAsia="黑体"/>
                <w:sz w:val="24"/>
                <w:szCs w:val="24"/>
              </w:rPr>
              <w:t xml:space="preserve">  项目主要设备一览表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41"/>
              <w:gridCol w:w="1602"/>
              <w:gridCol w:w="1927"/>
              <w:gridCol w:w="705"/>
              <w:gridCol w:w="849"/>
              <w:gridCol w:w="2222"/>
            </w:tblGrid>
            <w:tr w14:paraId="0BED22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516" w:type="pct"/>
                  <w:vAlign w:val="center"/>
                </w:tcPr>
                <w:p w14:paraId="69D5AEE9">
                  <w:pPr>
                    <w:spacing w:line="276" w:lineRule="auto"/>
                    <w:jc w:val="center"/>
                    <w:rPr>
                      <w:b/>
                      <w:bCs/>
                      <w:szCs w:val="21"/>
                    </w:rPr>
                  </w:pPr>
                  <w:r>
                    <w:rPr>
                      <w:rFonts w:hAnsi="宋体"/>
                      <w:b/>
                      <w:bCs/>
                      <w:szCs w:val="21"/>
                    </w:rPr>
                    <w:t>序号</w:t>
                  </w:r>
                </w:p>
              </w:tc>
              <w:tc>
                <w:tcPr>
                  <w:tcW w:w="2166" w:type="pct"/>
                  <w:gridSpan w:val="2"/>
                  <w:vAlign w:val="center"/>
                </w:tcPr>
                <w:p w14:paraId="1D36DC14">
                  <w:pPr>
                    <w:spacing w:line="276" w:lineRule="auto"/>
                    <w:jc w:val="center"/>
                    <w:rPr>
                      <w:rFonts w:hAnsi="宋体"/>
                      <w:b/>
                      <w:bCs/>
                      <w:szCs w:val="21"/>
                    </w:rPr>
                  </w:pPr>
                  <w:r>
                    <w:rPr>
                      <w:rFonts w:hAnsi="宋体"/>
                      <w:b/>
                      <w:bCs/>
                      <w:szCs w:val="21"/>
                    </w:rPr>
                    <w:t>设备名称</w:t>
                  </w:r>
                </w:p>
              </w:tc>
              <w:tc>
                <w:tcPr>
                  <w:tcW w:w="433" w:type="pct"/>
                  <w:vAlign w:val="center"/>
                </w:tcPr>
                <w:p w14:paraId="23F80617">
                  <w:pPr>
                    <w:spacing w:line="276" w:lineRule="auto"/>
                    <w:jc w:val="center"/>
                    <w:rPr>
                      <w:b/>
                      <w:bCs/>
                      <w:szCs w:val="21"/>
                    </w:rPr>
                  </w:pPr>
                  <w:r>
                    <w:rPr>
                      <w:rFonts w:hAnsi="宋体"/>
                      <w:b/>
                      <w:bCs/>
                      <w:szCs w:val="21"/>
                    </w:rPr>
                    <w:t>单位</w:t>
                  </w:r>
                </w:p>
              </w:tc>
              <w:tc>
                <w:tcPr>
                  <w:tcW w:w="521" w:type="pct"/>
                  <w:vAlign w:val="center"/>
                </w:tcPr>
                <w:p w14:paraId="1BF59C8D">
                  <w:pPr>
                    <w:spacing w:line="276" w:lineRule="auto"/>
                    <w:jc w:val="center"/>
                    <w:rPr>
                      <w:b/>
                      <w:bCs/>
                      <w:szCs w:val="21"/>
                    </w:rPr>
                  </w:pPr>
                  <w:r>
                    <w:rPr>
                      <w:rFonts w:hAnsi="宋体"/>
                      <w:b/>
                      <w:bCs/>
                      <w:szCs w:val="21"/>
                    </w:rPr>
                    <w:t>数量</w:t>
                  </w:r>
                </w:p>
              </w:tc>
              <w:tc>
                <w:tcPr>
                  <w:tcW w:w="1364" w:type="pct"/>
                  <w:vAlign w:val="center"/>
                </w:tcPr>
                <w:p w14:paraId="22382548">
                  <w:pPr>
                    <w:spacing w:line="276" w:lineRule="auto"/>
                    <w:jc w:val="center"/>
                    <w:rPr>
                      <w:b/>
                      <w:bCs/>
                      <w:szCs w:val="21"/>
                    </w:rPr>
                  </w:pPr>
                  <w:r>
                    <w:rPr>
                      <w:rFonts w:hAnsi="宋体"/>
                      <w:b/>
                      <w:bCs/>
                      <w:szCs w:val="21"/>
                    </w:rPr>
                    <w:t>生产单元</w:t>
                  </w:r>
                </w:p>
              </w:tc>
            </w:tr>
            <w:tr w14:paraId="339CC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7B18B103">
                  <w:pPr>
                    <w:spacing w:line="276" w:lineRule="auto"/>
                    <w:jc w:val="center"/>
                    <w:rPr>
                      <w:bCs/>
                      <w:szCs w:val="21"/>
                    </w:rPr>
                  </w:pPr>
                  <w:r>
                    <w:rPr>
                      <w:rFonts w:hint="eastAsia"/>
                      <w:bCs/>
                      <w:szCs w:val="21"/>
                    </w:rPr>
                    <w:t>1</w:t>
                  </w:r>
                </w:p>
              </w:tc>
              <w:tc>
                <w:tcPr>
                  <w:tcW w:w="983" w:type="pct"/>
                  <w:vMerge w:val="restart"/>
                  <w:vAlign w:val="center"/>
                </w:tcPr>
                <w:p w14:paraId="44967754">
                  <w:pPr>
                    <w:spacing w:line="276" w:lineRule="auto"/>
                    <w:jc w:val="center"/>
                    <w:rPr>
                      <w:bCs/>
                      <w:szCs w:val="21"/>
                    </w:rPr>
                  </w:pPr>
                  <w:r>
                    <w:rPr>
                      <w:rFonts w:hint="eastAsia"/>
                      <w:bCs/>
                      <w:szCs w:val="21"/>
                    </w:rPr>
                    <w:t>玻璃管灌装、加工车间</w:t>
                  </w:r>
                </w:p>
              </w:tc>
              <w:tc>
                <w:tcPr>
                  <w:tcW w:w="1183" w:type="pct"/>
                  <w:vAlign w:val="center"/>
                </w:tcPr>
                <w:p w14:paraId="49B36D3F">
                  <w:pPr>
                    <w:spacing w:line="276" w:lineRule="auto"/>
                    <w:jc w:val="center"/>
                    <w:rPr>
                      <w:bCs/>
                      <w:szCs w:val="21"/>
                    </w:rPr>
                  </w:pPr>
                  <w:r>
                    <w:rPr>
                      <w:rFonts w:hint="eastAsia"/>
                      <w:bCs/>
                      <w:szCs w:val="21"/>
                    </w:rPr>
                    <w:t>原料抽液泵</w:t>
                  </w:r>
                </w:p>
              </w:tc>
              <w:tc>
                <w:tcPr>
                  <w:tcW w:w="433" w:type="pct"/>
                  <w:vAlign w:val="center"/>
                </w:tcPr>
                <w:p w14:paraId="0CCF843B">
                  <w:pPr>
                    <w:spacing w:line="276" w:lineRule="auto"/>
                    <w:jc w:val="center"/>
                    <w:rPr>
                      <w:bCs/>
                      <w:szCs w:val="21"/>
                    </w:rPr>
                  </w:pPr>
                  <w:r>
                    <w:rPr>
                      <w:bCs/>
                      <w:szCs w:val="21"/>
                    </w:rPr>
                    <w:t>台</w:t>
                  </w:r>
                </w:p>
              </w:tc>
              <w:tc>
                <w:tcPr>
                  <w:tcW w:w="521" w:type="pct"/>
                  <w:vAlign w:val="center"/>
                </w:tcPr>
                <w:p w14:paraId="5D063252">
                  <w:pPr>
                    <w:spacing w:line="276" w:lineRule="auto"/>
                    <w:jc w:val="center"/>
                    <w:rPr>
                      <w:bCs/>
                      <w:szCs w:val="21"/>
                    </w:rPr>
                  </w:pPr>
                  <w:r>
                    <w:rPr>
                      <w:rFonts w:hint="eastAsia"/>
                      <w:bCs/>
                      <w:szCs w:val="21"/>
                    </w:rPr>
                    <w:t>2</w:t>
                  </w:r>
                </w:p>
              </w:tc>
              <w:tc>
                <w:tcPr>
                  <w:tcW w:w="1364" w:type="pct"/>
                  <w:vAlign w:val="center"/>
                </w:tcPr>
                <w:p w14:paraId="2221B5FB">
                  <w:pPr>
                    <w:spacing w:line="276" w:lineRule="auto"/>
                    <w:jc w:val="center"/>
                    <w:rPr>
                      <w:bCs/>
                      <w:szCs w:val="21"/>
                    </w:rPr>
                  </w:pPr>
                  <w:r>
                    <w:rPr>
                      <w:bCs/>
                      <w:szCs w:val="21"/>
                    </w:rPr>
                    <w:t>发光液混合调配工序</w:t>
                  </w:r>
                </w:p>
              </w:tc>
            </w:tr>
            <w:tr w14:paraId="5E24D8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36353098">
                  <w:pPr>
                    <w:spacing w:line="276" w:lineRule="auto"/>
                    <w:jc w:val="center"/>
                    <w:rPr>
                      <w:bCs/>
                      <w:szCs w:val="21"/>
                    </w:rPr>
                  </w:pPr>
                  <w:r>
                    <w:rPr>
                      <w:rFonts w:hint="eastAsia"/>
                      <w:bCs/>
                      <w:szCs w:val="21"/>
                    </w:rPr>
                    <w:t>2</w:t>
                  </w:r>
                </w:p>
              </w:tc>
              <w:tc>
                <w:tcPr>
                  <w:tcW w:w="983" w:type="pct"/>
                  <w:vMerge w:val="continue"/>
                  <w:vAlign w:val="center"/>
                </w:tcPr>
                <w:p w14:paraId="47C5B16A">
                  <w:pPr>
                    <w:spacing w:line="276" w:lineRule="auto"/>
                    <w:jc w:val="center"/>
                    <w:rPr>
                      <w:bCs/>
                      <w:szCs w:val="21"/>
                    </w:rPr>
                  </w:pPr>
                </w:p>
              </w:tc>
              <w:tc>
                <w:tcPr>
                  <w:tcW w:w="1183" w:type="pct"/>
                  <w:vAlign w:val="center"/>
                </w:tcPr>
                <w:p w14:paraId="12FE079E">
                  <w:pPr>
                    <w:spacing w:line="276" w:lineRule="auto"/>
                    <w:jc w:val="center"/>
                    <w:rPr>
                      <w:bCs/>
                      <w:szCs w:val="21"/>
                    </w:rPr>
                  </w:pPr>
                  <w:r>
                    <w:rPr>
                      <w:rFonts w:hint="eastAsia"/>
                      <w:bCs/>
                      <w:szCs w:val="21"/>
                    </w:rPr>
                    <w:t>液体搅拌机</w:t>
                  </w:r>
                </w:p>
              </w:tc>
              <w:tc>
                <w:tcPr>
                  <w:tcW w:w="433" w:type="pct"/>
                  <w:vAlign w:val="center"/>
                </w:tcPr>
                <w:p w14:paraId="721D08E8">
                  <w:pPr>
                    <w:spacing w:line="276" w:lineRule="auto"/>
                    <w:jc w:val="center"/>
                    <w:rPr>
                      <w:bCs/>
                      <w:szCs w:val="21"/>
                    </w:rPr>
                  </w:pPr>
                  <w:r>
                    <w:rPr>
                      <w:bCs/>
                      <w:szCs w:val="21"/>
                    </w:rPr>
                    <w:t>台</w:t>
                  </w:r>
                </w:p>
              </w:tc>
              <w:tc>
                <w:tcPr>
                  <w:tcW w:w="521" w:type="pct"/>
                  <w:vAlign w:val="center"/>
                </w:tcPr>
                <w:p w14:paraId="1625F509">
                  <w:pPr>
                    <w:spacing w:line="276" w:lineRule="auto"/>
                    <w:jc w:val="center"/>
                    <w:rPr>
                      <w:bCs/>
                      <w:szCs w:val="21"/>
                    </w:rPr>
                  </w:pPr>
                  <w:r>
                    <w:rPr>
                      <w:rFonts w:hint="eastAsia"/>
                      <w:bCs/>
                      <w:szCs w:val="21"/>
                    </w:rPr>
                    <w:t>1</w:t>
                  </w:r>
                </w:p>
              </w:tc>
              <w:tc>
                <w:tcPr>
                  <w:tcW w:w="1364" w:type="pct"/>
                  <w:vAlign w:val="center"/>
                </w:tcPr>
                <w:p w14:paraId="09EFE439">
                  <w:pPr>
                    <w:spacing w:line="276" w:lineRule="auto"/>
                    <w:jc w:val="center"/>
                    <w:rPr>
                      <w:bCs/>
                      <w:szCs w:val="21"/>
                    </w:rPr>
                  </w:pPr>
                  <w:r>
                    <w:rPr>
                      <w:bCs/>
                      <w:szCs w:val="21"/>
                    </w:rPr>
                    <w:t>发光液混合调配工序</w:t>
                  </w:r>
                </w:p>
              </w:tc>
            </w:tr>
            <w:tr w14:paraId="0B1FAA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157A060A">
                  <w:pPr>
                    <w:spacing w:line="276" w:lineRule="auto"/>
                    <w:jc w:val="center"/>
                    <w:rPr>
                      <w:bCs/>
                      <w:szCs w:val="21"/>
                    </w:rPr>
                  </w:pPr>
                  <w:r>
                    <w:rPr>
                      <w:rFonts w:hint="eastAsia"/>
                      <w:bCs/>
                      <w:szCs w:val="21"/>
                    </w:rPr>
                    <w:t>3</w:t>
                  </w:r>
                </w:p>
              </w:tc>
              <w:tc>
                <w:tcPr>
                  <w:tcW w:w="983" w:type="pct"/>
                  <w:vMerge w:val="continue"/>
                  <w:vAlign w:val="center"/>
                </w:tcPr>
                <w:p w14:paraId="7B8F3E59">
                  <w:pPr>
                    <w:spacing w:line="276" w:lineRule="auto"/>
                    <w:jc w:val="center"/>
                    <w:rPr>
                      <w:bCs/>
                      <w:szCs w:val="21"/>
                    </w:rPr>
                  </w:pPr>
                </w:p>
              </w:tc>
              <w:tc>
                <w:tcPr>
                  <w:tcW w:w="1183" w:type="pct"/>
                  <w:vAlign w:val="center"/>
                </w:tcPr>
                <w:p w14:paraId="6ABDA4D5">
                  <w:pPr>
                    <w:spacing w:line="276" w:lineRule="auto"/>
                    <w:jc w:val="center"/>
                    <w:rPr>
                      <w:bCs/>
                      <w:szCs w:val="21"/>
                    </w:rPr>
                  </w:pPr>
                  <w:r>
                    <w:rPr>
                      <w:rFonts w:hint="eastAsia"/>
                      <w:bCs/>
                      <w:szCs w:val="21"/>
                    </w:rPr>
                    <w:t>真空抽液机</w:t>
                  </w:r>
                </w:p>
              </w:tc>
              <w:tc>
                <w:tcPr>
                  <w:tcW w:w="433" w:type="pct"/>
                  <w:vAlign w:val="center"/>
                </w:tcPr>
                <w:p w14:paraId="65789801">
                  <w:pPr>
                    <w:spacing w:line="276" w:lineRule="auto"/>
                    <w:jc w:val="center"/>
                    <w:rPr>
                      <w:bCs/>
                      <w:szCs w:val="21"/>
                    </w:rPr>
                  </w:pPr>
                  <w:r>
                    <w:rPr>
                      <w:bCs/>
                      <w:szCs w:val="21"/>
                    </w:rPr>
                    <w:t>台</w:t>
                  </w:r>
                </w:p>
              </w:tc>
              <w:tc>
                <w:tcPr>
                  <w:tcW w:w="521" w:type="pct"/>
                  <w:vAlign w:val="center"/>
                </w:tcPr>
                <w:p w14:paraId="7ECEC682">
                  <w:pPr>
                    <w:spacing w:line="276" w:lineRule="auto"/>
                    <w:jc w:val="center"/>
                    <w:rPr>
                      <w:bCs/>
                      <w:szCs w:val="21"/>
                    </w:rPr>
                  </w:pPr>
                  <w:r>
                    <w:rPr>
                      <w:rFonts w:hint="eastAsia"/>
                      <w:bCs/>
                      <w:szCs w:val="21"/>
                    </w:rPr>
                    <w:t>1</w:t>
                  </w:r>
                </w:p>
              </w:tc>
              <w:tc>
                <w:tcPr>
                  <w:tcW w:w="1364" w:type="pct"/>
                  <w:vAlign w:val="center"/>
                </w:tcPr>
                <w:p w14:paraId="760C5B3A">
                  <w:pPr>
                    <w:spacing w:line="276" w:lineRule="auto"/>
                    <w:jc w:val="center"/>
                    <w:rPr>
                      <w:bCs/>
                      <w:szCs w:val="21"/>
                    </w:rPr>
                  </w:pPr>
                  <w:r>
                    <w:rPr>
                      <w:bCs/>
                      <w:szCs w:val="21"/>
                    </w:rPr>
                    <w:t>发光液抽液灌装工序</w:t>
                  </w:r>
                </w:p>
              </w:tc>
            </w:tr>
            <w:tr w14:paraId="05172F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212B5F14">
                  <w:pPr>
                    <w:spacing w:line="276" w:lineRule="auto"/>
                    <w:jc w:val="center"/>
                    <w:rPr>
                      <w:bCs/>
                      <w:szCs w:val="21"/>
                    </w:rPr>
                  </w:pPr>
                  <w:r>
                    <w:rPr>
                      <w:rFonts w:hint="eastAsia"/>
                      <w:bCs/>
                      <w:szCs w:val="21"/>
                    </w:rPr>
                    <w:t>4</w:t>
                  </w:r>
                </w:p>
              </w:tc>
              <w:tc>
                <w:tcPr>
                  <w:tcW w:w="983" w:type="pct"/>
                  <w:vMerge w:val="continue"/>
                  <w:vAlign w:val="center"/>
                </w:tcPr>
                <w:p w14:paraId="683E7109">
                  <w:pPr>
                    <w:spacing w:line="276" w:lineRule="auto"/>
                    <w:jc w:val="center"/>
                    <w:rPr>
                      <w:bCs/>
                      <w:szCs w:val="21"/>
                    </w:rPr>
                  </w:pPr>
                </w:p>
              </w:tc>
              <w:tc>
                <w:tcPr>
                  <w:tcW w:w="1183" w:type="pct"/>
                  <w:vAlign w:val="center"/>
                </w:tcPr>
                <w:p w14:paraId="6BDD629B">
                  <w:pPr>
                    <w:spacing w:line="276" w:lineRule="auto"/>
                    <w:jc w:val="center"/>
                    <w:rPr>
                      <w:bCs/>
                      <w:szCs w:val="21"/>
                    </w:rPr>
                  </w:pPr>
                  <w:r>
                    <w:rPr>
                      <w:rFonts w:hint="eastAsia"/>
                      <w:bCs/>
                      <w:szCs w:val="21"/>
                    </w:rPr>
                    <w:t>玻璃热熔封口机</w:t>
                  </w:r>
                </w:p>
              </w:tc>
              <w:tc>
                <w:tcPr>
                  <w:tcW w:w="433" w:type="pct"/>
                  <w:vAlign w:val="center"/>
                </w:tcPr>
                <w:p w14:paraId="05A81E49">
                  <w:pPr>
                    <w:spacing w:line="276" w:lineRule="auto"/>
                    <w:jc w:val="center"/>
                    <w:rPr>
                      <w:bCs/>
                      <w:szCs w:val="21"/>
                    </w:rPr>
                  </w:pPr>
                  <w:r>
                    <w:rPr>
                      <w:bCs/>
                      <w:szCs w:val="21"/>
                    </w:rPr>
                    <w:t>台</w:t>
                  </w:r>
                </w:p>
              </w:tc>
              <w:tc>
                <w:tcPr>
                  <w:tcW w:w="521" w:type="pct"/>
                  <w:vAlign w:val="center"/>
                </w:tcPr>
                <w:p w14:paraId="6AD65E0D">
                  <w:pPr>
                    <w:spacing w:line="276" w:lineRule="auto"/>
                    <w:jc w:val="center"/>
                    <w:rPr>
                      <w:bCs/>
                      <w:szCs w:val="21"/>
                    </w:rPr>
                  </w:pPr>
                  <w:r>
                    <w:rPr>
                      <w:rFonts w:hint="eastAsia"/>
                      <w:bCs/>
                      <w:szCs w:val="21"/>
                    </w:rPr>
                    <w:t>6</w:t>
                  </w:r>
                </w:p>
              </w:tc>
              <w:tc>
                <w:tcPr>
                  <w:tcW w:w="1364" w:type="pct"/>
                  <w:vAlign w:val="center"/>
                </w:tcPr>
                <w:p w14:paraId="691A9E1E">
                  <w:pPr>
                    <w:spacing w:line="276" w:lineRule="auto"/>
                    <w:jc w:val="center"/>
                    <w:rPr>
                      <w:bCs/>
                      <w:szCs w:val="21"/>
                    </w:rPr>
                  </w:pPr>
                  <w:r>
                    <w:rPr>
                      <w:bCs/>
                      <w:szCs w:val="21"/>
                    </w:rPr>
                    <w:t>玻璃管封口工序</w:t>
                  </w:r>
                </w:p>
              </w:tc>
            </w:tr>
            <w:tr w14:paraId="66987A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1E180AE0">
                  <w:pPr>
                    <w:spacing w:line="276" w:lineRule="auto"/>
                    <w:jc w:val="center"/>
                    <w:rPr>
                      <w:bCs/>
                      <w:szCs w:val="21"/>
                    </w:rPr>
                  </w:pPr>
                  <w:r>
                    <w:rPr>
                      <w:rFonts w:hint="eastAsia"/>
                      <w:bCs/>
                      <w:szCs w:val="21"/>
                    </w:rPr>
                    <w:t>5</w:t>
                  </w:r>
                </w:p>
              </w:tc>
              <w:tc>
                <w:tcPr>
                  <w:tcW w:w="983" w:type="pct"/>
                  <w:vMerge w:val="continue"/>
                  <w:vAlign w:val="center"/>
                </w:tcPr>
                <w:p w14:paraId="49680DE6">
                  <w:pPr>
                    <w:spacing w:line="276" w:lineRule="auto"/>
                    <w:jc w:val="center"/>
                    <w:rPr>
                      <w:bCs/>
                      <w:szCs w:val="21"/>
                    </w:rPr>
                  </w:pPr>
                </w:p>
              </w:tc>
              <w:tc>
                <w:tcPr>
                  <w:tcW w:w="1183" w:type="pct"/>
                  <w:vAlign w:val="center"/>
                </w:tcPr>
                <w:p w14:paraId="284714F6">
                  <w:pPr>
                    <w:spacing w:line="276" w:lineRule="auto"/>
                    <w:jc w:val="center"/>
                    <w:rPr>
                      <w:bCs/>
                      <w:szCs w:val="21"/>
                    </w:rPr>
                  </w:pPr>
                  <w:r>
                    <w:rPr>
                      <w:rFonts w:hint="eastAsia"/>
                      <w:bCs/>
                      <w:szCs w:val="21"/>
                    </w:rPr>
                    <w:t>离心机</w:t>
                  </w:r>
                </w:p>
              </w:tc>
              <w:tc>
                <w:tcPr>
                  <w:tcW w:w="433" w:type="pct"/>
                  <w:vAlign w:val="center"/>
                </w:tcPr>
                <w:p w14:paraId="5752530F">
                  <w:pPr>
                    <w:spacing w:line="276" w:lineRule="auto"/>
                    <w:jc w:val="center"/>
                    <w:rPr>
                      <w:bCs/>
                      <w:szCs w:val="21"/>
                    </w:rPr>
                  </w:pPr>
                  <w:r>
                    <w:rPr>
                      <w:bCs/>
                      <w:szCs w:val="21"/>
                    </w:rPr>
                    <w:t>台</w:t>
                  </w:r>
                </w:p>
              </w:tc>
              <w:tc>
                <w:tcPr>
                  <w:tcW w:w="521" w:type="pct"/>
                  <w:vAlign w:val="center"/>
                </w:tcPr>
                <w:p w14:paraId="3EF23D1A">
                  <w:pPr>
                    <w:spacing w:line="276" w:lineRule="auto"/>
                    <w:jc w:val="center"/>
                    <w:rPr>
                      <w:bCs/>
                      <w:szCs w:val="21"/>
                    </w:rPr>
                  </w:pPr>
                  <w:r>
                    <w:rPr>
                      <w:rFonts w:hint="eastAsia"/>
                      <w:bCs/>
                      <w:szCs w:val="21"/>
                    </w:rPr>
                    <w:t>1</w:t>
                  </w:r>
                </w:p>
              </w:tc>
              <w:tc>
                <w:tcPr>
                  <w:tcW w:w="1364" w:type="pct"/>
                  <w:vAlign w:val="center"/>
                </w:tcPr>
                <w:p w14:paraId="034CA32D">
                  <w:pPr>
                    <w:spacing w:line="276" w:lineRule="auto"/>
                    <w:jc w:val="center"/>
                    <w:rPr>
                      <w:bCs/>
                      <w:szCs w:val="21"/>
                    </w:rPr>
                  </w:pPr>
                  <w:r>
                    <w:rPr>
                      <w:bCs/>
                      <w:szCs w:val="21"/>
                    </w:rPr>
                    <w:t>玻璃管离心甩干工序</w:t>
                  </w:r>
                </w:p>
              </w:tc>
            </w:tr>
            <w:tr w14:paraId="03B998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6B5235DA">
                  <w:pPr>
                    <w:spacing w:line="276" w:lineRule="auto"/>
                    <w:jc w:val="center"/>
                    <w:rPr>
                      <w:bCs/>
                      <w:szCs w:val="21"/>
                    </w:rPr>
                  </w:pPr>
                  <w:r>
                    <w:rPr>
                      <w:rFonts w:hint="eastAsia"/>
                      <w:bCs/>
                      <w:szCs w:val="21"/>
                    </w:rPr>
                    <w:t>6</w:t>
                  </w:r>
                </w:p>
              </w:tc>
              <w:tc>
                <w:tcPr>
                  <w:tcW w:w="983" w:type="pct"/>
                  <w:vMerge w:val="restart"/>
                  <w:vAlign w:val="center"/>
                </w:tcPr>
                <w:p w14:paraId="2DEE1C0C">
                  <w:pPr>
                    <w:spacing w:line="276" w:lineRule="auto"/>
                    <w:jc w:val="center"/>
                    <w:rPr>
                      <w:bCs/>
                      <w:szCs w:val="21"/>
                    </w:rPr>
                  </w:pPr>
                  <w:r>
                    <w:rPr>
                      <w:bCs/>
                      <w:szCs w:val="21"/>
                    </w:rPr>
                    <w:t>塑料管灌装车间</w:t>
                  </w:r>
                </w:p>
              </w:tc>
              <w:tc>
                <w:tcPr>
                  <w:tcW w:w="1183" w:type="pct"/>
                  <w:vAlign w:val="center"/>
                </w:tcPr>
                <w:p w14:paraId="03A6D3B1">
                  <w:pPr>
                    <w:spacing w:line="276" w:lineRule="auto"/>
                    <w:jc w:val="center"/>
                    <w:rPr>
                      <w:bCs/>
                      <w:szCs w:val="21"/>
                    </w:rPr>
                  </w:pPr>
                  <w:r>
                    <w:rPr>
                      <w:rFonts w:hint="eastAsia"/>
                      <w:bCs/>
                      <w:szCs w:val="21"/>
                    </w:rPr>
                    <w:t>原料抽液泵</w:t>
                  </w:r>
                </w:p>
              </w:tc>
              <w:tc>
                <w:tcPr>
                  <w:tcW w:w="433" w:type="pct"/>
                  <w:vAlign w:val="center"/>
                </w:tcPr>
                <w:p w14:paraId="0A87AF44">
                  <w:pPr>
                    <w:spacing w:line="276" w:lineRule="auto"/>
                    <w:jc w:val="center"/>
                    <w:rPr>
                      <w:bCs/>
                      <w:szCs w:val="21"/>
                    </w:rPr>
                  </w:pPr>
                  <w:r>
                    <w:rPr>
                      <w:bCs/>
                      <w:szCs w:val="21"/>
                    </w:rPr>
                    <w:t>台</w:t>
                  </w:r>
                </w:p>
              </w:tc>
              <w:tc>
                <w:tcPr>
                  <w:tcW w:w="521" w:type="pct"/>
                  <w:vAlign w:val="center"/>
                </w:tcPr>
                <w:p w14:paraId="65EF5894">
                  <w:pPr>
                    <w:spacing w:line="276" w:lineRule="auto"/>
                    <w:jc w:val="center"/>
                    <w:rPr>
                      <w:bCs/>
                      <w:szCs w:val="21"/>
                    </w:rPr>
                  </w:pPr>
                  <w:r>
                    <w:rPr>
                      <w:rFonts w:hint="eastAsia"/>
                      <w:bCs/>
                      <w:szCs w:val="21"/>
                    </w:rPr>
                    <w:t>2</w:t>
                  </w:r>
                </w:p>
              </w:tc>
              <w:tc>
                <w:tcPr>
                  <w:tcW w:w="1364" w:type="pct"/>
                  <w:vAlign w:val="center"/>
                </w:tcPr>
                <w:p w14:paraId="3ABBCD94">
                  <w:pPr>
                    <w:spacing w:line="276" w:lineRule="auto"/>
                    <w:jc w:val="center"/>
                    <w:rPr>
                      <w:bCs/>
                      <w:szCs w:val="21"/>
                    </w:rPr>
                  </w:pPr>
                  <w:r>
                    <w:rPr>
                      <w:bCs/>
                      <w:szCs w:val="21"/>
                    </w:rPr>
                    <w:t>活化剂混合调配工序</w:t>
                  </w:r>
                </w:p>
              </w:tc>
            </w:tr>
            <w:tr w14:paraId="622C4C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27E69C5C">
                  <w:pPr>
                    <w:spacing w:line="276" w:lineRule="auto"/>
                    <w:jc w:val="center"/>
                    <w:rPr>
                      <w:bCs/>
                      <w:szCs w:val="21"/>
                    </w:rPr>
                  </w:pPr>
                  <w:r>
                    <w:rPr>
                      <w:rFonts w:hint="eastAsia"/>
                      <w:bCs/>
                      <w:szCs w:val="21"/>
                    </w:rPr>
                    <w:t>7</w:t>
                  </w:r>
                </w:p>
              </w:tc>
              <w:tc>
                <w:tcPr>
                  <w:tcW w:w="983" w:type="pct"/>
                  <w:vMerge w:val="continue"/>
                  <w:vAlign w:val="center"/>
                </w:tcPr>
                <w:p w14:paraId="680699BF">
                  <w:pPr>
                    <w:spacing w:line="276" w:lineRule="auto"/>
                    <w:jc w:val="center"/>
                    <w:rPr>
                      <w:bCs/>
                      <w:szCs w:val="21"/>
                    </w:rPr>
                  </w:pPr>
                </w:p>
              </w:tc>
              <w:tc>
                <w:tcPr>
                  <w:tcW w:w="1183" w:type="pct"/>
                  <w:vAlign w:val="center"/>
                </w:tcPr>
                <w:p w14:paraId="0ADB0D42">
                  <w:pPr>
                    <w:spacing w:line="276" w:lineRule="auto"/>
                    <w:jc w:val="center"/>
                    <w:rPr>
                      <w:bCs/>
                      <w:szCs w:val="21"/>
                    </w:rPr>
                  </w:pPr>
                  <w:r>
                    <w:rPr>
                      <w:rFonts w:hint="eastAsia"/>
                      <w:bCs/>
                      <w:szCs w:val="21"/>
                    </w:rPr>
                    <w:t>液体搅拌机</w:t>
                  </w:r>
                </w:p>
              </w:tc>
              <w:tc>
                <w:tcPr>
                  <w:tcW w:w="433" w:type="pct"/>
                  <w:vAlign w:val="center"/>
                </w:tcPr>
                <w:p w14:paraId="404EBA65">
                  <w:pPr>
                    <w:spacing w:line="276" w:lineRule="auto"/>
                    <w:jc w:val="center"/>
                    <w:rPr>
                      <w:bCs/>
                      <w:szCs w:val="21"/>
                    </w:rPr>
                  </w:pPr>
                  <w:r>
                    <w:rPr>
                      <w:bCs/>
                      <w:szCs w:val="21"/>
                    </w:rPr>
                    <w:t>台</w:t>
                  </w:r>
                </w:p>
              </w:tc>
              <w:tc>
                <w:tcPr>
                  <w:tcW w:w="521" w:type="pct"/>
                  <w:vAlign w:val="center"/>
                </w:tcPr>
                <w:p w14:paraId="0A6DD327">
                  <w:pPr>
                    <w:spacing w:line="276" w:lineRule="auto"/>
                    <w:jc w:val="center"/>
                    <w:rPr>
                      <w:bCs/>
                      <w:szCs w:val="21"/>
                    </w:rPr>
                  </w:pPr>
                  <w:r>
                    <w:rPr>
                      <w:rFonts w:hint="eastAsia"/>
                      <w:bCs/>
                      <w:szCs w:val="21"/>
                    </w:rPr>
                    <w:t>1</w:t>
                  </w:r>
                </w:p>
              </w:tc>
              <w:tc>
                <w:tcPr>
                  <w:tcW w:w="1364" w:type="pct"/>
                  <w:vAlign w:val="center"/>
                </w:tcPr>
                <w:p w14:paraId="4EBBF042">
                  <w:pPr>
                    <w:spacing w:line="276" w:lineRule="auto"/>
                    <w:jc w:val="center"/>
                    <w:rPr>
                      <w:bCs/>
                      <w:szCs w:val="21"/>
                    </w:rPr>
                  </w:pPr>
                  <w:r>
                    <w:rPr>
                      <w:bCs/>
                      <w:szCs w:val="21"/>
                    </w:rPr>
                    <w:t>活化剂混合调配工序</w:t>
                  </w:r>
                </w:p>
              </w:tc>
            </w:tr>
            <w:tr w14:paraId="422BED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04C20074">
                  <w:pPr>
                    <w:spacing w:line="276" w:lineRule="auto"/>
                    <w:jc w:val="center"/>
                    <w:rPr>
                      <w:bCs/>
                      <w:szCs w:val="21"/>
                    </w:rPr>
                  </w:pPr>
                  <w:r>
                    <w:rPr>
                      <w:rFonts w:hint="eastAsia"/>
                      <w:bCs/>
                      <w:szCs w:val="21"/>
                    </w:rPr>
                    <w:t>8</w:t>
                  </w:r>
                </w:p>
              </w:tc>
              <w:tc>
                <w:tcPr>
                  <w:tcW w:w="983" w:type="pct"/>
                  <w:vMerge w:val="continue"/>
                  <w:vAlign w:val="center"/>
                </w:tcPr>
                <w:p w14:paraId="1371C5FA">
                  <w:pPr>
                    <w:spacing w:line="276" w:lineRule="auto"/>
                    <w:jc w:val="center"/>
                    <w:rPr>
                      <w:bCs/>
                      <w:szCs w:val="21"/>
                    </w:rPr>
                  </w:pPr>
                </w:p>
              </w:tc>
              <w:tc>
                <w:tcPr>
                  <w:tcW w:w="1183" w:type="pct"/>
                  <w:vAlign w:val="center"/>
                </w:tcPr>
                <w:p w14:paraId="4973FC9E">
                  <w:pPr>
                    <w:spacing w:line="276" w:lineRule="auto"/>
                    <w:jc w:val="center"/>
                    <w:rPr>
                      <w:bCs/>
                      <w:szCs w:val="21"/>
                    </w:rPr>
                  </w:pPr>
                  <w:r>
                    <w:rPr>
                      <w:rFonts w:hint="eastAsia"/>
                      <w:bCs/>
                      <w:szCs w:val="21"/>
                    </w:rPr>
                    <w:t>真空抽液机</w:t>
                  </w:r>
                </w:p>
              </w:tc>
              <w:tc>
                <w:tcPr>
                  <w:tcW w:w="433" w:type="pct"/>
                  <w:vAlign w:val="center"/>
                </w:tcPr>
                <w:p w14:paraId="03B62F64">
                  <w:pPr>
                    <w:spacing w:line="276" w:lineRule="auto"/>
                    <w:jc w:val="center"/>
                    <w:rPr>
                      <w:bCs/>
                      <w:szCs w:val="21"/>
                    </w:rPr>
                  </w:pPr>
                  <w:r>
                    <w:rPr>
                      <w:bCs/>
                      <w:szCs w:val="21"/>
                    </w:rPr>
                    <w:t>台</w:t>
                  </w:r>
                </w:p>
              </w:tc>
              <w:tc>
                <w:tcPr>
                  <w:tcW w:w="521" w:type="pct"/>
                  <w:vAlign w:val="center"/>
                </w:tcPr>
                <w:p w14:paraId="1DA8EFB8">
                  <w:pPr>
                    <w:spacing w:line="276" w:lineRule="auto"/>
                    <w:jc w:val="center"/>
                    <w:rPr>
                      <w:bCs/>
                      <w:szCs w:val="21"/>
                    </w:rPr>
                  </w:pPr>
                  <w:r>
                    <w:rPr>
                      <w:rFonts w:hint="eastAsia"/>
                      <w:bCs/>
                      <w:szCs w:val="21"/>
                    </w:rPr>
                    <w:t>1</w:t>
                  </w:r>
                </w:p>
              </w:tc>
              <w:tc>
                <w:tcPr>
                  <w:tcW w:w="1364" w:type="pct"/>
                  <w:vAlign w:val="center"/>
                </w:tcPr>
                <w:p w14:paraId="14330A6D">
                  <w:pPr>
                    <w:spacing w:line="276" w:lineRule="auto"/>
                    <w:jc w:val="center"/>
                    <w:rPr>
                      <w:bCs/>
                      <w:szCs w:val="21"/>
                    </w:rPr>
                  </w:pPr>
                  <w:r>
                    <w:rPr>
                      <w:bCs/>
                      <w:szCs w:val="21"/>
                    </w:rPr>
                    <w:t>活化剂抽液灌装工序</w:t>
                  </w:r>
                </w:p>
              </w:tc>
            </w:tr>
            <w:tr w14:paraId="3D576F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6B530520">
                  <w:pPr>
                    <w:spacing w:line="276" w:lineRule="auto"/>
                    <w:jc w:val="center"/>
                    <w:rPr>
                      <w:bCs/>
                      <w:szCs w:val="21"/>
                    </w:rPr>
                  </w:pPr>
                  <w:r>
                    <w:rPr>
                      <w:rFonts w:hint="eastAsia"/>
                      <w:bCs/>
                      <w:szCs w:val="21"/>
                    </w:rPr>
                    <w:t>9</w:t>
                  </w:r>
                </w:p>
              </w:tc>
              <w:tc>
                <w:tcPr>
                  <w:tcW w:w="983" w:type="pct"/>
                  <w:vMerge w:val="continue"/>
                  <w:vAlign w:val="center"/>
                </w:tcPr>
                <w:p w14:paraId="44A93009">
                  <w:pPr>
                    <w:spacing w:line="276" w:lineRule="auto"/>
                    <w:jc w:val="center"/>
                    <w:rPr>
                      <w:bCs/>
                      <w:szCs w:val="21"/>
                    </w:rPr>
                  </w:pPr>
                </w:p>
              </w:tc>
              <w:tc>
                <w:tcPr>
                  <w:tcW w:w="1183" w:type="pct"/>
                  <w:vAlign w:val="center"/>
                </w:tcPr>
                <w:p w14:paraId="782E0931">
                  <w:pPr>
                    <w:spacing w:line="276" w:lineRule="auto"/>
                    <w:jc w:val="center"/>
                    <w:rPr>
                      <w:bCs/>
                      <w:szCs w:val="21"/>
                    </w:rPr>
                  </w:pPr>
                  <w:r>
                    <w:rPr>
                      <w:bCs/>
                      <w:szCs w:val="21"/>
                    </w:rPr>
                    <w:t>离心机</w:t>
                  </w:r>
                </w:p>
              </w:tc>
              <w:tc>
                <w:tcPr>
                  <w:tcW w:w="433" w:type="pct"/>
                  <w:vAlign w:val="center"/>
                </w:tcPr>
                <w:p w14:paraId="127852BB">
                  <w:pPr>
                    <w:spacing w:line="276" w:lineRule="auto"/>
                    <w:jc w:val="center"/>
                    <w:rPr>
                      <w:bCs/>
                      <w:szCs w:val="21"/>
                    </w:rPr>
                  </w:pPr>
                  <w:r>
                    <w:rPr>
                      <w:bCs/>
                      <w:szCs w:val="21"/>
                    </w:rPr>
                    <w:t>台</w:t>
                  </w:r>
                </w:p>
              </w:tc>
              <w:tc>
                <w:tcPr>
                  <w:tcW w:w="521" w:type="pct"/>
                  <w:vAlign w:val="center"/>
                </w:tcPr>
                <w:p w14:paraId="25B449B6">
                  <w:pPr>
                    <w:spacing w:line="276" w:lineRule="auto"/>
                    <w:jc w:val="center"/>
                    <w:rPr>
                      <w:bCs/>
                      <w:szCs w:val="21"/>
                    </w:rPr>
                  </w:pPr>
                  <w:r>
                    <w:rPr>
                      <w:rFonts w:hint="eastAsia"/>
                      <w:bCs/>
                      <w:szCs w:val="21"/>
                    </w:rPr>
                    <w:t>1</w:t>
                  </w:r>
                </w:p>
              </w:tc>
              <w:tc>
                <w:tcPr>
                  <w:tcW w:w="1364" w:type="pct"/>
                  <w:vAlign w:val="center"/>
                </w:tcPr>
                <w:p w14:paraId="201FF150">
                  <w:pPr>
                    <w:spacing w:line="276" w:lineRule="auto"/>
                    <w:jc w:val="center"/>
                    <w:rPr>
                      <w:bCs/>
                      <w:szCs w:val="21"/>
                    </w:rPr>
                  </w:pPr>
                  <w:r>
                    <w:rPr>
                      <w:bCs/>
                      <w:szCs w:val="21"/>
                    </w:rPr>
                    <w:t>塑料管离心甩干工序</w:t>
                  </w:r>
                </w:p>
              </w:tc>
            </w:tr>
            <w:tr w14:paraId="26E834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7F25E81B">
                  <w:pPr>
                    <w:spacing w:line="276" w:lineRule="auto"/>
                    <w:jc w:val="center"/>
                    <w:rPr>
                      <w:bCs/>
                      <w:szCs w:val="21"/>
                    </w:rPr>
                  </w:pPr>
                  <w:r>
                    <w:rPr>
                      <w:rFonts w:hint="eastAsia"/>
                      <w:bCs/>
                      <w:szCs w:val="21"/>
                    </w:rPr>
                    <w:t>10</w:t>
                  </w:r>
                </w:p>
              </w:tc>
              <w:tc>
                <w:tcPr>
                  <w:tcW w:w="983" w:type="pct"/>
                  <w:vMerge w:val="restart"/>
                  <w:vAlign w:val="center"/>
                </w:tcPr>
                <w:p w14:paraId="05EA9226">
                  <w:pPr>
                    <w:spacing w:line="276" w:lineRule="auto"/>
                    <w:jc w:val="center"/>
                    <w:rPr>
                      <w:bCs/>
                      <w:szCs w:val="21"/>
                    </w:rPr>
                  </w:pPr>
                  <w:r>
                    <w:rPr>
                      <w:rFonts w:hint="eastAsia"/>
                      <w:bCs/>
                      <w:szCs w:val="21"/>
                    </w:rPr>
                    <w:t>组合、封口车间</w:t>
                  </w:r>
                </w:p>
              </w:tc>
              <w:tc>
                <w:tcPr>
                  <w:tcW w:w="1183" w:type="pct"/>
                  <w:vAlign w:val="center"/>
                </w:tcPr>
                <w:p w14:paraId="60AB0AD5">
                  <w:pPr>
                    <w:spacing w:line="276" w:lineRule="auto"/>
                    <w:jc w:val="center"/>
                    <w:rPr>
                      <w:bCs/>
                      <w:szCs w:val="21"/>
                    </w:rPr>
                  </w:pPr>
                  <w:r>
                    <w:rPr>
                      <w:rFonts w:hint="eastAsia"/>
                      <w:bCs/>
                      <w:szCs w:val="21"/>
                    </w:rPr>
                    <w:t>塑料压封机</w:t>
                  </w:r>
                </w:p>
              </w:tc>
              <w:tc>
                <w:tcPr>
                  <w:tcW w:w="433" w:type="pct"/>
                  <w:vAlign w:val="center"/>
                </w:tcPr>
                <w:p w14:paraId="06492348">
                  <w:pPr>
                    <w:spacing w:line="276" w:lineRule="auto"/>
                    <w:jc w:val="center"/>
                    <w:rPr>
                      <w:bCs/>
                      <w:szCs w:val="21"/>
                    </w:rPr>
                  </w:pPr>
                  <w:r>
                    <w:rPr>
                      <w:bCs/>
                      <w:szCs w:val="21"/>
                    </w:rPr>
                    <w:t>台</w:t>
                  </w:r>
                </w:p>
              </w:tc>
              <w:tc>
                <w:tcPr>
                  <w:tcW w:w="521" w:type="pct"/>
                  <w:vAlign w:val="center"/>
                </w:tcPr>
                <w:p w14:paraId="2BD3248E">
                  <w:pPr>
                    <w:spacing w:line="276" w:lineRule="auto"/>
                    <w:jc w:val="center"/>
                    <w:rPr>
                      <w:bCs/>
                      <w:szCs w:val="21"/>
                    </w:rPr>
                  </w:pPr>
                  <w:r>
                    <w:rPr>
                      <w:rFonts w:hint="eastAsia"/>
                      <w:bCs/>
                      <w:szCs w:val="21"/>
                    </w:rPr>
                    <w:t>7</w:t>
                  </w:r>
                </w:p>
              </w:tc>
              <w:tc>
                <w:tcPr>
                  <w:tcW w:w="1364" w:type="pct"/>
                  <w:vAlign w:val="center"/>
                </w:tcPr>
                <w:p w14:paraId="775C9317">
                  <w:pPr>
                    <w:spacing w:line="276" w:lineRule="auto"/>
                    <w:jc w:val="center"/>
                    <w:rPr>
                      <w:bCs/>
                      <w:szCs w:val="21"/>
                    </w:rPr>
                  </w:pPr>
                  <w:r>
                    <w:rPr>
                      <w:bCs/>
                      <w:szCs w:val="21"/>
                    </w:rPr>
                    <w:t>塑料管封口工序</w:t>
                  </w:r>
                </w:p>
              </w:tc>
            </w:tr>
            <w:tr w14:paraId="15A3A3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55898A0A">
                  <w:pPr>
                    <w:spacing w:line="276" w:lineRule="auto"/>
                    <w:jc w:val="center"/>
                    <w:rPr>
                      <w:bCs/>
                      <w:szCs w:val="21"/>
                    </w:rPr>
                  </w:pPr>
                  <w:r>
                    <w:rPr>
                      <w:rFonts w:hint="eastAsia"/>
                      <w:bCs/>
                      <w:szCs w:val="21"/>
                    </w:rPr>
                    <w:t>11</w:t>
                  </w:r>
                </w:p>
              </w:tc>
              <w:tc>
                <w:tcPr>
                  <w:tcW w:w="983" w:type="pct"/>
                  <w:vMerge w:val="continue"/>
                  <w:vAlign w:val="center"/>
                </w:tcPr>
                <w:p w14:paraId="18150189">
                  <w:pPr>
                    <w:spacing w:line="276" w:lineRule="auto"/>
                    <w:jc w:val="center"/>
                    <w:rPr>
                      <w:bCs/>
                      <w:szCs w:val="21"/>
                    </w:rPr>
                  </w:pPr>
                </w:p>
              </w:tc>
              <w:tc>
                <w:tcPr>
                  <w:tcW w:w="1183" w:type="pct"/>
                  <w:vAlign w:val="center"/>
                </w:tcPr>
                <w:p w14:paraId="0F8F24C9">
                  <w:pPr>
                    <w:spacing w:line="276" w:lineRule="auto"/>
                    <w:jc w:val="center"/>
                    <w:rPr>
                      <w:bCs/>
                      <w:szCs w:val="21"/>
                    </w:rPr>
                  </w:pPr>
                  <w:r>
                    <w:rPr>
                      <w:bCs/>
                      <w:szCs w:val="21"/>
                    </w:rPr>
                    <w:t>清洗槽</w:t>
                  </w:r>
                </w:p>
              </w:tc>
              <w:tc>
                <w:tcPr>
                  <w:tcW w:w="433" w:type="pct"/>
                  <w:vAlign w:val="center"/>
                </w:tcPr>
                <w:p w14:paraId="1A002041">
                  <w:pPr>
                    <w:spacing w:line="276" w:lineRule="auto"/>
                    <w:jc w:val="center"/>
                    <w:rPr>
                      <w:bCs/>
                      <w:szCs w:val="21"/>
                    </w:rPr>
                  </w:pPr>
                  <w:r>
                    <w:rPr>
                      <w:bCs/>
                      <w:szCs w:val="21"/>
                    </w:rPr>
                    <w:t>个</w:t>
                  </w:r>
                </w:p>
              </w:tc>
              <w:tc>
                <w:tcPr>
                  <w:tcW w:w="521" w:type="pct"/>
                  <w:vAlign w:val="center"/>
                </w:tcPr>
                <w:p w14:paraId="7D4F6946">
                  <w:pPr>
                    <w:spacing w:line="276" w:lineRule="auto"/>
                    <w:jc w:val="center"/>
                    <w:rPr>
                      <w:bCs/>
                      <w:szCs w:val="21"/>
                    </w:rPr>
                  </w:pPr>
                  <w:r>
                    <w:rPr>
                      <w:rFonts w:hint="eastAsia"/>
                      <w:bCs/>
                      <w:szCs w:val="21"/>
                    </w:rPr>
                    <w:t>2</w:t>
                  </w:r>
                </w:p>
              </w:tc>
              <w:tc>
                <w:tcPr>
                  <w:tcW w:w="1364" w:type="pct"/>
                  <w:vAlign w:val="center"/>
                </w:tcPr>
                <w:p w14:paraId="12E5CA06">
                  <w:pPr>
                    <w:spacing w:line="276" w:lineRule="auto"/>
                    <w:jc w:val="center"/>
                    <w:rPr>
                      <w:bCs/>
                      <w:szCs w:val="21"/>
                    </w:rPr>
                  </w:pPr>
                  <w:r>
                    <w:rPr>
                      <w:bCs/>
                      <w:szCs w:val="21"/>
                    </w:rPr>
                    <w:t>组合管清洗工序</w:t>
                  </w:r>
                </w:p>
              </w:tc>
            </w:tr>
            <w:tr w14:paraId="79AB10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5E53B4C7">
                  <w:pPr>
                    <w:spacing w:line="276" w:lineRule="auto"/>
                    <w:jc w:val="center"/>
                    <w:rPr>
                      <w:bCs/>
                      <w:szCs w:val="21"/>
                    </w:rPr>
                  </w:pPr>
                  <w:r>
                    <w:rPr>
                      <w:rFonts w:hint="eastAsia"/>
                      <w:bCs/>
                      <w:szCs w:val="21"/>
                    </w:rPr>
                    <w:t>12</w:t>
                  </w:r>
                </w:p>
              </w:tc>
              <w:tc>
                <w:tcPr>
                  <w:tcW w:w="983" w:type="pct"/>
                  <w:vMerge w:val="continue"/>
                  <w:vAlign w:val="center"/>
                </w:tcPr>
                <w:p w14:paraId="5865EAD9">
                  <w:pPr>
                    <w:spacing w:line="276" w:lineRule="auto"/>
                    <w:jc w:val="center"/>
                    <w:rPr>
                      <w:bCs/>
                      <w:szCs w:val="21"/>
                    </w:rPr>
                  </w:pPr>
                </w:p>
              </w:tc>
              <w:tc>
                <w:tcPr>
                  <w:tcW w:w="1183" w:type="pct"/>
                  <w:vAlign w:val="center"/>
                </w:tcPr>
                <w:p w14:paraId="54CB77C1">
                  <w:pPr>
                    <w:spacing w:line="276" w:lineRule="auto"/>
                    <w:jc w:val="center"/>
                    <w:rPr>
                      <w:bCs/>
                      <w:szCs w:val="21"/>
                    </w:rPr>
                  </w:pPr>
                  <w:r>
                    <w:rPr>
                      <w:bCs/>
                      <w:szCs w:val="21"/>
                    </w:rPr>
                    <w:t>离心机</w:t>
                  </w:r>
                </w:p>
              </w:tc>
              <w:tc>
                <w:tcPr>
                  <w:tcW w:w="433" w:type="pct"/>
                  <w:vAlign w:val="center"/>
                </w:tcPr>
                <w:p w14:paraId="626E9D48">
                  <w:pPr>
                    <w:spacing w:line="276" w:lineRule="auto"/>
                    <w:jc w:val="center"/>
                    <w:rPr>
                      <w:bCs/>
                      <w:szCs w:val="21"/>
                    </w:rPr>
                  </w:pPr>
                  <w:r>
                    <w:rPr>
                      <w:bCs/>
                      <w:szCs w:val="21"/>
                    </w:rPr>
                    <w:t>台</w:t>
                  </w:r>
                </w:p>
              </w:tc>
              <w:tc>
                <w:tcPr>
                  <w:tcW w:w="521" w:type="pct"/>
                  <w:vAlign w:val="center"/>
                </w:tcPr>
                <w:p w14:paraId="1EB19D43">
                  <w:pPr>
                    <w:spacing w:line="276" w:lineRule="auto"/>
                    <w:jc w:val="center"/>
                    <w:rPr>
                      <w:bCs/>
                      <w:szCs w:val="21"/>
                    </w:rPr>
                  </w:pPr>
                  <w:r>
                    <w:rPr>
                      <w:rFonts w:hint="eastAsia"/>
                      <w:bCs/>
                      <w:szCs w:val="21"/>
                    </w:rPr>
                    <w:t>1</w:t>
                  </w:r>
                </w:p>
              </w:tc>
              <w:tc>
                <w:tcPr>
                  <w:tcW w:w="1364" w:type="pct"/>
                  <w:vAlign w:val="center"/>
                </w:tcPr>
                <w:p w14:paraId="697A920E">
                  <w:pPr>
                    <w:spacing w:line="276" w:lineRule="auto"/>
                    <w:jc w:val="center"/>
                    <w:rPr>
                      <w:bCs/>
                      <w:szCs w:val="21"/>
                    </w:rPr>
                  </w:pPr>
                  <w:r>
                    <w:rPr>
                      <w:bCs/>
                      <w:szCs w:val="21"/>
                    </w:rPr>
                    <w:t>组合管离心甩干工序</w:t>
                  </w:r>
                </w:p>
              </w:tc>
            </w:tr>
            <w:tr w14:paraId="2F039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6647A569">
                  <w:pPr>
                    <w:spacing w:line="276" w:lineRule="auto"/>
                    <w:jc w:val="center"/>
                    <w:rPr>
                      <w:bCs/>
                      <w:szCs w:val="21"/>
                    </w:rPr>
                  </w:pPr>
                  <w:r>
                    <w:rPr>
                      <w:rFonts w:hint="eastAsia"/>
                      <w:bCs/>
                      <w:szCs w:val="21"/>
                    </w:rPr>
                    <w:t>13</w:t>
                  </w:r>
                </w:p>
              </w:tc>
              <w:tc>
                <w:tcPr>
                  <w:tcW w:w="2166" w:type="pct"/>
                  <w:gridSpan w:val="2"/>
                  <w:vAlign w:val="center"/>
                </w:tcPr>
                <w:p w14:paraId="4D5FBBB0">
                  <w:pPr>
                    <w:spacing w:line="276" w:lineRule="auto"/>
                    <w:jc w:val="center"/>
                    <w:rPr>
                      <w:bCs/>
                      <w:szCs w:val="21"/>
                    </w:rPr>
                  </w:pPr>
                  <w:r>
                    <w:rPr>
                      <w:rFonts w:hint="eastAsia"/>
                      <w:bCs/>
                      <w:szCs w:val="21"/>
                    </w:rPr>
                    <w:t>收缩膜封口机</w:t>
                  </w:r>
                </w:p>
              </w:tc>
              <w:tc>
                <w:tcPr>
                  <w:tcW w:w="433" w:type="pct"/>
                  <w:vAlign w:val="center"/>
                </w:tcPr>
                <w:p w14:paraId="0F6B667A">
                  <w:pPr>
                    <w:spacing w:line="276" w:lineRule="auto"/>
                    <w:jc w:val="center"/>
                    <w:rPr>
                      <w:bCs/>
                      <w:szCs w:val="21"/>
                    </w:rPr>
                  </w:pPr>
                  <w:r>
                    <w:rPr>
                      <w:bCs/>
                      <w:szCs w:val="21"/>
                    </w:rPr>
                    <w:t>台</w:t>
                  </w:r>
                </w:p>
              </w:tc>
              <w:tc>
                <w:tcPr>
                  <w:tcW w:w="521" w:type="pct"/>
                  <w:vAlign w:val="center"/>
                </w:tcPr>
                <w:p w14:paraId="26AB4B7D">
                  <w:pPr>
                    <w:spacing w:line="276" w:lineRule="auto"/>
                    <w:jc w:val="center"/>
                    <w:rPr>
                      <w:bCs/>
                      <w:szCs w:val="21"/>
                    </w:rPr>
                  </w:pPr>
                  <w:r>
                    <w:rPr>
                      <w:rFonts w:hint="eastAsia"/>
                      <w:bCs/>
                      <w:szCs w:val="21"/>
                    </w:rPr>
                    <w:t>1</w:t>
                  </w:r>
                </w:p>
              </w:tc>
              <w:tc>
                <w:tcPr>
                  <w:tcW w:w="1364" w:type="pct"/>
                  <w:vAlign w:val="center"/>
                </w:tcPr>
                <w:p w14:paraId="52636F12">
                  <w:pPr>
                    <w:spacing w:line="276" w:lineRule="auto"/>
                    <w:jc w:val="center"/>
                    <w:rPr>
                      <w:bCs/>
                      <w:szCs w:val="21"/>
                    </w:rPr>
                  </w:pPr>
                  <w:r>
                    <w:rPr>
                      <w:bCs/>
                      <w:szCs w:val="21"/>
                    </w:rPr>
                    <w:t>包装工序</w:t>
                  </w:r>
                </w:p>
              </w:tc>
            </w:tr>
            <w:tr w14:paraId="67145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6" w:type="pct"/>
                  <w:vAlign w:val="center"/>
                </w:tcPr>
                <w:p w14:paraId="612497E1">
                  <w:pPr>
                    <w:spacing w:line="276" w:lineRule="auto"/>
                    <w:jc w:val="center"/>
                    <w:rPr>
                      <w:bCs/>
                      <w:szCs w:val="21"/>
                    </w:rPr>
                  </w:pPr>
                  <w:r>
                    <w:rPr>
                      <w:rFonts w:hint="eastAsia"/>
                      <w:bCs/>
                      <w:szCs w:val="21"/>
                    </w:rPr>
                    <w:t>14</w:t>
                  </w:r>
                </w:p>
              </w:tc>
              <w:tc>
                <w:tcPr>
                  <w:tcW w:w="2166" w:type="pct"/>
                  <w:gridSpan w:val="2"/>
                  <w:vAlign w:val="center"/>
                </w:tcPr>
                <w:p w14:paraId="2DE6EA62">
                  <w:pPr>
                    <w:spacing w:line="276" w:lineRule="auto"/>
                    <w:jc w:val="center"/>
                    <w:rPr>
                      <w:bCs/>
                      <w:szCs w:val="21"/>
                    </w:rPr>
                  </w:pPr>
                  <w:r>
                    <w:rPr>
                      <w:rFonts w:hint="eastAsia"/>
                      <w:bCs/>
                      <w:szCs w:val="21"/>
                    </w:rPr>
                    <w:t>空压机</w:t>
                  </w:r>
                </w:p>
              </w:tc>
              <w:tc>
                <w:tcPr>
                  <w:tcW w:w="433" w:type="pct"/>
                  <w:vAlign w:val="center"/>
                </w:tcPr>
                <w:p w14:paraId="1728F4B1">
                  <w:pPr>
                    <w:spacing w:line="276" w:lineRule="auto"/>
                    <w:jc w:val="center"/>
                    <w:rPr>
                      <w:bCs/>
                      <w:szCs w:val="21"/>
                    </w:rPr>
                  </w:pPr>
                  <w:r>
                    <w:rPr>
                      <w:bCs/>
                      <w:szCs w:val="21"/>
                    </w:rPr>
                    <w:t>台</w:t>
                  </w:r>
                </w:p>
              </w:tc>
              <w:tc>
                <w:tcPr>
                  <w:tcW w:w="521" w:type="pct"/>
                  <w:vAlign w:val="center"/>
                </w:tcPr>
                <w:p w14:paraId="40AA0AB2">
                  <w:pPr>
                    <w:spacing w:line="276" w:lineRule="auto"/>
                    <w:jc w:val="center"/>
                    <w:rPr>
                      <w:bCs/>
                      <w:szCs w:val="21"/>
                    </w:rPr>
                  </w:pPr>
                  <w:r>
                    <w:rPr>
                      <w:rFonts w:hint="eastAsia"/>
                      <w:bCs/>
                      <w:szCs w:val="21"/>
                    </w:rPr>
                    <w:t>1</w:t>
                  </w:r>
                </w:p>
              </w:tc>
              <w:tc>
                <w:tcPr>
                  <w:tcW w:w="1364" w:type="pct"/>
                  <w:vAlign w:val="center"/>
                </w:tcPr>
                <w:p w14:paraId="3802056B">
                  <w:pPr>
                    <w:spacing w:line="276" w:lineRule="auto"/>
                    <w:jc w:val="center"/>
                    <w:rPr>
                      <w:bCs/>
                      <w:szCs w:val="21"/>
                    </w:rPr>
                  </w:pPr>
                  <w:r>
                    <w:rPr>
                      <w:rFonts w:hint="eastAsia"/>
                      <w:bCs/>
                      <w:szCs w:val="21"/>
                    </w:rPr>
                    <w:t>压缩空气提供动力</w:t>
                  </w:r>
                </w:p>
              </w:tc>
            </w:tr>
          </w:tbl>
          <w:p w14:paraId="7C154647">
            <w:pPr>
              <w:spacing w:line="360" w:lineRule="auto"/>
              <w:ind w:firstLine="482" w:firstLineChars="200"/>
              <w:rPr>
                <w:b/>
                <w:sz w:val="24"/>
              </w:rPr>
            </w:pPr>
          </w:p>
          <w:p w14:paraId="2E11E5D4">
            <w:pPr>
              <w:spacing w:line="360" w:lineRule="auto"/>
              <w:ind w:firstLine="482" w:firstLineChars="200"/>
              <w:rPr>
                <w:b/>
                <w:sz w:val="24"/>
              </w:rPr>
            </w:pPr>
            <w:r>
              <w:rPr>
                <w:rFonts w:hint="eastAsia"/>
                <w:b/>
                <w:sz w:val="24"/>
              </w:rPr>
              <w:t>6</w:t>
            </w:r>
            <w:r>
              <w:rPr>
                <w:b/>
                <w:sz w:val="24"/>
              </w:rPr>
              <w:t>、</w:t>
            </w:r>
            <w:r>
              <w:rPr>
                <w:rFonts w:hint="eastAsia"/>
                <w:b/>
                <w:sz w:val="24"/>
              </w:rPr>
              <w:t>主要原辅材料、能源消耗及原辅材料理化性质</w:t>
            </w:r>
          </w:p>
          <w:p w14:paraId="2CE7B517">
            <w:pPr>
              <w:spacing w:line="360" w:lineRule="auto"/>
              <w:ind w:firstLine="480" w:firstLineChars="200"/>
              <w:rPr>
                <w:sz w:val="24"/>
              </w:rPr>
            </w:pPr>
            <w:r>
              <w:rPr>
                <w:rFonts w:hint="eastAsia"/>
                <w:sz w:val="24"/>
              </w:rPr>
              <w:t>（1）主要原辅材料及能源消耗</w:t>
            </w:r>
          </w:p>
          <w:p w14:paraId="04090531">
            <w:pPr>
              <w:autoSpaceDE w:val="0"/>
              <w:autoSpaceDN w:val="0"/>
              <w:adjustRightInd w:val="0"/>
              <w:snapToGrid w:val="0"/>
              <w:jc w:val="center"/>
              <w:rPr>
                <w:rFonts w:eastAsia="黑体"/>
                <w:bCs/>
                <w:szCs w:val="21"/>
              </w:rPr>
            </w:pPr>
            <w:r>
              <w:rPr>
                <w:rFonts w:hAnsi="黑体" w:eastAsia="黑体"/>
                <w:sz w:val="24"/>
                <w:szCs w:val="24"/>
              </w:rPr>
              <w:t>表</w:t>
            </w:r>
            <w:r>
              <w:rPr>
                <w:rFonts w:hint="eastAsia" w:hAnsi="黑体" w:eastAsia="黑体"/>
                <w:sz w:val="24"/>
                <w:szCs w:val="24"/>
              </w:rPr>
              <w:t>17</w:t>
            </w:r>
            <w:r>
              <w:rPr>
                <w:rFonts w:hAnsi="黑体" w:eastAsia="黑体"/>
                <w:sz w:val="24"/>
                <w:szCs w:val="24"/>
              </w:rPr>
              <w:t xml:space="preserve">  主要原辅材料及能源消耗一览表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8"/>
              <w:gridCol w:w="427"/>
              <w:gridCol w:w="1476"/>
              <w:gridCol w:w="904"/>
              <w:gridCol w:w="2098"/>
              <w:gridCol w:w="922"/>
              <w:gridCol w:w="816"/>
              <w:gridCol w:w="636"/>
              <w:gridCol w:w="439"/>
            </w:tblGrid>
            <w:tr w14:paraId="0DCB03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Align w:val="center"/>
                </w:tcPr>
                <w:p w14:paraId="189E6C3B">
                  <w:pPr>
                    <w:spacing w:line="276" w:lineRule="auto"/>
                    <w:jc w:val="center"/>
                    <w:rPr>
                      <w:b/>
                      <w:szCs w:val="21"/>
                    </w:rPr>
                  </w:pPr>
                  <w:r>
                    <w:rPr>
                      <w:rFonts w:hint="eastAsia"/>
                      <w:b/>
                      <w:szCs w:val="21"/>
                    </w:rPr>
                    <w:t>序号</w:t>
                  </w:r>
                </w:p>
              </w:tc>
              <w:tc>
                <w:tcPr>
                  <w:tcW w:w="262" w:type="pct"/>
                  <w:vAlign w:val="center"/>
                </w:tcPr>
                <w:p w14:paraId="627CDB12">
                  <w:pPr>
                    <w:spacing w:line="276" w:lineRule="auto"/>
                    <w:jc w:val="center"/>
                    <w:rPr>
                      <w:b/>
                      <w:szCs w:val="21"/>
                    </w:rPr>
                  </w:pPr>
                  <w:r>
                    <w:rPr>
                      <w:rFonts w:hint="eastAsia"/>
                      <w:b/>
                      <w:szCs w:val="21"/>
                    </w:rPr>
                    <w:t>类别</w:t>
                  </w:r>
                </w:p>
              </w:tc>
              <w:tc>
                <w:tcPr>
                  <w:tcW w:w="906" w:type="pct"/>
                  <w:vAlign w:val="center"/>
                </w:tcPr>
                <w:p w14:paraId="72B96F10">
                  <w:pPr>
                    <w:spacing w:line="276" w:lineRule="auto"/>
                    <w:jc w:val="center"/>
                    <w:rPr>
                      <w:b/>
                      <w:szCs w:val="21"/>
                    </w:rPr>
                  </w:pPr>
                  <w:r>
                    <w:rPr>
                      <w:rFonts w:hint="eastAsia"/>
                      <w:b/>
                      <w:szCs w:val="21"/>
                    </w:rPr>
                    <w:t>原材料名称</w:t>
                  </w:r>
                </w:p>
              </w:tc>
              <w:tc>
                <w:tcPr>
                  <w:tcW w:w="555" w:type="pct"/>
                  <w:vAlign w:val="center"/>
                </w:tcPr>
                <w:p w14:paraId="1E926131">
                  <w:pPr>
                    <w:spacing w:line="276" w:lineRule="auto"/>
                    <w:jc w:val="center"/>
                    <w:rPr>
                      <w:b/>
                      <w:szCs w:val="21"/>
                    </w:rPr>
                  </w:pPr>
                  <w:r>
                    <w:rPr>
                      <w:rFonts w:hint="eastAsia"/>
                      <w:b/>
                      <w:szCs w:val="21"/>
                    </w:rPr>
                    <w:t>性状</w:t>
                  </w:r>
                </w:p>
              </w:tc>
              <w:tc>
                <w:tcPr>
                  <w:tcW w:w="1288" w:type="pct"/>
                  <w:vAlign w:val="center"/>
                </w:tcPr>
                <w:p w14:paraId="1BACD03F">
                  <w:pPr>
                    <w:spacing w:line="276" w:lineRule="auto"/>
                    <w:jc w:val="center"/>
                    <w:rPr>
                      <w:b/>
                      <w:szCs w:val="21"/>
                    </w:rPr>
                  </w:pPr>
                  <w:r>
                    <w:rPr>
                      <w:rFonts w:hint="eastAsia"/>
                      <w:b/>
                      <w:szCs w:val="21"/>
                    </w:rPr>
                    <w:t>规格、包装方式</w:t>
                  </w:r>
                </w:p>
              </w:tc>
              <w:tc>
                <w:tcPr>
                  <w:tcW w:w="566" w:type="pct"/>
                  <w:vAlign w:val="center"/>
                </w:tcPr>
                <w:p w14:paraId="391E0AE5">
                  <w:pPr>
                    <w:spacing w:line="276" w:lineRule="auto"/>
                    <w:jc w:val="center"/>
                    <w:rPr>
                      <w:b/>
                      <w:szCs w:val="21"/>
                    </w:rPr>
                  </w:pPr>
                  <w:r>
                    <w:rPr>
                      <w:rFonts w:hint="eastAsia"/>
                      <w:b/>
                      <w:szCs w:val="21"/>
                    </w:rPr>
                    <w:t>年用量</w:t>
                  </w:r>
                </w:p>
              </w:tc>
              <w:tc>
                <w:tcPr>
                  <w:tcW w:w="501" w:type="pct"/>
                  <w:vAlign w:val="center"/>
                </w:tcPr>
                <w:p w14:paraId="6E977039">
                  <w:pPr>
                    <w:spacing w:line="276" w:lineRule="auto"/>
                    <w:jc w:val="center"/>
                    <w:rPr>
                      <w:b/>
                      <w:szCs w:val="21"/>
                    </w:rPr>
                  </w:pPr>
                  <w:r>
                    <w:rPr>
                      <w:rFonts w:hint="eastAsia"/>
                      <w:b/>
                      <w:szCs w:val="21"/>
                    </w:rPr>
                    <w:t>最大储存量</w:t>
                  </w:r>
                </w:p>
              </w:tc>
              <w:tc>
                <w:tcPr>
                  <w:tcW w:w="390" w:type="pct"/>
                  <w:vAlign w:val="center"/>
                </w:tcPr>
                <w:p w14:paraId="4AF4D424">
                  <w:pPr>
                    <w:spacing w:line="276" w:lineRule="auto"/>
                    <w:jc w:val="center"/>
                    <w:rPr>
                      <w:b/>
                      <w:szCs w:val="21"/>
                    </w:rPr>
                  </w:pPr>
                  <w:r>
                    <w:rPr>
                      <w:rFonts w:hint="eastAsia"/>
                      <w:b/>
                      <w:szCs w:val="21"/>
                    </w:rPr>
                    <w:t>储存周期</w:t>
                  </w:r>
                </w:p>
              </w:tc>
              <w:tc>
                <w:tcPr>
                  <w:tcW w:w="269" w:type="pct"/>
                  <w:vAlign w:val="center"/>
                </w:tcPr>
                <w:p w14:paraId="2A3AF853">
                  <w:pPr>
                    <w:spacing w:line="276" w:lineRule="auto"/>
                    <w:jc w:val="center"/>
                    <w:rPr>
                      <w:b/>
                      <w:szCs w:val="21"/>
                    </w:rPr>
                  </w:pPr>
                  <w:r>
                    <w:rPr>
                      <w:rFonts w:hint="eastAsia"/>
                      <w:b/>
                      <w:szCs w:val="21"/>
                    </w:rPr>
                    <w:t>储存位置</w:t>
                  </w:r>
                </w:p>
              </w:tc>
            </w:tr>
            <w:tr w14:paraId="62039F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restart"/>
                  <w:vAlign w:val="center"/>
                </w:tcPr>
                <w:p w14:paraId="79BFC318">
                  <w:pPr>
                    <w:spacing w:line="276" w:lineRule="auto"/>
                    <w:jc w:val="center"/>
                    <w:rPr>
                      <w:szCs w:val="21"/>
                    </w:rPr>
                  </w:pPr>
                  <w:r>
                    <w:rPr>
                      <w:rFonts w:hint="eastAsia"/>
                      <w:szCs w:val="21"/>
                    </w:rPr>
                    <w:t>1</w:t>
                  </w:r>
                </w:p>
              </w:tc>
              <w:tc>
                <w:tcPr>
                  <w:tcW w:w="262" w:type="pct"/>
                  <w:vMerge w:val="restart"/>
                  <w:vAlign w:val="center"/>
                </w:tcPr>
                <w:p w14:paraId="583372B2">
                  <w:pPr>
                    <w:spacing w:line="276" w:lineRule="auto"/>
                    <w:jc w:val="center"/>
                    <w:rPr>
                      <w:szCs w:val="21"/>
                    </w:rPr>
                  </w:pPr>
                  <w:r>
                    <w:rPr>
                      <w:rFonts w:hint="eastAsia"/>
                      <w:szCs w:val="21"/>
                    </w:rPr>
                    <w:t>荧光棒原料</w:t>
                  </w:r>
                </w:p>
              </w:tc>
              <w:tc>
                <w:tcPr>
                  <w:tcW w:w="906" w:type="pct"/>
                  <w:vAlign w:val="center"/>
                </w:tcPr>
                <w:p w14:paraId="79ABA6A5">
                  <w:pPr>
                    <w:spacing w:line="276" w:lineRule="auto"/>
                    <w:jc w:val="center"/>
                    <w:rPr>
                      <w:szCs w:val="21"/>
                    </w:rPr>
                  </w:pPr>
                  <w:r>
                    <w:rPr>
                      <w:szCs w:val="21"/>
                    </w:rPr>
                    <w:t>邻苯二甲酸二甲酯</w:t>
                  </w:r>
                  <w:r>
                    <w:rPr>
                      <w:rFonts w:hint="eastAsia"/>
                      <w:szCs w:val="21"/>
                    </w:rPr>
                    <w:t>（DMP）</w:t>
                  </w:r>
                </w:p>
              </w:tc>
              <w:tc>
                <w:tcPr>
                  <w:tcW w:w="555" w:type="pct"/>
                  <w:vAlign w:val="center"/>
                </w:tcPr>
                <w:p w14:paraId="12BFF330">
                  <w:pPr>
                    <w:spacing w:line="276" w:lineRule="auto"/>
                    <w:jc w:val="center"/>
                    <w:rPr>
                      <w:szCs w:val="21"/>
                    </w:rPr>
                  </w:pPr>
                  <w:r>
                    <w:rPr>
                      <w:rFonts w:hint="eastAsia"/>
                      <w:szCs w:val="21"/>
                    </w:rPr>
                    <w:t>液体</w:t>
                  </w:r>
                </w:p>
              </w:tc>
              <w:tc>
                <w:tcPr>
                  <w:tcW w:w="1288" w:type="pct"/>
                  <w:vAlign w:val="center"/>
                </w:tcPr>
                <w:p w14:paraId="4100C487">
                  <w:pPr>
                    <w:spacing w:line="276" w:lineRule="auto"/>
                    <w:jc w:val="center"/>
                    <w:rPr>
                      <w:szCs w:val="21"/>
                    </w:rPr>
                  </w:pPr>
                  <w:r>
                    <w:rPr>
                      <w:rFonts w:hint="eastAsia"/>
                      <w:szCs w:val="21"/>
                    </w:rPr>
                    <w:t>200kg/桶</w:t>
                  </w:r>
                </w:p>
              </w:tc>
              <w:tc>
                <w:tcPr>
                  <w:tcW w:w="566" w:type="pct"/>
                  <w:vAlign w:val="center"/>
                </w:tcPr>
                <w:p w14:paraId="4C6D65CB">
                  <w:pPr>
                    <w:spacing w:line="276" w:lineRule="auto"/>
                    <w:jc w:val="center"/>
                    <w:rPr>
                      <w:szCs w:val="21"/>
                    </w:rPr>
                  </w:pPr>
                  <w:r>
                    <w:rPr>
                      <w:rFonts w:hint="eastAsia"/>
                      <w:szCs w:val="21"/>
                    </w:rPr>
                    <w:t>141.</w:t>
                  </w:r>
                  <w:r>
                    <w:rPr>
                      <w:szCs w:val="21"/>
                    </w:rPr>
                    <w:t>4</w:t>
                  </w:r>
                  <w:r>
                    <w:rPr>
                      <w:rFonts w:hint="eastAsia"/>
                      <w:szCs w:val="21"/>
                    </w:rPr>
                    <w:t>t</w:t>
                  </w:r>
                </w:p>
              </w:tc>
              <w:tc>
                <w:tcPr>
                  <w:tcW w:w="501" w:type="pct"/>
                  <w:vAlign w:val="center"/>
                </w:tcPr>
                <w:p w14:paraId="0E968BD9">
                  <w:pPr>
                    <w:spacing w:line="276" w:lineRule="auto"/>
                    <w:jc w:val="center"/>
                    <w:rPr>
                      <w:szCs w:val="21"/>
                    </w:rPr>
                  </w:pPr>
                  <w:r>
                    <w:rPr>
                      <w:szCs w:val="21"/>
                    </w:rPr>
                    <w:t>4.6</w:t>
                  </w:r>
                  <w:r>
                    <w:rPr>
                      <w:rFonts w:hint="eastAsia"/>
                      <w:szCs w:val="21"/>
                    </w:rPr>
                    <w:t>t</w:t>
                  </w:r>
                </w:p>
              </w:tc>
              <w:tc>
                <w:tcPr>
                  <w:tcW w:w="390" w:type="pct"/>
                  <w:vAlign w:val="center"/>
                </w:tcPr>
                <w:p w14:paraId="76F5041E">
                  <w:pPr>
                    <w:spacing w:line="276" w:lineRule="auto"/>
                    <w:jc w:val="center"/>
                    <w:rPr>
                      <w:szCs w:val="21"/>
                    </w:rPr>
                  </w:pPr>
                  <w:r>
                    <w:rPr>
                      <w:rFonts w:hint="eastAsia"/>
                      <w:szCs w:val="21"/>
                    </w:rPr>
                    <w:t>1</w:t>
                  </w:r>
                  <w:r>
                    <w:rPr>
                      <w:szCs w:val="21"/>
                    </w:rPr>
                    <w:t>0</w:t>
                  </w:r>
                  <w:r>
                    <w:rPr>
                      <w:rFonts w:hint="eastAsia"/>
                      <w:szCs w:val="21"/>
                    </w:rPr>
                    <w:t>d</w:t>
                  </w:r>
                </w:p>
              </w:tc>
              <w:tc>
                <w:tcPr>
                  <w:tcW w:w="269" w:type="pct"/>
                  <w:vMerge w:val="restart"/>
                  <w:vAlign w:val="center"/>
                </w:tcPr>
                <w:p w14:paraId="2452932E">
                  <w:pPr>
                    <w:spacing w:line="276" w:lineRule="auto"/>
                    <w:jc w:val="center"/>
                    <w:rPr>
                      <w:szCs w:val="21"/>
                    </w:rPr>
                  </w:pPr>
                  <w:r>
                    <w:rPr>
                      <w:szCs w:val="21"/>
                    </w:rPr>
                    <w:t>化学品库</w:t>
                  </w:r>
                </w:p>
              </w:tc>
            </w:tr>
            <w:tr w14:paraId="7ABC4F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0CEDD08D">
                  <w:pPr>
                    <w:spacing w:line="276" w:lineRule="auto"/>
                    <w:jc w:val="center"/>
                    <w:rPr>
                      <w:szCs w:val="21"/>
                    </w:rPr>
                  </w:pPr>
                </w:p>
              </w:tc>
              <w:tc>
                <w:tcPr>
                  <w:tcW w:w="262" w:type="pct"/>
                  <w:vMerge w:val="continue"/>
                  <w:vAlign w:val="center"/>
                </w:tcPr>
                <w:p w14:paraId="6322162C">
                  <w:pPr>
                    <w:spacing w:line="276" w:lineRule="auto"/>
                    <w:jc w:val="center"/>
                    <w:rPr>
                      <w:szCs w:val="21"/>
                    </w:rPr>
                  </w:pPr>
                </w:p>
              </w:tc>
              <w:tc>
                <w:tcPr>
                  <w:tcW w:w="906" w:type="pct"/>
                  <w:vAlign w:val="center"/>
                </w:tcPr>
                <w:p w14:paraId="3CD35D54">
                  <w:pPr>
                    <w:spacing w:line="276" w:lineRule="auto"/>
                    <w:jc w:val="center"/>
                    <w:rPr>
                      <w:szCs w:val="21"/>
                    </w:rPr>
                  </w:pPr>
                  <w:r>
                    <w:rPr>
                      <w:rFonts w:hint="eastAsia"/>
                      <w:szCs w:val="21"/>
                    </w:rPr>
                    <w:t>双草酸酯（CPPO）</w:t>
                  </w:r>
                </w:p>
              </w:tc>
              <w:tc>
                <w:tcPr>
                  <w:tcW w:w="555" w:type="pct"/>
                  <w:vAlign w:val="center"/>
                </w:tcPr>
                <w:p w14:paraId="68631D01">
                  <w:pPr>
                    <w:spacing w:line="276" w:lineRule="auto"/>
                    <w:jc w:val="center"/>
                    <w:rPr>
                      <w:szCs w:val="21"/>
                    </w:rPr>
                  </w:pPr>
                  <w:r>
                    <w:rPr>
                      <w:rFonts w:hint="eastAsia"/>
                      <w:szCs w:val="21"/>
                    </w:rPr>
                    <w:t>液体</w:t>
                  </w:r>
                </w:p>
              </w:tc>
              <w:tc>
                <w:tcPr>
                  <w:tcW w:w="1288" w:type="pct"/>
                  <w:vAlign w:val="center"/>
                </w:tcPr>
                <w:p w14:paraId="45AA1320">
                  <w:pPr>
                    <w:spacing w:line="276" w:lineRule="auto"/>
                    <w:jc w:val="center"/>
                    <w:rPr>
                      <w:szCs w:val="21"/>
                    </w:rPr>
                  </w:pPr>
                  <w:r>
                    <w:rPr>
                      <w:rFonts w:hint="eastAsia"/>
                      <w:szCs w:val="21"/>
                    </w:rPr>
                    <w:t>200kg/桶</w:t>
                  </w:r>
                </w:p>
              </w:tc>
              <w:tc>
                <w:tcPr>
                  <w:tcW w:w="566" w:type="pct"/>
                  <w:vAlign w:val="center"/>
                </w:tcPr>
                <w:p w14:paraId="2D6FCA74">
                  <w:pPr>
                    <w:spacing w:line="276" w:lineRule="auto"/>
                    <w:jc w:val="center"/>
                    <w:rPr>
                      <w:szCs w:val="21"/>
                    </w:rPr>
                  </w:pPr>
                  <w:r>
                    <w:rPr>
                      <w:rFonts w:hint="eastAsia"/>
                      <w:szCs w:val="21"/>
                    </w:rPr>
                    <w:t>4.69t</w:t>
                  </w:r>
                </w:p>
              </w:tc>
              <w:tc>
                <w:tcPr>
                  <w:tcW w:w="501" w:type="pct"/>
                  <w:vAlign w:val="center"/>
                </w:tcPr>
                <w:p w14:paraId="7801BEDD">
                  <w:pPr>
                    <w:spacing w:line="276" w:lineRule="auto"/>
                    <w:jc w:val="center"/>
                    <w:rPr>
                      <w:szCs w:val="21"/>
                    </w:rPr>
                  </w:pPr>
                  <w:r>
                    <w:rPr>
                      <w:szCs w:val="21"/>
                    </w:rPr>
                    <w:t>0.2</w:t>
                  </w:r>
                  <w:r>
                    <w:rPr>
                      <w:rFonts w:hint="eastAsia"/>
                      <w:szCs w:val="21"/>
                    </w:rPr>
                    <w:t>t</w:t>
                  </w:r>
                </w:p>
              </w:tc>
              <w:tc>
                <w:tcPr>
                  <w:tcW w:w="390" w:type="pct"/>
                  <w:vAlign w:val="center"/>
                </w:tcPr>
                <w:p w14:paraId="0F8C1A91">
                  <w:pPr>
                    <w:spacing w:line="276" w:lineRule="auto"/>
                    <w:jc w:val="center"/>
                    <w:rPr>
                      <w:szCs w:val="21"/>
                    </w:rPr>
                  </w:pPr>
                  <w:r>
                    <w:rPr>
                      <w:szCs w:val="21"/>
                    </w:rPr>
                    <w:t>10</w:t>
                  </w:r>
                  <w:r>
                    <w:rPr>
                      <w:rFonts w:hint="eastAsia"/>
                      <w:szCs w:val="21"/>
                    </w:rPr>
                    <w:t>d</w:t>
                  </w:r>
                </w:p>
              </w:tc>
              <w:tc>
                <w:tcPr>
                  <w:tcW w:w="269" w:type="pct"/>
                  <w:vMerge w:val="continue"/>
                  <w:vAlign w:val="center"/>
                </w:tcPr>
                <w:p w14:paraId="1D412082">
                  <w:pPr>
                    <w:spacing w:line="276" w:lineRule="auto"/>
                    <w:jc w:val="center"/>
                    <w:rPr>
                      <w:szCs w:val="21"/>
                    </w:rPr>
                  </w:pPr>
                </w:p>
              </w:tc>
            </w:tr>
            <w:tr w14:paraId="565836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1FC2E119">
                  <w:pPr>
                    <w:spacing w:line="276" w:lineRule="auto"/>
                    <w:jc w:val="center"/>
                    <w:rPr>
                      <w:szCs w:val="21"/>
                    </w:rPr>
                  </w:pPr>
                </w:p>
              </w:tc>
              <w:tc>
                <w:tcPr>
                  <w:tcW w:w="262" w:type="pct"/>
                  <w:vMerge w:val="continue"/>
                  <w:vAlign w:val="center"/>
                </w:tcPr>
                <w:p w14:paraId="0F4DF7A6">
                  <w:pPr>
                    <w:spacing w:line="276" w:lineRule="auto"/>
                    <w:jc w:val="center"/>
                    <w:rPr>
                      <w:szCs w:val="21"/>
                    </w:rPr>
                  </w:pPr>
                </w:p>
              </w:tc>
              <w:tc>
                <w:tcPr>
                  <w:tcW w:w="906" w:type="pct"/>
                  <w:vAlign w:val="center"/>
                </w:tcPr>
                <w:p w14:paraId="49067356">
                  <w:pPr>
                    <w:spacing w:line="276" w:lineRule="auto"/>
                    <w:jc w:val="center"/>
                    <w:rPr>
                      <w:szCs w:val="21"/>
                    </w:rPr>
                  </w:pPr>
                  <w:r>
                    <w:rPr>
                      <w:rFonts w:hint="eastAsia"/>
                      <w:szCs w:val="21"/>
                    </w:rPr>
                    <w:t>染料（不含有毒有害重金属）</w:t>
                  </w:r>
                </w:p>
              </w:tc>
              <w:tc>
                <w:tcPr>
                  <w:tcW w:w="555" w:type="pct"/>
                  <w:vAlign w:val="center"/>
                </w:tcPr>
                <w:p w14:paraId="102E1364">
                  <w:pPr>
                    <w:spacing w:line="276" w:lineRule="auto"/>
                    <w:jc w:val="center"/>
                    <w:rPr>
                      <w:szCs w:val="21"/>
                    </w:rPr>
                  </w:pPr>
                  <w:r>
                    <w:rPr>
                      <w:rFonts w:hint="eastAsia"/>
                      <w:szCs w:val="21"/>
                    </w:rPr>
                    <w:t>固体</w:t>
                  </w:r>
                </w:p>
                <w:p w14:paraId="21C71279">
                  <w:pPr>
                    <w:spacing w:line="276" w:lineRule="auto"/>
                    <w:jc w:val="center"/>
                    <w:rPr>
                      <w:szCs w:val="21"/>
                    </w:rPr>
                  </w:pPr>
                  <w:r>
                    <w:rPr>
                      <w:rFonts w:hint="eastAsia"/>
                      <w:szCs w:val="21"/>
                    </w:rPr>
                    <w:t>粉末</w:t>
                  </w:r>
                </w:p>
              </w:tc>
              <w:tc>
                <w:tcPr>
                  <w:tcW w:w="1288" w:type="pct"/>
                  <w:vAlign w:val="center"/>
                </w:tcPr>
                <w:p w14:paraId="0067CAC3">
                  <w:pPr>
                    <w:spacing w:line="276" w:lineRule="auto"/>
                    <w:jc w:val="center"/>
                    <w:rPr>
                      <w:szCs w:val="21"/>
                    </w:rPr>
                  </w:pPr>
                  <w:r>
                    <w:rPr>
                      <w:rFonts w:hint="eastAsia"/>
                      <w:szCs w:val="21"/>
                    </w:rPr>
                    <w:t>25kg/桶</w:t>
                  </w:r>
                </w:p>
              </w:tc>
              <w:tc>
                <w:tcPr>
                  <w:tcW w:w="566" w:type="pct"/>
                  <w:vAlign w:val="center"/>
                </w:tcPr>
                <w:p w14:paraId="5D18AB03">
                  <w:pPr>
                    <w:spacing w:line="276" w:lineRule="auto"/>
                    <w:jc w:val="center"/>
                    <w:rPr>
                      <w:szCs w:val="21"/>
                    </w:rPr>
                  </w:pPr>
                  <w:r>
                    <w:rPr>
                      <w:szCs w:val="21"/>
                    </w:rPr>
                    <w:t>0.0</w:t>
                  </w:r>
                  <w:r>
                    <w:rPr>
                      <w:rFonts w:hint="eastAsia"/>
                      <w:szCs w:val="21"/>
                    </w:rPr>
                    <w:t>4t</w:t>
                  </w:r>
                </w:p>
              </w:tc>
              <w:tc>
                <w:tcPr>
                  <w:tcW w:w="501" w:type="pct"/>
                  <w:vAlign w:val="center"/>
                </w:tcPr>
                <w:p w14:paraId="777E90F2">
                  <w:pPr>
                    <w:spacing w:line="276" w:lineRule="auto"/>
                    <w:jc w:val="center"/>
                    <w:rPr>
                      <w:szCs w:val="21"/>
                    </w:rPr>
                  </w:pPr>
                  <w:r>
                    <w:rPr>
                      <w:szCs w:val="21"/>
                    </w:rPr>
                    <w:t>0.025</w:t>
                  </w:r>
                  <w:r>
                    <w:rPr>
                      <w:rFonts w:hint="eastAsia"/>
                      <w:szCs w:val="21"/>
                    </w:rPr>
                    <w:t>t</w:t>
                  </w:r>
                </w:p>
              </w:tc>
              <w:tc>
                <w:tcPr>
                  <w:tcW w:w="390" w:type="pct"/>
                  <w:vAlign w:val="center"/>
                </w:tcPr>
                <w:p w14:paraId="549FCE00">
                  <w:pPr>
                    <w:spacing w:line="276" w:lineRule="auto"/>
                    <w:jc w:val="center"/>
                    <w:rPr>
                      <w:szCs w:val="21"/>
                    </w:rPr>
                  </w:pPr>
                  <w:r>
                    <w:rPr>
                      <w:szCs w:val="21"/>
                    </w:rPr>
                    <w:t>200</w:t>
                  </w:r>
                  <w:r>
                    <w:rPr>
                      <w:rFonts w:hint="eastAsia"/>
                      <w:szCs w:val="21"/>
                    </w:rPr>
                    <w:t>d</w:t>
                  </w:r>
                </w:p>
              </w:tc>
              <w:tc>
                <w:tcPr>
                  <w:tcW w:w="269" w:type="pct"/>
                  <w:vMerge w:val="continue"/>
                  <w:vAlign w:val="center"/>
                </w:tcPr>
                <w:p w14:paraId="36F06C74">
                  <w:pPr>
                    <w:spacing w:line="276" w:lineRule="auto"/>
                    <w:jc w:val="center"/>
                    <w:rPr>
                      <w:szCs w:val="21"/>
                    </w:rPr>
                  </w:pPr>
                </w:p>
              </w:tc>
            </w:tr>
            <w:tr w14:paraId="2704AC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cantSplit/>
                <w:tblHeader/>
                <w:jc w:val="center"/>
              </w:trPr>
              <w:tc>
                <w:tcPr>
                  <w:tcW w:w="263" w:type="pct"/>
                  <w:vMerge w:val="continue"/>
                  <w:vAlign w:val="center"/>
                </w:tcPr>
                <w:p w14:paraId="0A28A984">
                  <w:pPr>
                    <w:spacing w:line="276" w:lineRule="auto"/>
                    <w:jc w:val="center"/>
                    <w:rPr>
                      <w:szCs w:val="21"/>
                    </w:rPr>
                  </w:pPr>
                </w:p>
              </w:tc>
              <w:tc>
                <w:tcPr>
                  <w:tcW w:w="262" w:type="pct"/>
                  <w:vMerge w:val="continue"/>
                  <w:vAlign w:val="center"/>
                </w:tcPr>
                <w:p w14:paraId="7DEAD1F8">
                  <w:pPr>
                    <w:spacing w:line="276" w:lineRule="auto"/>
                    <w:jc w:val="center"/>
                    <w:rPr>
                      <w:szCs w:val="21"/>
                    </w:rPr>
                  </w:pPr>
                </w:p>
              </w:tc>
              <w:tc>
                <w:tcPr>
                  <w:tcW w:w="906" w:type="pct"/>
                  <w:vAlign w:val="center"/>
                </w:tcPr>
                <w:p w14:paraId="786D6981">
                  <w:pPr>
                    <w:spacing w:line="276" w:lineRule="auto"/>
                    <w:jc w:val="center"/>
                    <w:rPr>
                      <w:szCs w:val="21"/>
                    </w:rPr>
                  </w:pPr>
                  <w:r>
                    <w:rPr>
                      <w:szCs w:val="21"/>
                    </w:rPr>
                    <w:t>双氧水</w:t>
                  </w:r>
                  <w:r>
                    <w:rPr>
                      <w:rFonts w:hint="eastAsia"/>
                      <w:szCs w:val="21"/>
                    </w:rPr>
                    <w:t>（浓度70</w:t>
                  </w:r>
                  <w:r>
                    <w:rPr>
                      <w:szCs w:val="21"/>
                    </w:rPr>
                    <w:t>%</w:t>
                  </w:r>
                  <w:r>
                    <w:rPr>
                      <w:rFonts w:hint="eastAsia"/>
                      <w:szCs w:val="21"/>
                    </w:rPr>
                    <w:t>）</w:t>
                  </w:r>
                </w:p>
              </w:tc>
              <w:tc>
                <w:tcPr>
                  <w:tcW w:w="555" w:type="pct"/>
                  <w:vAlign w:val="center"/>
                </w:tcPr>
                <w:p w14:paraId="40B3121D">
                  <w:pPr>
                    <w:spacing w:line="276" w:lineRule="auto"/>
                    <w:jc w:val="center"/>
                    <w:rPr>
                      <w:szCs w:val="21"/>
                    </w:rPr>
                  </w:pPr>
                  <w:r>
                    <w:rPr>
                      <w:rFonts w:hint="eastAsia"/>
                      <w:szCs w:val="21"/>
                    </w:rPr>
                    <w:t>液体</w:t>
                  </w:r>
                </w:p>
              </w:tc>
              <w:tc>
                <w:tcPr>
                  <w:tcW w:w="1288" w:type="pct"/>
                  <w:vAlign w:val="center"/>
                </w:tcPr>
                <w:p w14:paraId="3FB004C1">
                  <w:pPr>
                    <w:spacing w:line="276" w:lineRule="auto"/>
                    <w:jc w:val="center"/>
                    <w:rPr>
                      <w:szCs w:val="21"/>
                    </w:rPr>
                  </w:pPr>
                  <w:r>
                    <w:rPr>
                      <w:rFonts w:hint="eastAsia"/>
                      <w:szCs w:val="21"/>
                    </w:rPr>
                    <w:t>200kg/桶</w:t>
                  </w:r>
                </w:p>
              </w:tc>
              <w:tc>
                <w:tcPr>
                  <w:tcW w:w="566" w:type="pct"/>
                  <w:vAlign w:val="center"/>
                </w:tcPr>
                <w:p w14:paraId="4E46F454">
                  <w:pPr>
                    <w:spacing w:line="276" w:lineRule="auto"/>
                    <w:jc w:val="center"/>
                    <w:rPr>
                      <w:szCs w:val="21"/>
                    </w:rPr>
                  </w:pPr>
                  <w:r>
                    <w:rPr>
                      <w:rFonts w:hint="eastAsia"/>
                      <w:szCs w:val="21"/>
                    </w:rPr>
                    <w:t>2.95t</w:t>
                  </w:r>
                </w:p>
              </w:tc>
              <w:tc>
                <w:tcPr>
                  <w:tcW w:w="501" w:type="pct"/>
                  <w:vAlign w:val="center"/>
                </w:tcPr>
                <w:p w14:paraId="402FD2D5">
                  <w:pPr>
                    <w:spacing w:line="276" w:lineRule="auto"/>
                    <w:jc w:val="center"/>
                    <w:rPr>
                      <w:szCs w:val="21"/>
                    </w:rPr>
                  </w:pPr>
                  <w:r>
                    <w:rPr>
                      <w:rFonts w:hint="eastAsia"/>
                      <w:szCs w:val="21"/>
                    </w:rPr>
                    <w:t>0.</w:t>
                  </w:r>
                  <w:r>
                    <w:rPr>
                      <w:szCs w:val="21"/>
                    </w:rPr>
                    <w:t>2</w:t>
                  </w:r>
                  <w:r>
                    <w:rPr>
                      <w:rFonts w:hint="eastAsia"/>
                      <w:szCs w:val="21"/>
                    </w:rPr>
                    <w:t>t</w:t>
                  </w:r>
                </w:p>
              </w:tc>
              <w:tc>
                <w:tcPr>
                  <w:tcW w:w="390" w:type="pct"/>
                  <w:vAlign w:val="center"/>
                </w:tcPr>
                <w:p w14:paraId="2C6FABBF">
                  <w:pPr>
                    <w:spacing w:line="276" w:lineRule="auto"/>
                    <w:jc w:val="center"/>
                    <w:rPr>
                      <w:szCs w:val="21"/>
                    </w:rPr>
                  </w:pPr>
                  <w:r>
                    <w:rPr>
                      <w:szCs w:val="21"/>
                    </w:rPr>
                    <w:t>20</w:t>
                  </w:r>
                  <w:r>
                    <w:rPr>
                      <w:rFonts w:hint="eastAsia"/>
                      <w:szCs w:val="21"/>
                    </w:rPr>
                    <w:t>d</w:t>
                  </w:r>
                </w:p>
              </w:tc>
              <w:tc>
                <w:tcPr>
                  <w:tcW w:w="269" w:type="pct"/>
                  <w:vMerge w:val="continue"/>
                  <w:vAlign w:val="center"/>
                </w:tcPr>
                <w:p w14:paraId="7254622F">
                  <w:pPr>
                    <w:spacing w:line="276" w:lineRule="auto"/>
                    <w:jc w:val="center"/>
                    <w:rPr>
                      <w:szCs w:val="21"/>
                    </w:rPr>
                  </w:pPr>
                </w:p>
              </w:tc>
            </w:tr>
            <w:tr w14:paraId="689245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15F6C412">
                  <w:pPr>
                    <w:spacing w:line="276" w:lineRule="auto"/>
                    <w:jc w:val="center"/>
                    <w:rPr>
                      <w:szCs w:val="21"/>
                    </w:rPr>
                  </w:pPr>
                </w:p>
              </w:tc>
              <w:tc>
                <w:tcPr>
                  <w:tcW w:w="262" w:type="pct"/>
                  <w:vMerge w:val="continue"/>
                  <w:vAlign w:val="center"/>
                </w:tcPr>
                <w:p w14:paraId="5C4AF2B4">
                  <w:pPr>
                    <w:spacing w:line="276" w:lineRule="auto"/>
                    <w:jc w:val="center"/>
                    <w:rPr>
                      <w:szCs w:val="21"/>
                    </w:rPr>
                  </w:pPr>
                </w:p>
              </w:tc>
              <w:tc>
                <w:tcPr>
                  <w:tcW w:w="906" w:type="pct"/>
                  <w:vAlign w:val="center"/>
                </w:tcPr>
                <w:p w14:paraId="03278466">
                  <w:pPr>
                    <w:spacing w:line="276" w:lineRule="auto"/>
                    <w:jc w:val="center"/>
                    <w:rPr>
                      <w:szCs w:val="21"/>
                    </w:rPr>
                  </w:pPr>
                  <w:r>
                    <w:rPr>
                      <w:szCs w:val="21"/>
                    </w:rPr>
                    <w:t>乙醇（浓度</w:t>
                  </w:r>
                  <w:r>
                    <w:rPr>
                      <w:rFonts w:hint="eastAsia"/>
                      <w:szCs w:val="21"/>
                    </w:rPr>
                    <w:t>75%</w:t>
                  </w:r>
                  <w:r>
                    <w:rPr>
                      <w:szCs w:val="21"/>
                    </w:rPr>
                    <w:t>）</w:t>
                  </w:r>
                </w:p>
              </w:tc>
              <w:tc>
                <w:tcPr>
                  <w:tcW w:w="555" w:type="pct"/>
                  <w:vAlign w:val="center"/>
                </w:tcPr>
                <w:p w14:paraId="74C21816">
                  <w:pPr>
                    <w:spacing w:line="276" w:lineRule="auto"/>
                    <w:jc w:val="center"/>
                    <w:rPr>
                      <w:szCs w:val="21"/>
                    </w:rPr>
                  </w:pPr>
                  <w:r>
                    <w:rPr>
                      <w:rFonts w:hint="eastAsia"/>
                      <w:szCs w:val="21"/>
                    </w:rPr>
                    <w:t>液体</w:t>
                  </w:r>
                </w:p>
              </w:tc>
              <w:tc>
                <w:tcPr>
                  <w:tcW w:w="1288" w:type="pct"/>
                  <w:vAlign w:val="center"/>
                </w:tcPr>
                <w:p w14:paraId="380E96D0">
                  <w:pPr>
                    <w:spacing w:line="276" w:lineRule="auto"/>
                    <w:jc w:val="center"/>
                    <w:rPr>
                      <w:szCs w:val="21"/>
                    </w:rPr>
                  </w:pPr>
                  <w:r>
                    <w:rPr>
                      <w:rFonts w:hint="eastAsia"/>
                      <w:szCs w:val="21"/>
                    </w:rPr>
                    <w:t>200</w:t>
                  </w:r>
                  <w:r>
                    <w:rPr>
                      <w:szCs w:val="21"/>
                    </w:rPr>
                    <w:t>kg/桶</w:t>
                  </w:r>
                </w:p>
              </w:tc>
              <w:tc>
                <w:tcPr>
                  <w:tcW w:w="566" w:type="pct"/>
                  <w:vAlign w:val="center"/>
                </w:tcPr>
                <w:p w14:paraId="28D29938">
                  <w:pPr>
                    <w:spacing w:line="276" w:lineRule="auto"/>
                    <w:jc w:val="center"/>
                    <w:rPr>
                      <w:szCs w:val="21"/>
                    </w:rPr>
                  </w:pPr>
                  <w:r>
                    <w:rPr>
                      <w:rFonts w:hint="eastAsia"/>
                      <w:szCs w:val="21"/>
                    </w:rPr>
                    <w:t>3.4t</w:t>
                  </w:r>
                </w:p>
              </w:tc>
              <w:tc>
                <w:tcPr>
                  <w:tcW w:w="501" w:type="pct"/>
                  <w:vAlign w:val="center"/>
                </w:tcPr>
                <w:p w14:paraId="084CC8A9">
                  <w:pPr>
                    <w:spacing w:line="276" w:lineRule="auto"/>
                    <w:jc w:val="center"/>
                    <w:rPr>
                      <w:szCs w:val="21"/>
                    </w:rPr>
                  </w:pPr>
                  <w:r>
                    <w:rPr>
                      <w:rFonts w:hint="eastAsia"/>
                      <w:szCs w:val="21"/>
                    </w:rPr>
                    <w:t>0.</w:t>
                  </w:r>
                  <w:r>
                    <w:rPr>
                      <w:szCs w:val="21"/>
                    </w:rPr>
                    <w:t>20</w:t>
                  </w:r>
                  <w:r>
                    <w:rPr>
                      <w:rFonts w:hint="eastAsia"/>
                      <w:szCs w:val="21"/>
                    </w:rPr>
                    <w:t>t</w:t>
                  </w:r>
                </w:p>
              </w:tc>
              <w:tc>
                <w:tcPr>
                  <w:tcW w:w="390" w:type="pct"/>
                  <w:vAlign w:val="center"/>
                </w:tcPr>
                <w:p w14:paraId="4638E4D8">
                  <w:pPr>
                    <w:spacing w:line="276" w:lineRule="auto"/>
                    <w:jc w:val="center"/>
                    <w:rPr>
                      <w:szCs w:val="21"/>
                    </w:rPr>
                  </w:pPr>
                  <w:r>
                    <w:rPr>
                      <w:rFonts w:hint="eastAsia"/>
                      <w:szCs w:val="21"/>
                    </w:rPr>
                    <w:t>15d</w:t>
                  </w:r>
                </w:p>
              </w:tc>
              <w:tc>
                <w:tcPr>
                  <w:tcW w:w="269" w:type="pct"/>
                  <w:vMerge w:val="continue"/>
                  <w:vAlign w:val="center"/>
                </w:tcPr>
                <w:p w14:paraId="0EDCA5EF">
                  <w:pPr>
                    <w:spacing w:line="276" w:lineRule="auto"/>
                    <w:jc w:val="center"/>
                    <w:rPr>
                      <w:szCs w:val="21"/>
                    </w:rPr>
                  </w:pPr>
                </w:p>
              </w:tc>
            </w:tr>
            <w:tr w14:paraId="4DEBB7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6F25B7B8">
                  <w:pPr>
                    <w:spacing w:line="276" w:lineRule="auto"/>
                    <w:jc w:val="center"/>
                    <w:rPr>
                      <w:szCs w:val="21"/>
                    </w:rPr>
                  </w:pPr>
                </w:p>
              </w:tc>
              <w:tc>
                <w:tcPr>
                  <w:tcW w:w="262" w:type="pct"/>
                  <w:vMerge w:val="continue"/>
                  <w:vAlign w:val="center"/>
                </w:tcPr>
                <w:p w14:paraId="465B9588">
                  <w:pPr>
                    <w:spacing w:line="276" w:lineRule="auto"/>
                    <w:jc w:val="center"/>
                    <w:rPr>
                      <w:szCs w:val="21"/>
                    </w:rPr>
                  </w:pPr>
                </w:p>
              </w:tc>
              <w:tc>
                <w:tcPr>
                  <w:tcW w:w="906" w:type="pct"/>
                  <w:vMerge w:val="restart"/>
                  <w:vAlign w:val="center"/>
                </w:tcPr>
                <w:p w14:paraId="76A456B8">
                  <w:pPr>
                    <w:spacing w:line="276" w:lineRule="auto"/>
                    <w:jc w:val="center"/>
                    <w:rPr>
                      <w:szCs w:val="21"/>
                    </w:rPr>
                  </w:pPr>
                  <w:r>
                    <w:rPr>
                      <w:rFonts w:hint="eastAsia"/>
                      <w:szCs w:val="21"/>
                    </w:rPr>
                    <w:t>玻璃管</w:t>
                  </w:r>
                </w:p>
              </w:tc>
              <w:tc>
                <w:tcPr>
                  <w:tcW w:w="555" w:type="pct"/>
                  <w:vAlign w:val="center"/>
                </w:tcPr>
                <w:p w14:paraId="1CF643E2">
                  <w:pPr>
                    <w:spacing w:line="276" w:lineRule="auto"/>
                    <w:jc w:val="center"/>
                    <w:rPr>
                      <w:szCs w:val="21"/>
                    </w:rPr>
                  </w:pPr>
                  <w:r>
                    <w:rPr>
                      <w:rFonts w:hint="eastAsia"/>
                      <w:szCs w:val="21"/>
                    </w:rPr>
                    <w:t>固体</w:t>
                  </w:r>
                </w:p>
              </w:tc>
              <w:tc>
                <w:tcPr>
                  <w:tcW w:w="1288" w:type="pct"/>
                  <w:vAlign w:val="center"/>
                </w:tcPr>
                <w:p w14:paraId="14BBD957">
                  <w:pPr>
                    <w:spacing w:line="276" w:lineRule="auto"/>
                    <w:jc w:val="center"/>
                    <w:rPr>
                      <w:szCs w:val="21"/>
                    </w:rPr>
                  </w:pPr>
                  <w:r>
                    <w:rPr>
                      <w:szCs w:val="21"/>
                    </w:rPr>
                    <w:t>单个重量</w:t>
                  </w:r>
                  <w:r>
                    <w:rPr>
                      <w:rFonts w:hint="eastAsia"/>
                      <w:szCs w:val="21"/>
                    </w:rPr>
                    <w:t>0.1g</w:t>
                  </w:r>
                </w:p>
              </w:tc>
              <w:tc>
                <w:tcPr>
                  <w:tcW w:w="566" w:type="pct"/>
                  <w:vAlign w:val="center"/>
                </w:tcPr>
                <w:p w14:paraId="72EADC9F">
                  <w:pPr>
                    <w:spacing w:line="276" w:lineRule="auto"/>
                    <w:jc w:val="center"/>
                    <w:rPr>
                      <w:szCs w:val="21"/>
                    </w:rPr>
                  </w:pPr>
                  <w:r>
                    <w:rPr>
                      <w:rFonts w:hint="eastAsia"/>
                      <w:szCs w:val="21"/>
                    </w:rPr>
                    <w:t>8760万只</w:t>
                  </w:r>
                </w:p>
              </w:tc>
              <w:tc>
                <w:tcPr>
                  <w:tcW w:w="501" w:type="pct"/>
                  <w:vAlign w:val="center"/>
                </w:tcPr>
                <w:p w14:paraId="7C53172C">
                  <w:pPr>
                    <w:spacing w:line="276" w:lineRule="auto"/>
                    <w:jc w:val="center"/>
                    <w:rPr>
                      <w:szCs w:val="21"/>
                    </w:rPr>
                  </w:pPr>
                  <w:r>
                    <w:rPr>
                      <w:rFonts w:hint="eastAsia"/>
                      <w:szCs w:val="21"/>
                    </w:rPr>
                    <w:t>0.438t</w:t>
                  </w:r>
                </w:p>
              </w:tc>
              <w:tc>
                <w:tcPr>
                  <w:tcW w:w="390" w:type="pct"/>
                  <w:vAlign w:val="center"/>
                </w:tcPr>
                <w:p w14:paraId="2C7E6415">
                  <w:pPr>
                    <w:jc w:val="center"/>
                  </w:pPr>
                  <w:r>
                    <w:rPr>
                      <w:rFonts w:hint="eastAsia"/>
                      <w:szCs w:val="21"/>
                    </w:rPr>
                    <w:t>15d</w:t>
                  </w:r>
                </w:p>
              </w:tc>
              <w:tc>
                <w:tcPr>
                  <w:tcW w:w="269" w:type="pct"/>
                  <w:vMerge w:val="restart"/>
                  <w:vAlign w:val="center"/>
                </w:tcPr>
                <w:p w14:paraId="4DE5F8F9">
                  <w:pPr>
                    <w:spacing w:line="276" w:lineRule="auto"/>
                    <w:jc w:val="center"/>
                    <w:rPr>
                      <w:szCs w:val="21"/>
                    </w:rPr>
                  </w:pPr>
                  <w:r>
                    <w:rPr>
                      <w:rFonts w:hint="eastAsia"/>
                      <w:szCs w:val="21"/>
                    </w:rPr>
                    <w:t>3层</w:t>
                  </w:r>
                  <w:r>
                    <w:rPr>
                      <w:szCs w:val="21"/>
                    </w:rPr>
                    <w:t>原材料库</w:t>
                  </w:r>
                </w:p>
              </w:tc>
            </w:tr>
            <w:tr w14:paraId="1FD194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6AE62660">
                  <w:pPr>
                    <w:spacing w:line="276" w:lineRule="auto"/>
                    <w:jc w:val="center"/>
                    <w:rPr>
                      <w:szCs w:val="21"/>
                    </w:rPr>
                  </w:pPr>
                </w:p>
              </w:tc>
              <w:tc>
                <w:tcPr>
                  <w:tcW w:w="262" w:type="pct"/>
                  <w:vMerge w:val="continue"/>
                  <w:vAlign w:val="center"/>
                </w:tcPr>
                <w:p w14:paraId="12A0B4BB">
                  <w:pPr>
                    <w:spacing w:line="276" w:lineRule="auto"/>
                    <w:jc w:val="center"/>
                    <w:rPr>
                      <w:szCs w:val="21"/>
                    </w:rPr>
                  </w:pPr>
                </w:p>
              </w:tc>
              <w:tc>
                <w:tcPr>
                  <w:tcW w:w="906" w:type="pct"/>
                  <w:vMerge w:val="continue"/>
                  <w:vAlign w:val="center"/>
                </w:tcPr>
                <w:p w14:paraId="3DE0893B">
                  <w:pPr>
                    <w:spacing w:line="276" w:lineRule="auto"/>
                    <w:jc w:val="center"/>
                    <w:rPr>
                      <w:szCs w:val="21"/>
                    </w:rPr>
                  </w:pPr>
                </w:p>
              </w:tc>
              <w:tc>
                <w:tcPr>
                  <w:tcW w:w="555" w:type="pct"/>
                  <w:vAlign w:val="center"/>
                </w:tcPr>
                <w:p w14:paraId="2081FF03">
                  <w:pPr>
                    <w:spacing w:line="276" w:lineRule="auto"/>
                    <w:jc w:val="center"/>
                    <w:rPr>
                      <w:szCs w:val="21"/>
                    </w:rPr>
                  </w:pPr>
                  <w:r>
                    <w:rPr>
                      <w:rFonts w:hint="eastAsia"/>
                      <w:szCs w:val="21"/>
                    </w:rPr>
                    <w:t>固体</w:t>
                  </w:r>
                </w:p>
              </w:tc>
              <w:tc>
                <w:tcPr>
                  <w:tcW w:w="1288" w:type="pct"/>
                  <w:vAlign w:val="center"/>
                </w:tcPr>
                <w:p w14:paraId="2E15C11B">
                  <w:pPr>
                    <w:spacing w:line="276" w:lineRule="auto"/>
                    <w:jc w:val="center"/>
                    <w:rPr>
                      <w:szCs w:val="21"/>
                    </w:rPr>
                  </w:pPr>
                  <w:r>
                    <w:rPr>
                      <w:szCs w:val="21"/>
                    </w:rPr>
                    <w:t>单个重量</w:t>
                  </w:r>
                  <w:r>
                    <w:rPr>
                      <w:rFonts w:hint="eastAsia"/>
                      <w:szCs w:val="21"/>
                    </w:rPr>
                    <w:t>0.5g</w:t>
                  </w:r>
                </w:p>
              </w:tc>
              <w:tc>
                <w:tcPr>
                  <w:tcW w:w="566" w:type="pct"/>
                  <w:vAlign w:val="center"/>
                </w:tcPr>
                <w:p w14:paraId="752FD7F2">
                  <w:pPr>
                    <w:spacing w:line="276" w:lineRule="auto"/>
                    <w:jc w:val="center"/>
                    <w:rPr>
                      <w:szCs w:val="21"/>
                    </w:rPr>
                  </w:pPr>
                  <w:r>
                    <w:rPr>
                      <w:rFonts w:hint="eastAsia"/>
                      <w:szCs w:val="21"/>
                    </w:rPr>
                    <w:t>215万只</w:t>
                  </w:r>
                </w:p>
              </w:tc>
              <w:tc>
                <w:tcPr>
                  <w:tcW w:w="501" w:type="pct"/>
                  <w:vAlign w:val="center"/>
                </w:tcPr>
                <w:p w14:paraId="260C7DC6">
                  <w:pPr>
                    <w:spacing w:line="276" w:lineRule="auto"/>
                    <w:jc w:val="center"/>
                    <w:rPr>
                      <w:szCs w:val="21"/>
                    </w:rPr>
                  </w:pPr>
                  <w:r>
                    <w:rPr>
                      <w:rFonts w:hint="eastAsia"/>
                      <w:szCs w:val="21"/>
                    </w:rPr>
                    <w:t>0.054t</w:t>
                  </w:r>
                </w:p>
              </w:tc>
              <w:tc>
                <w:tcPr>
                  <w:tcW w:w="390" w:type="pct"/>
                  <w:vAlign w:val="center"/>
                </w:tcPr>
                <w:p w14:paraId="348C949C">
                  <w:pPr>
                    <w:jc w:val="center"/>
                  </w:pPr>
                  <w:r>
                    <w:rPr>
                      <w:rFonts w:hint="eastAsia"/>
                      <w:szCs w:val="21"/>
                    </w:rPr>
                    <w:t>15d</w:t>
                  </w:r>
                </w:p>
              </w:tc>
              <w:tc>
                <w:tcPr>
                  <w:tcW w:w="269" w:type="pct"/>
                  <w:vMerge w:val="continue"/>
                  <w:vAlign w:val="center"/>
                </w:tcPr>
                <w:p w14:paraId="2511963B">
                  <w:pPr>
                    <w:spacing w:line="276" w:lineRule="auto"/>
                    <w:jc w:val="center"/>
                    <w:rPr>
                      <w:szCs w:val="21"/>
                    </w:rPr>
                  </w:pPr>
                </w:p>
              </w:tc>
            </w:tr>
            <w:tr w14:paraId="3A418A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1BA4C164">
                  <w:pPr>
                    <w:spacing w:line="276" w:lineRule="auto"/>
                    <w:jc w:val="center"/>
                    <w:rPr>
                      <w:szCs w:val="21"/>
                    </w:rPr>
                  </w:pPr>
                </w:p>
              </w:tc>
              <w:tc>
                <w:tcPr>
                  <w:tcW w:w="262" w:type="pct"/>
                  <w:vMerge w:val="continue"/>
                  <w:vAlign w:val="center"/>
                </w:tcPr>
                <w:p w14:paraId="33B9976C">
                  <w:pPr>
                    <w:spacing w:line="276" w:lineRule="auto"/>
                    <w:jc w:val="center"/>
                    <w:rPr>
                      <w:szCs w:val="21"/>
                    </w:rPr>
                  </w:pPr>
                </w:p>
              </w:tc>
              <w:tc>
                <w:tcPr>
                  <w:tcW w:w="906" w:type="pct"/>
                  <w:vMerge w:val="continue"/>
                  <w:vAlign w:val="center"/>
                </w:tcPr>
                <w:p w14:paraId="4A2F79DE">
                  <w:pPr>
                    <w:spacing w:line="276" w:lineRule="auto"/>
                    <w:jc w:val="center"/>
                    <w:rPr>
                      <w:szCs w:val="21"/>
                    </w:rPr>
                  </w:pPr>
                </w:p>
              </w:tc>
              <w:tc>
                <w:tcPr>
                  <w:tcW w:w="555" w:type="pct"/>
                  <w:vAlign w:val="center"/>
                </w:tcPr>
                <w:p w14:paraId="57E01202">
                  <w:pPr>
                    <w:spacing w:line="276" w:lineRule="auto"/>
                    <w:jc w:val="center"/>
                    <w:rPr>
                      <w:szCs w:val="21"/>
                    </w:rPr>
                  </w:pPr>
                  <w:r>
                    <w:rPr>
                      <w:rFonts w:hint="eastAsia"/>
                      <w:szCs w:val="21"/>
                    </w:rPr>
                    <w:t>固体</w:t>
                  </w:r>
                </w:p>
              </w:tc>
              <w:tc>
                <w:tcPr>
                  <w:tcW w:w="1288" w:type="pct"/>
                  <w:vAlign w:val="center"/>
                </w:tcPr>
                <w:p w14:paraId="1D2FFDD7">
                  <w:pPr>
                    <w:spacing w:line="276" w:lineRule="auto"/>
                    <w:jc w:val="center"/>
                    <w:rPr>
                      <w:b/>
                      <w:szCs w:val="21"/>
                    </w:rPr>
                  </w:pPr>
                  <w:r>
                    <w:rPr>
                      <w:szCs w:val="21"/>
                    </w:rPr>
                    <w:t>单个重量</w:t>
                  </w:r>
                  <w:r>
                    <w:rPr>
                      <w:rFonts w:hint="eastAsia"/>
                      <w:szCs w:val="21"/>
                    </w:rPr>
                    <w:t>0.5g</w:t>
                  </w:r>
                </w:p>
              </w:tc>
              <w:tc>
                <w:tcPr>
                  <w:tcW w:w="566" w:type="pct"/>
                  <w:vAlign w:val="center"/>
                </w:tcPr>
                <w:p w14:paraId="02A615A4">
                  <w:pPr>
                    <w:spacing w:line="276" w:lineRule="auto"/>
                    <w:jc w:val="center"/>
                    <w:rPr>
                      <w:szCs w:val="21"/>
                    </w:rPr>
                  </w:pPr>
                  <w:r>
                    <w:rPr>
                      <w:rFonts w:hint="eastAsia"/>
                      <w:szCs w:val="21"/>
                    </w:rPr>
                    <w:t>215万只</w:t>
                  </w:r>
                </w:p>
              </w:tc>
              <w:tc>
                <w:tcPr>
                  <w:tcW w:w="501" w:type="pct"/>
                  <w:vAlign w:val="center"/>
                </w:tcPr>
                <w:p w14:paraId="538278F2">
                  <w:pPr>
                    <w:spacing w:line="276" w:lineRule="auto"/>
                    <w:jc w:val="center"/>
                    <w:rPr>
                      <w:szCs w:val="21"/>
                    </w:rPr>
                  </w:pPr>
                  <w:r>
                    <w:rPr>
                      <w:rFonts w:hint="eastAsia"/>
                      <w:szCs w:val="21"/>
                    </w:rPr>
                    <w:t>0.054t</w:t>
                  </w:r>
                </w:p>
              </w:tc>
              <w:tc>
                <w:tcPr>
                  <w:tcW w:w="390" w:type="pct"/>
                  <w:vAlign w:val="center"/>
                </w:tcPr>
                <w:p w14:paraId="7E0A8434">
                  <w:pPr>
                    <w:jc w:val="center"/>
                  </w:pPr>
                  <w:r>
                    <w:rPr>
                      <w:rFonts w:hint="eastAsia"/>
                      <w:szCs w:val="21"/>
                    </w:rPr>
                    <w:t>15d</w:t>
                  </w:r>
                </w:p>
              </w:tc>
              <w:tc>
                <w:tcPr>
                  <w:tcW w:w="269" w:type="pct"/>
                  <w:vMerge w:val="continue"/>
                  <w:vAlign w:val="center"/>
                </w:tcPr>
                <w:p w14:paraId="16A46E86">
                  <w:pPr>
                    <w:spacing w:line="276" w:lineRule="auto"/>
                    <w:jc w:val="center"/>
                    <w:rPr>
                      <w:szCs w:val="21"/>
                    </w:rPr>
                  </w:pPr>
                </w:p>
              </w:tc>
            </w:tr>
            <w:tr w14:paraId="5AA53A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restart"/>
                  <w:vAlign w:val="center"/>
                </w:tcPr>
                <w:p w14:paraId="51B4B2A8">
                  <w:pPr>
                    <w:spacing w:line="276" w:lineRule="auto"/>
                    <w:jc w:val="center"/>
                    <w:rPr>
                      <w:szCs w:val="21"/>
                    </w:rPr>
                  </w:pPr>
                  <w:r>
                    <w:rPr>
                      <w:rFonts w:hint="eastAsia"/>
                      <w:szCs w:val="21"/>
                    </w:rPr>
                    <w:t>2</w:t>
                  </w:r>
                </w:p>
              </w:tc>
              <w:tc>
                <w:tcPr>
                  <w:tcW w:w="262" w:type="pct"/>
                  <w:vMerge w:val="continue"/>
                  <w:vAlign w:val="center"/>
                </w:tcPr>
                <w:p w14:paraId="02004F60">
                  <w:pPr>
                    <w:spacing w:line="276" w:lineRule="auto"/>
                    <w:jc w:val="center"/>
                    <w:rPr>
                      <w:szCs w:val="21"/>
                    </w:rPr>
                  </w:pPr>
                </w:p>
              </w:tc>
              <w:tc>
                <w:tcPr>
                  <w:tcW w:w="906" w:type="pct"/>
                  <w:vMerge w:val="restart"/>
                  <w:vAlign w:val="center"/>
                </w:tcPr>
                <w:p w14:paraId="15A2094E">
                  <w:pPr>
                    <w:spacing w:line="276" w:lineRule="auto"/>
                    <w:jc w:val="center"/>
                    <w:rPr>
                      <w:szCs w:val="21"/>
                    </w:rPr>
                  </w:pPr>
                  <w:r>
                    <w:rPr>
                      <w:rFonts w:hint="eastAsia"/>
                      <w:szCs w:val="21"/>
                    </w:rPr>
                    <w:t>塑料管（聚乙烯）</w:t>
                  </w:r>
                </w:p>
              </w:tc>
              <w:tc>
                <w:tcPr>
                  <w:tcW w:w="555" w:type="pct"/>
                  <w:vAlign w:val="center"/>
                </w:tcPr>
                <w:p w14:paraId="66DFC34E">
                  <w:pPr>
                    <w:spacing w:line="276" w:lineRule="auto"/>
                    <w:jc w:val="center"/>
                    <w:rPr>
                      <w:szCs w:val="21"/>
                    </w:rPr>
                  </w:pPr>
                  <w:r>
                    <w:rPr>
                      <w:rFonts w:hint="eastAsia"/>
                      <w:szCs w:val="21"/>
                    </w:rPr>
                    <w:t>固体</w:t>
                  </w:r>
                </w:p>
              </w:tc>
              <w:tc>
                <w:tcPr>
                  <w:tcW w:w="1288" w:type="pct"/>
                  <w:vAlign w:val="center"/>
                </w:tcPr>
                <w:p w14:paraId="04D7410F">
                  <w:pPr>
                    <w:spacing w:line="276" w:lineRule="auto"/>
                    <w:jc w:val="center"/>
                    <w:rPr>
                      <w:szCs w:val="21"/>
                    </w:rPr>
                  </w:pPr>
                  <w:r>
                    <w:rPr>
                      <w:rFonts w:hint="eastAsia"/>
                      <w:szCs w:val="21"/>
                    </w:rPr>
                    <w:t>长20cm，直径0.5cm，单个重量2.95g</w:t>
                  </w:r>
                </w:p>
              </w:tc>
              <w:tc>
                <w:tcPr>
                  <w:tcW w:w="566" w:type="pct"/>
                  <w:vAlign w:val="center"/>
                </w:tcPr>
                <w:p w14:paraId="2ADFEA01">
                  <w:pPr>
                    <w:spacing w:line="276" w:lineRule="auto"/>
                    <w:jc w:val="center"/>
                    <w:rPr>
                      <w:szCs w:val="21"/>
                    </w:rPr>
                  </w:pPr>
                  <w:r>
                    <w:rPr>
                      <w:rFonts w:hint="eastAsia"/>
                      <w:szCs w:val="21"/>
                    </w:rPr>
                    <w:t>8760万只</w:t>
                  </w:r>
                </w:p>
              </w:tc>
              <w:tc>
                <w:tcPr>
                  <w:tcW w:w="501" w:type="pct"/>
                  <w:vAlign w:val="center"/>
                </w:tcPr>
                <w:p w14:paraId="5A2902C5">
                  <w:pPr>
                    <w:spacing w:line="276" w:lineRule="auto"/>
                    <w:jc w:val="center"/>
                    <w:rPr>
                      <w:szCs w:val="21"/>
                    </w:rPr>
                  </w:pPr>
                  <w:r>
                    <w:rPr>
                      <w:rFonts w:hint="eastAsia"/>
                      <w:szCs w:val="21"/>
                    </w:rPr>
                    <w:t>12.9t</w:t>
                  </w:r>
                </w:p>
              </w:tc>
              <w:tc>
                <w:tcPr>
                  <w:tcW w:w="390" w:type="pct"/>
                  <w:vAlign w:val="center"/>
                </w:tcPr>
                <w:p w14:paraId="6D87CECA">
                  <w:pPr>
                    <w:jc w:val="center"/>
                  </w:pPr>
                  <w:r>
                    <w:rPr>
                      <w:rFonts w:hint="eastAsia"/>
                      <w:szCs w:val="21"/>
                    </w:rPr>
                    <w:t>15d</w:t>
                  </w:r>
                </w:p>
              </w:tc>
              <w:tc>
                <w:tcPr>
                  <w:tcW w:w="269" w:type="pct"/>
                  <w:vMerge w:val="continue"/>
                  <w:vAlign w:val="center"/>
                </w:tcPr>
                <w:p w14:paraId="61F1AA65">
                  <w:pPr>
                    <w:spacing w:line="276" w:lineRule="auto"/>
                    <w:jc w:val="center"/>
                    <w:rPr>
                      <w:szCs w:val="21"/>
                    </w:rPr>
                  </w:pPr>
                </w:p>
              </w:tc>
            </w:tr>
            <w:tr w14:paraId="3B82F4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78171797">
                  <w:pPr>
                    <w:spacing w:line="276" w:lineRule="auto"/>
                    <w:jc w:val="center"/>
                    <w:rPr>
                      <w:szCs w:val="21"/>
                    </w:rPr>
                  </w:pPr>
                </w:p>
              </w:tc>
              <w:tc>
                <w:tcPr>
                  <w:tcW w:w="262" w:type="pct"/>
                  <w:vMerge w:val="continue"/>
                  <w:vAlign w:val="center"/>
                </w:tcPr>
                <w:p w14:paraId="09F57439">
                  <w:pPr>
                    <w:spacing w:line="276" w:lineRule="auto"/>
                    <w:jc w:val="center"/>
                    <w:rPr>
                      <w:szCs w:val="21"/>
                    </w:rPr>
                  </w:pPr>
                </w:p>
              </w:tc>
              <w:tc>
                <w:tcPr>
                  <w:tcW w:w="906" w:type="pct"/>
                  <w:vMerge w:val="continue"/>
                  <w:vAlign w:val="center"/>
                </w:tcPr>
                <w:p w14:paraId="22EA8C0F">
                  <w:pPr>
                    <w:spacing w:line="276" w:lineRule="auto"/>
                    <w:jc w:val="center"/>
                    <w:rPr>
                      <w:szCs w:val="21"/>
                    </w:rPr>
                  </w:pPr>
                </w:p>
              </w:tc>
              <w:tc>
                <w:tcPr>
                  <w:tcW w:w="555" w:type="pct"/>
                  <w:vAlign w:val="center"/>
                </w:tcPr>
                <w:p w14:paraId="76B3803C">
                  <w:pPr>
                    <w:spacing w:line="276" w:lineRule="auto"/>
                    <w:jc w:val="center"/>
                    <w:rPr>
                      <w:szCs w:val="21"/>
                    </w:rPr>
                  </w:pPr>
                  <w:r>
                    <w:rPr>
                      <w:rFonts w:hint="eastAsia"/>
                      <w:szCs w:val="21"/>
                    </w:rPr>
                    <w:t>固体</w:t>
                  </w:r>
                </w:p>
              </w:tc>
              <w:tc>
                <w:tcPr>
                  <w:tcW w:w="1288" w:type="pct"/>
                  <w:vAlign w:val="center"/>
                </w:tcPr>
                <w:p w14:paraId="74C759C2">
                  <w:pPr>
                    <w:spacing w:line="276" w:lineRule="auto"/>
                    <w:jc w:val="center"/>
                    <w:rPr>
                      <w:szCs w:val="21"/>
                    </w:rPr>
                  </w:pPr>
                  <w:r>
                    <w:rPr>
                      <w:szCs w:val="21"/>
                    </w:rPr>
                    <w:t>长</w:t>
                  </w:r>
                  <w:r>
                    <w:rPr>
                      <w:rFonts w:hint="eastAsia"/>
                      <w:szCs w:val="21"/>
                    </w:rPr>
                    <w:t>15cm，直径1.5cm，单个重量8.5g</w:t>
                  </w:r>
                </w:p>
              </w:tc>
              <w:tc>
                <w:tcPr>
                  <w:tcW w:w="566" w:type="pct"/>
                  <w:vAlign w:val="center"/>
                </w:tcPr>
                <w:p w14:paraId="023FD330">
                  <w:pPr>
                    <w:spacing w:line="276" w:lineRule="auto"/>
                    <w:jc w:val="center"/>
                    <w:rPr>
                      <w:szCs w:val="21"/>
                    </w:rPr>
                  </w:pPr>
                  <w:r>
                    <w:rPr>
                      <w:rFonts w:hint="eastAsia"/>
                      <w:szCs w:val="21"/>
                    </w:rPr>
                    <w:t>215万只</w:t>
                  </w:r>
                </w:p>
              </w:tc>
              <w:tc>
                <w:tcPr>
                  <w:tcW w:w="501" w:type="pct"/>
                  <w:vAlign w:val="center"/>
                </w:tcPr>
                <w:p w14:paraId="4EC08112">
                  <w:pPr>
                    <w:spacing w:line="276" w:lineRule="auto"/>
                    <w:jc w:val="center"/>
                    <w:rPr>
                      <w:szCs w:val="21"/>
                    </w:rPr>
                  </w:pPr>
                  <w:r>
                    <w:rPr>
                      <w:rFonts w:hint="eastAsia"/>
                      <w:szCs w:val="21"/>
                    </w:rPr>
                    <w:t>0.9t</w:t>
                  </w:r>
                </w:p>
              </w:tc>
              <w:tc>
                <w:tcPr>
                  <w:tcW w:w="390" w:type="pct"/>
                  <w:vAlign w:val="center"/>
                </w:tcPr>
                <w:p w14:paraId="0C22D391">
                  <w:pPr>
                    <w:jc w:val="center"/>
                  </w:pPr>
                  <w:r>
                    <w:rPr>
                      <w:rFonts w:hint="eastAsia"/>
                      <w:szCs w:val="21"/>
                    </w:rPr>
                    <w:t>15d</w:t>
                  </w:r>
                </w:p>
              </w:tc>
              <w:tc>
                <w:tcPr>
                  <w:tcW w:w="269" w:type="pct"/>
                  <w:vMerge w:val="continue"/>
                  <w:vAlign w:val="center"/>
                </w:tcPr>
                <w:p w14:paraId="197FD1FC">
                  <w:pPr>
                    <w:spacing w:line="276" w:lineRule="auto"/>
                    <w:jc w:val="center"/>
                    <w:rPr>
                      <w:szCs w:val="21"/>
                    </w:rPr>
                  </w:pPr>
                </w:p>
              </w:tc>
            </w:tr>
            <w:tr w14:paraId="2C027E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7257144D">
                  <w:pPr>
                    <w:spacing w:line="276" w:lineRule="auto"/>
                    <w:jc w:val="center"/>
                    <w:rPr>
                      <w:szCs w:val="21"/>
                    </w:rPr>
                  </w:pPr>
                </w:p>
              </w:tc>
              <w:tc>
                <w:tcPr>
                  <w:tcW w:w="262" w:type="pct"/>
                  <w:vMerge w:val="continue"/>
                  <w:vAlign w:val="center"/>
                </w:tcPr>
                <w:p w14:paraId="183FD3B2">
                  <w:pPr>
                    <w:spacing w:line="276" w:lineRule="auto"/>
                    <w:jc w:val="center"/>
                    <w:rPr>
                      <w:szCs w:val="21"/>
                    </w:rPr>
                  </w:pPr>
                </w:p>
              </w:tc>
              <w:tc>
                <w:tcPr>
                  <w:tcW w:w="906" w:type="pct"/>
                  <w:vMerge w:val="continue"/>
                  <w:vAlign w:val="center"/>
                </w:tcPr>
                <w:p w14:paraId="342813D9">
                  <w:pPr>
                    <w:spacing w:line="276" w:lineRule="auto"/>
                    <w:jc w:val="center"/>
                    <w:rPr>
                      <w:szCs w:val="21"/>
                    </w:rPr>
                  </w:pPr>
                </w:p>
              </w:tc>
              <w:tc>
                <w:tcPr>
                  <w:tcW w:w="555" w:type="pct"/>
                  <w:vAlign w:val="center"/>
                </w:tcPr>
                <w:p w14:paraId="27A8268D">
                  <w:pPr>
                    <w:spacing w:line="276" w:lineRule="auto"/>
                    <w:jc w:val="center"/>
                    <w:rPr>
                      <w:szCs w:val="21"/>
                    </w:rPr>
                  </w:pPr>
                  <w:r>
                    <w:rPr>
                      <w:rFonts w:hint="eastAsia"/>
                      <w:szCs w:val="21"/>
                    </w:rPr>
                    <w:t>固体</w:t>
                  </w:r>
                </w:p>
              </w:tc>
              <w:tc>
                <w:tcPr>
                  <w:tcW w:w="1288" w:type="pct"/>
                  <w:vAlign w:val="center"/>
                </w:tcPr>
                <w:p w14:paraId="1C28B7BE">
                  <w:pPr>
                    <w:spacing w:line="276" w:lineRule="auto"/>
                    <w:jc w:val="center"/>
                    <w:rPr>
                      <w:szCs w:val="21"/>
                    </w:rPr>
                  </w:pPr>
                  <w:r>
                    <w:rPr>
                      <w:szCs w:val="21"/>
                    </w:rPr>
                    <w:t>长</w:t>
                  </w:r>
                  <w:r>
                    <w:rPr>
                      <w:rFonts w:hint="eastAsia"/>
                      <w:szCs w:val="21"/>
                    </w:rPr>
                    <w:t>30cm，直径3.0cm，单个重量9.5g</w:t>
                  </w:r>
                </w:p>
              </w:tc>
              <w:tc>
                <w:tcPr>
                  <w:tcW w:w="566" w:type="pct"/>
                  <w:vAlign w:val="center"/>
                </w:tcPr>
                <w:p w14:paraId="177D225E">
                  <w:pPr>
                    <w:spacing w:line="276" w:lineRule="auto"/>
                    <w:jc w:val="center"/>
                    <w:rPr>
                      <w:szCs w:val="21"/>
                    </w:rPr>
                  </w:pPr>
                  <w:r>
                    <w:rPr>
                      <w:rFonts w:hint="eastAsia"/>
                      <w:szCs w:val="21"/>
                    </w:rPr>
                    <w:t>215万只</w:t>
                  </w:r>
                </w:p>
              </w:tc>
              <w:tc>
                <w:tcPr>
                  <w:tcW w:w="501" w:type="pct"/>
                  <w:vAlign w:val="center"/>
                </w:tcPr>
                <w:p w14:paraId="78974176">
                  <w:pPr>
                    <w:spacing w:line="276" w:lineRule="auto"/>
                    <w:jc w:val="center"/>
                    <w:rPr>
                      <w:szCs w:val="21"/>
                    </w:rPr>
                  </w:pPr>
                  <w:r>
                    <w:rPr>
                      <w:rFonts w:hint="eastAsia"/>
                      <w:szCs w:val="21"/>
                    </w:rPr>
                    <w:t>1.0t</w:t>
                  </w:r>
                </w:p>
              </w:tc>
              <w:tc>
                <w:tcPr>
                  <w:tcW w:w="390" w:type="pct"/>
                  <w:vAlign w:val="center"/>
                </w:tcPr>
                <w:p w14:paraId="104CFBDA">
                  <w:pPr>
                    <w:jc w:val="center"/>
                  </w:pPr>
                  <w:r>
                    <w:rPr>
                      <w:rFonts w:hint="eastAsia"/>
                      <w:szCs w:val="21"/>
                    </w:rPr>
                    <w:t>15d</w:t>
                  </w:r>
                </w:p>
              </w:tc>
              <w:tc>
                <w:tcPr>
                  <w:tcW w:w="269" w:type="pct"/>
                  <w:vMerge w:val="continue"/>
                  <w:vAlign w:val="center"/>
                </w:tcPr>
                <w:p w14:paraId="60A05599">
                  <w:pPr>
                    <w:spacing w:line="276" w:lineRule="auto"/>
                    <w:jc w:val="center"/>
                    <w:rPr>
                      <w:szCs w:val="21"/>
                    </w:rPr>
                  </w:pPr>
                </w:p>
              </w:tc>
            </w:tr>
            <w:tr w14:paraId="426AF8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5" w:hRule="atLeast"/>
                <w:tblHeader/>
                <w:jc w:val="center"/>
              </w:trPr>
              <w:tc>
                <w:tcPr>
                  <w:tcW w:w="263" w:type="pct"/>
                  <w:vMerge w:val="restart"/>
                  <w:vAlign w:val="center"/>
                </w:tcPr>
                <w:p w14:paraId="0EE5FD7E">
                  <w:pPr>
                    <w:spacing w:line="276" w:lineRule="auto"/>
                    <w:jc w:val="center"/>
                    <w:rPr>
                      <w:szCs w:val="21"/>
                    </w:rPr>
                  </w:pPr>
                  <w:r>
                    <w:rPr>
                      <w:rFonts w:hint="eastAsia"/>
                      <w:szCs w:val="21"/>
                    </w:rPr>
                    <w:t>3</w:t>
                  </w:r>
                </w:p>
              </w:tc>
              <w:tc>
                <w:tcPr>
                  <w:tcW w:w="262" w:type="pct"/>
                  <w:vMerge w:val="restart"/>
                  <w:vAlign w:val="center"/>
                </w:tcPr>
                <w:p w14:paraId="4E531FCF">
                  <w:pPr>
                    <w:spacing w:line="276" w:lineRule="auto"/>
                    <w:jc w:val="center"/>
                    <w:rPr>
                      <w:szCs w:val="21"/>
                    </w:rPr>
                  </w:pPr>
                  <w:r>
                    <w:rPr>
                      <w:rFonts w:hint="eastAsia"/>
                      <w:szCs w:val="21"/>
                    </w:rPr>
                    <w:t>能源</w:t>
                  </w:r>
                </w:p>
              </w:tc>
              <w:tc>
                <w:tcPr>
                  <w:tcW w:w="906" w:type="pct"/>
                  <w:vAlign w:val="center"/>
                </w:tcPr>
                <w:p w14:paraId="56FFF176">
                  <w:pPr>
                    <w:spacing w:line="276" w:lineRule="auto"/>
                    <w:jc w:val="center"/>
                    <w:rPr>
                      <w:szCs w:val="21"/>
                    </w:rPr>
                  </w:pPr>
                  <w:r>
                    <w:rPr>
                      <w:rFonts w:hint="eastAsia"/>
                      <w:szCs w:val="21"/>
                    </w:rPr>
                    <w:t>液化天然气</w:t>
                  </w:r>
                </w:p>
              </w:tc>
              <w:tc>
                <w:tcPr>
                  <w:tcW w:w="555" w:type="pct"/>
                  <w:vAlign w:val="center"/>
                </w:tcPr>
                <w:p w14:paraId="661EDB15">
                  <w:pPr>
                    <w:spacing w:line="276" w:lineRule="auto"/>
                    <w:jc w:val="center"/>
                    <w:rPr>
                      <w:szCs w:val="21"/>
                    </w:rPr>
                  </w:pPr>
                  <w:r>
                    <w:rPr>
                      <w:rFonts w:hint="eastAsia"/>
                      <w:szCs w:val="21"/>
                    </w:rPr>
                    <w:t>/</w:t>
                  </w:r>
                </w:p>
              </w:tc>
              <w:tc>
                <w:tcPr>
                  <w:tcW w:w="1288" w:type="pct"/>
                  <w:vAlign w:val="center"/>
                </w:tcPr>
                <w:p w14:paraId="04B8CB9A">
                  <w:pPr>
                    <w:spacing w:line="276" w:lineRule="auto"/>
                    <w:jc w:val="center"/>
                    <w:rPr>
                      <w:szCs w:val="21"/>
                    </w:rPr>
                  </w:pPr>
                  <w:r>
                    <w:rPr>
                      <w:rFonts w:hint="eastAsia"/>
                      <w:szCs w:val="21"/>
                    </w:rPr>
                    <w:t>6.16m</w:t>
                  </w:r>
                  <w:r>
                    <w:rPr>
                      <w:rFonts w:hint="eastAsia"/>
                      <w:szCs w:val="21"/>
                      <w:vertAlign w:val="superscript"/>
                    </w:rPr>
                    <w:t>3</w:t>
                  </w:r>
                  <w:r>
                    <w:rPr>
                      <w:rFonts w:hint="eastAsia"/>
                      <w:szCs w:val="21"/>
                    </w:rPr>
                    <w:t>/瓶</w:t>
                  </w:r>
                </w:p>
              </w:tc>
              <w:tc>
                <w:tcPr>
                  <w:tcW w:w="566" w:type="pct"/>
                  <w:vAlign w:val="center"/>
                </w:tcPr>
                <w:p w14:paraId="385B8685">
                  <w:pPr>
                    <w:spacing w:line="276" w:lineRule="auto"/>
                    <w:jc w:val="center"/>
                    <w:rPr>
                      <w:strike/>
                      <w:szCs w:val="21"/>
                    </w:rPr>
                  </w:pPr>
                  <w:r>
                    <w:rPr>
                      <w:rFonts w:hint="eastAsia"/>
                      <w:szCs w:val="21"/>
                    </w:rPr>
                    <w:t>2</w:t>
                  </w:r>
                  <w:r>
                    <w:rPr>
                      <w:szCs w:val="21"/>
                    </w:rPr>
                    <w:t>46.4</w:t>
                  </w:r>
                  <w:r>
                    <w:rPr>
                      <w:rFonts w:hint="eastAsia"/>
                      <w:szCs w:val="21"/>
                    </w:rPr>
                    <w:t>m</w:t>
                  </w:r>
                  <w:r>
                    <w:rPr>
                      <w:szCs w:val="21"/>
                      <w:vertAlign w:val="superscript"/>
                    </w:rPr>
                    <w:t>3</w:t>
                  </w:r>
                </w:p>
              </w:tc>
              <w:tc>
                <w:tcPr>
                  <w:tcW w:w="501" w:type="pct"/>
                  <w:vAlign w:val="center"/>
                </w:tcPr>
                <w:p w14:paraId="2C082C68">
                  <w:pPr>
                    <w:spacing w:line="276" w:lineRule="auto"/>
                    <w:jc w:val="center"/>
                    <w:rPr>
                      <w:szCs w:val="21"/>
                    </w:rPr>
                  </w:pPr>
                  <w:r>
                    <w:rPr>
                      <w:rFonts w:hint="eastAsia"/>
                      <w:szCs w:val="21"/>
                    </w:rPr>
                    <w:t>6.16m</w:t>
                  </w:r>
                  <w:r>
                    <w:rPr>
                      <w:rFonts w:hint="eastAsia"/>
                      <w:szCs w:val="21"/>
                      <w:vertAlign w:val="superscript"/>
                    </w:rPr>
                    <w:t>3</w:t>
                  </w:r>
                </w:p>
              </w:tc>
              <w:tc>
                <w:tcPr>
                  <w:tcW w:w="390" w:type="pct"/>
                  <w:vAlign w:val="center"/>
                </w:tcPr>
                <w:p w14:paraId="7A5D84D7">
                  <w:pPr>
                    <w:spacing w:line="276" w:lineRule="auto"/>
                    <w:jc w:val="center"/>
                    <w:rPr>
                      <w:szCs w:val="21"/>
                    </w:rPr>
                  </w:pPr>
                  <w:r>
                    <w:rPr>
                      <w:rFonts w:hint="eastAsia"/>
                      <w:szCs w:val="21"/>
                    </w:rPr>
                    <w:t>8d</w:t>
                  </w:r>
                </w:p>
              </w:tc>
              <w:tc>
                <w:tcPr>
                  <w:tcW w:w="269" w:type="pct"/>
                  <w:vAlign w:val="center"/>
                </w:tcPr>
                <w:p w14:paraId="0D9B8210">
                  <w:pPr>
                    <w:spacing w:line="276" w:lineRule="auto"/>
                    <w:jc w:val="center"/>
                    <w:rPr>
                      <w:szCs w:val="21"/>
                    </w:rPr>
                  </w:pPr>
                  <w:r>
                    <w:rPr>
                      <w:rFonts w:hint="eastAsia"/>
                      <w:szCs w:val="21"/>
                    </w:rPr>
                    <w:t>生产线上暂存一瓶</w:t>
                  </w:r>
                </w:p>
              </w:tc>
            </w:tr>
            <w:tr w14:paraId="29A572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blHeader/>
                <w:jc w:val="center"/>
              </w:trPr>
              <w:tc>
                <w:tcPr>
                  <w:tcW w:w="263" w:type="pct"/>
                  <w:vMerge w:val="continue"/>
                  <w:vAlign w:val="center"/>
                </w:tcPr>
                <w:p w14:paraId="1E3658F2">
                  <w:pPr>
                    <w:spacing w:line="276" w:lineRule="auto"/>
                    <w:jc w:val="center"/>
                    <w:rPr>
                      <w:szCs w:val="21"/>
                    </w:rPr>
                  </w:pPr>
                </w:p>
              </w:tc>
              <w:tc>
                <w:tcPr>
                  <w:tcW w:w="262" w:type="pct"/>
                  <w:vMerge w:val="continue"/>
                  <w:vAlign w:val="center"/>
                </w:tcPr>
                <w:p w14:paraId="2ADE78B1">
                  <w:pPr>
                    <w:spacing w:line="276" w:lineRule="auto"/>
                    <w:jc w:val="center"/>
                    <w:rPr>
                      <w:szCs w:val="21"/>
                    </w:rPr>
                  </w:pPr>
                </w:p>
              </w:tc>
              <w:tc>
                <w:tcPr>
                  <w:tcW w:w="906" w:type="pct"/>
                  <w:vAlign w:val="center"/>
                </w:tcPr>
                <w:p w14:paraId="17C6674B">
                  <w:pPr>
                    <w:spacing w:line="276" w:lineRule="auto"/>
                    <w:jc w:val="center"/>
                    <w:rPr>
                      <w:szCs w:val="21"/>
                    </w:rPr>
                  </w:pPr>
                  <w:r>
                    <w:rPr>
                      <w:rFonts w:hint="eastAsia"/>
                      <w:szCs w:val="21"/>
                    </w:rPr>
                    <w:t>电能</w:t>
                  </w:r>
                </w:p>
              </w:tc>
              <w:tc>
                <w:tcPr>
                  <w:tcW w:w="555" w:type="pct"/>
                  <w:vAlign w:val="center"/>
                </w:tcPr>
                <w:p w14:paraId="2879D971">
                  <w:pPr>
                    <w:spacing w:line="276" w:lineRule="auto"/>
                    <w:jc w:val="center"/>
                    <w:rPr>
                      <w:szCs w:val="21"/>
                    </w:rPr>
                  </w:pPr>
                  <w:r>
                    <w:rPr>
                      <w:rFonts w:hint="eastAsia"/>
                      <w:szCs w:val="21"/>
                    </w:rPr>
                    <w:t>/</w:t>
                  </w:r>
                </w:p>
              </w:tc>
              <w:tc>
                <w:tcPr>
                  <w:tcW w:w="1288" w:type="pct"/>
                  <w:vAlign w:val="center"/>
                </w:tcPr>
                <w:p w14:paraId="23B3A2A6">
                  <w:pPr>
                    <w:spacing w:line="276" w:lineRule="auto"/>
                    <w:jc w:val="center"/>
                    <w:rPr>
                      <w:szCs w:val="21"/>
                    </w:rPr>
                  </w:pPr>
                  <w:r>
                    <w:rPr>
                      <w:rFonts w:hint="eastAsia"/>
                      <w:szCs w:val="21"/>
                    </w:rPr>
                    <w:t>/</w:t>
                  </w:r>
                </w:p>
              </w:tc>
              <w:tc>
                <w:tcPr>
                  <w:tcW w:w="566" w:type="pct"/>
                  <w:vAlign w:val="center"/>
                </w:tcPr>
                <w:p w14:paraId="7778E228">
                  <w:pPr>
                    <w:spacing w:line="276" w:lineRule="auto"/>
                    <w:jc w:val="center"/>
                    <w:rPr>
                      <w:szCs w:val="21"/>
                    </w:rPr>
                  </w:pPr>
                  <w:r>
                    <w:rPr>
                      <w:rFonts w:hint="eastAsia"/>
                      <w:szCs w:val="21"/>
                    </w:rPr>
                    <w:t>10万</w:t>
                  </w:r>
                  <w:r>
                    <w:rPr>
                      <w:szCs w:val="21"/>
                    </w:rPr>
                    <w:t>kW·h</w:t>
                  </w:r>
                </w:p>
              </w:tc>
              <w:tc>
                <w:tcPr>
                  <w:tcW w:w="501" w:type="pct"/>
                  <w:vAlign w:val="center"/>
                </w:tcPr>
                <w:p w14:paraId="635D157E">
                  <w:pPr>
                    <w:spacing w:line="276" w:lineRule="auto"/>
                    <w:jc w:val="center"/>
                    <w:rPr>
                      <w:szCs w:val="21"/>
                    </w:rPr>
                  </w:pPr>
                  <w:r>
                    <w:rPr>
                      <w:rFonts w:hint="eastAsia"/>
                      <w:szCs w:val="21"/>
                    </w:rPr>
                    <w:t>/</w:t>
                  </w:r>
                </w:p>
              </w:tc>
              <w:tc>
                <w:tcPr>
                  <w:tcW w:w="390" w:type="pct"/>
                  <w:vAlign w:val="center"/>
                </w:tcPr>
                <w:p w14:paraId="7167DFF6">
                  <w:pPr>
                    <w:spacing w:line="276" w:lineRule="auto"/>
                    <w:jc w:val="center"/>
                    <w:rPr>
                      <w:szCs w:val="21"/>
                    </w:rPr>
                  </w:pPr>
                  <w:r>
                    <w:rPr>
                      <w:rFonts w:hint="eastAsia"/>
                      <w:szCs w:val="21"/>
                    </w:rPr>
                    <w:t>/</w:t>
                  </w:r>
                </w:p>
              </w:tc>
              <w:tc>
                <w:tcPr>
                  <w:tcW w:w="269" w:type="pct"/>
                  <w:vAlign w:val="center"/>
                </w:tcPr>
                <w:p w14:paraId="1FF0D3EB">
                  <w:pPr>
                    <w:spacing w:line="276" w:lineRule="auto"/>
                    <w:jc w:val="center"/>
                    <w:rPr>
                      <w:szCs w:val="21"/>
                    </w:rPr>
                  </w:pPr>
                  <w:r>
                    <w:rPr>
                      <w:rFonts w:hint="eastAsia"/>
                      <w:szCs w:val="21"/>
                    </w:rPr>
                    <w:t>/</w:t>
                  </w:r>
                </w:p>
              </w:tc>
            </w:tr>
          </w:tbl>
          <w:p w14:paraId="4C629278">
            <w:pPr>
              <w:spacing w:line="360" w:lineRule="auto"/>
              <w:ind w:firstLine="482" w:firstLineChars="200"/>
              <w:rPr>
                <w:b/>
                <w:sz w:val="24"/>
              </w:rPr>
            </w:pPr>
          </w:p>
          <w:p w14:paraId="573CF8C3">
            <w:pPr>
              <w:spacing w:line="360" w:lineRule="auto"/>
              <w:ind w:firstLine="482" w:firstLineChars="200"/>
              <w:rPr>
                <w:b/>
                <w:sz w:val="24"/>
              </w:rPr>
            </w:pPr>
            <w:r>
              <w:rPr>
                <w:rFonts w:hint="eastAsia"/>
                <w:b/>
                <w:sz w:val="24"/>
              </w:rPr>
              <w:t>项目荧光棒生产原料用量计算：</w:t>
            </w:r>
          </w:p>
          <w:p w14:paraId="183DF750">
            <w:pPr>
              <w:spacing w:line="360" w:lineRule="auto"/>
              <w:ind w:firstLine="480" w:firstLineChars="200"/>
              <w:rPr>
                <w:sz w:val="24"/>
              </w:rPr>
            </w:pPr>
            <w:r>
              <w:rPr>
                <w:rFonts w:hint="eastAsia"/>
                <w:sz w:val="24"/>
                <w:szCs w:val="24"/>
              </w:rPr>
              <w:t>根据企业提供资料，计算结果如下表所示</w:t>
            </w:r>
            <w:r>
              <w:rPr>
                <w:rFonts w:hint="eastAsia"/>
                <w:sz w:val="24"/>
              </w:rPr>
              <w:t>。</w:t>
            </w:r>
          </w:p>
          <w:p w14:paraId="23B55542">
            <w:pPr>
              <w:autoSpaceDE w:val="0"/>
              <w:autoSpaceDN w:val="0"/>
              <w:adjustRightInd w:val="0"/>
              <w:snapToGrid w:val="0"/>
              <w:jc w:val="center"/>
              <w:rPr>
                <w:rFonts w:eastAsia="黑体"/>
                <w:bCs/>
                <w:szCs w:val="21"/>
              </w:rPr>
            </w:pPr>
            <w:r>
              <w:rPr>
                <w:rFonts w:hAnsi="黑体" w:eastAsia="黑体"/>
                <w:sz w:val="24"/>
                <w:szCs w:val="24"/>
              </w:rPr>
              <w:t>表</w:t>
            </w:r>
            <w:r>
              <w:rPr>
                <w:rFonts w:hint="eastAsia" w:hAnsi="黑体" w:eastAsia="黑体"/>
                <w:sz w:val="24"/>
                <w:szCs w:val="24"/>
              </w:rPr>
              <w:t xml:space="preserve">18 </w:t>
            </w:r>
            <w:r>
              <w:rPr>
                <w:rFonts w:hAnsi="黑体" w:eastAsia="黑体"/>
                <w:sz w:val="24"/>
                <w:szCs w:val="24"/>
              </w:rPr>
              <w:t xml:space="preserve"> 项目</w:t>
            </w:r>
            <w:r>
              <w:rPr>
                <w:rFonts w:hint="eastAsia" w:hAnsi="黑体" w:eastAsia="黑体"/>
                <w:sz w:val="24"/>
                <w:szCs w:val="24"/>
              </w:rPr>
              <w:t>原料</w:t>
            </w:r>
            <w:r>
              <w:rPr>
                <w:rFonts w:hAnsi="黑体" w:eastAsia="黑体"/>
                <w:sz w:val="24"/>
                <w:szCs w:val="24"/>
              </w:rPr>
              <w:t>计算结果一览表</w:t>
            </w:r>
          </w:p>
          <w:tbl>
            <w:tblPr>
              <w:tblStyle w:val="34"/>
              <w:tblW w:w="788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55"/>
              <w:gridCol w:w="1199"/>
              <w:gridCol w:w="880"/>
              <w:gridCol w:w="1296"/>
              <w:gridCol w:w="1098"/>
              <w:gridCol w:w="1442"/>
              <w:gridCol w:w="1216"/>
            </w:tblGrid>
            <w:tr w14:paraId="4A00DE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479" w:type="pct"/>
                  <w:vAlign w:val="center"/>
                </w:tcPr>
                <w:p w14:paraId="36E551A6">
                  <w:pPr>
                    <w:spacing w:line="276" w:lineRule="auto"/>
                    <w:jc w:val="center"/>
                    <w:rPr>
                      <w:b/>
                      <w:szCs w:val="21"/>
                    </w:rPr>
                  </w:pPr>
                  <w:r>
                    <w:rPr>
                      <w:rFonts w:hint="eastAsia"/>
                      <w:b/>
                      <w:szCs w:val="21"/>
                    </w:rPr>
                    <w:t>规格</w:t>
                  </w:r>
                </w:p>
              </w:tc>
              <w:tc>
                <w:tcPr>
                  <w:tcW w:w="760" w:type="pct"/>
                  <w:vAlign w:val="center"/>
                </w:tcPr>
                <w:p w14:paraId="5DF7D5CC">
                  <w:pPr>
                    <w:spacing w:line="276" w:lineRule="auto"/>
                    <w:jc w:val="center"/>
                    <w:rPr>
                      <w:b/>
                      <w:szCs w:val="21"/>
                    </w:rPr>
                  </w:pPr>
                  <w:r>
                    <w:rPr>
                      <w:rFonts w:hint="eastAsia"/>
                      <w:b/>
                      <w:szCs w:val="21"/>
                    </w:rPr>
                    <w:t>产品产量</w:t>
                  </w:r>
                </w:p>
                <w:p w14:paraId="3005A313">
                  <w:pPr>
                    <w:spacing w:line="276" w:lineRule="auto"/>
                    <w:jc w:val="center"/>
                    <w:rPr>
                      <w:b/>
                      <w:szCs w:val="21"/>
                    </w:rPr>
                  </w:pPr>
                  <w:r>
                    <w:rPr>
                      <w:rFonts w:hint="eastAsia"/>
                      <w:b/>
                      <w:szCs w:val="21"/>
                    </w:rPr>
                    <w:t>（支/天）</w:t>
                  </w:r>
                </w:p>
              </w:tc>
              <w:tc>
                <w:tcPr>
                  <w:tcW w:w="558" w:type="pct"/>
                  <w:vAlign w:val="center"/>
                </w:tcPr>
                <w:p w14:paraId="78EF55C7">
                  <w:pPr>
                    <w:spacing w:line="276" w:lineRule="auto"/>
                    <w:jc w:val="center"/>
                    <w:rPr>
                      <w:b/>
                      <w:szCs w:val="21"/>
                    </w:rPr>
                  </w:pPr>
                  <w:r>
                    <w:rPr>
                      <w:rFonts w:hint="eastAsia"/>
                      <w:b/>
                      <w:szCs w:val="21"/>
                    </w:rPr>
                    <w:t>名称</w:t>
                  </w:r>
                </w:p>
              </w:tc>
              <w:tc>
                <w:tcPr>
                  <w:tcW w:w="822" w:type="pct"/>
                  <w:vAlign w:val="center"/>
                </w:tcPr>
                <w:p w14:paraId="07A1D6BE">
                  <w:pPr>
                    <w:spacing w:line="276" w:lineRule="auto"/>
                    <w:jc w:val="center"/>
                    <w:rPr>
                      <w:b/>
                      <w:szCs w:val="21"/>
                    </w:rPr>
                  </w:pPr>
                  <w:r>
                    <w:rPr>
                      <w:rFonts w:hint="eastAsia"/>
                      <w:b/>
                      <w:szCs w:val="21"/>
                    </w:rPr>
                    <w:t>单位产品用量（g/支）</w:t>
                  </w:r>
                </w:p>
              </w:tc>
              <w:tc>
                <w:tcPr>
                  <w:tcW w:w="696" w:type="pct"/>
                  <w:vAlign w:val="center"/>
                </w:tcPr>
                <w:p w14:paraId="18718718">
                  <w:pPr>
                    <w:spacing w:line="276" w:lineRule="auto"/>
                    <w:jc w:val="center"/>
                    <w:rPr>
                      <w:b/>
                      <w:szCs w:val="21"/>
                    </w:rPr>
                  </w:pPr>
                  <w:r>
                    <w:rPr>
                      <w:rFonts w:hint="eastAsia"/>
                      <w:b/>
                      <w:szCs w:val="21"/>
                    </w:rPr>
                    <w:t>计算结果（t/年）</w:t>
                  </w:r>
                </w:p>
              </w:tc>
              <w:tc>
                <w:tcPr>
                  <w:tcW w:w="914" w:type="pct"/>
                  <w:vAlign w:val="center"/>
                </w:tcPr>
                <w:p w14:paraId="1261CC54">
                  <w:pPr>
                    <w:spacing w:line="276" w:lineRule="auto"/>
                    <w:jc w:val="center"/>
                    <w:rPr>
                      <w:b/>
                      <w:szCs w:val="21"/>
                    </w:rPr>
                  </w:pPr>
                  <w:r>
                    <w:rPr>
                      <w:rFonts w:hint="eastAsia"/>
                      <w:b/>
                      <w:szCs w:val="21"/>
                    </w:rPr>
                    <w:t>原料及配制占比</w:t>
                  </w:r>
                </w:p>
              </w:tc>
              <w:tc>
                <w:tcPr>
                  <w:tcW w:w="771" w:type="pct"/>
                  <w:vAlign w:val="center"/>
                </w:tcPr>
                <w:p w14:paraId="01A60DE3">
                  <w:pPr>
                    <w:spacing w:line="276" w:lineRule="auto"/>
                    <w:jc w:val="center"/>
                    <w:rPr>
                      <w:b/>
                      <w:szCs w:val="21"/>
                    </w:rPr>
                  </w:pPr>
                  <w:r>
                    <w:rPr>
                      <w:rFonts w:hint="eastAsia"/>
                      <w:b/>
                      <w:szCs w:val="21"/>
                    </w:rPr>
                    <w:t>原料用量（t）</w:t>
                  </w:r>
                </w:p>
              </w:tc>
            </w:tr>
            <w:tr w14:paraId="64A221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restart"/>
                  <w:vAlign w:val="center"/>
                </w:tcPr>
                <w:p w14:paraId="085009E1">
                  <w:pPr>
                    <w:spacing w:line="276" w:lineRule="auto"/>
                    <w:jc w:val="center"/>
                    <w:rPr>
                      <w:szCs w:val="21"/>
                    </w:rPr>
                  </w:pPr>
                  <w:r>
                    <w:rPr>
                      <w:rFonts w:hint="eastAsia"/>
                      <w:szCs w:val="21"/>
                    </w:rPr>
                    <w:t>1</w:t>
                  </w:r>
                </w:p>
              </w:tc>
              <w:tc>
                <w:tcPr>
                  <w:tcW w:w="760" w:type="pct"/>
                  <w:vMerge w:val="restart"/>
                  <w:vAlign w:val="center"/>
                </w:tcPr>
                <w:p w14:paraId="493B83AF">
                  <w:pPr>
                    <w:spacing w:line="276" w:lineRule="auto"/>
                    <w:jc w:val="center"/>
                    <w:rPr>
                      <w:szCs w:val="21"/>
                    </w:rPr>
                  </w:pPr>
                  <w:r>
                    <w:rPr>
                      <w:rFonts w:hint="eastAsia"/>
                      <w:szCs w:val="21"/>
                    </w:rPr>
                    <w:t>286000</w:t>
                  </w:r>
                </w:p>
              </w:tc>
              <w:tc>
                <w:tcPr>
                  <w:tcW w:w="558" w:type="pct"/>
                  <w:vMerge w:val="restart"/>
                  <w:vAlign w:val="center"/>
                </w:tcPr>
                <w:p w14:paraId="7625A5A3">
                  <w:pPr>
                    <w:spacing w:line="276" w:lineRule="auto"/>
                    <w:jc w:val="center"/>
                    <w:rPr>
                      <w:szCs w:val="21"/>
                    </w:rPr>
                  </w:pPr>
                  <w:r>
                    <w:rPr>
                      <w:szCs w:val="21"/>
                    </w:rPr>
                    <w:t>发光液</w:t>
                  </w:r>
                </w:p>
              </w:tc>
              <w:tc>
                <w:tcPr>
                  <w:tcW w:w="822" w:type="pct"/>
                  <w:vMerge w:val="restart"/>
                  <w:vAlign w:val="center"/>
                </w:tcPr>
                <w:p w14:paraId="20378602">
                  <w:pPr>
                    <w:spacing w:line="276" w:lineRule="auto"/>
                    <w:jc w:val="center"/>
                    <w:rPr>
                      <w:szCs w:val="21"/>
                    </w:rPr>
                  </w:pPr>
                  <w:r>
                    <w:rPr>
                      <w:rFonts w:hint="eastAsia"/>
                      <w:szCs w:val="21"/>
                    </w:rPr>
                    <w:t>0.5</w:t>
                  </w:r>
                </w:p>
              </w:tc>
              <w:tc>
                <w:tcPr>
                  <w:tcW w:w="696" w:type="pct"/>
                  <w:vMerge w:val="restart"/>
                  <w:vAlign w:val="center"/>
                </w:tcPr>
                <w:p w14:paraId="531054A7">
                  <w:pPr>
                    <w:spacing w:line="276" w:lineRule="auto"/>
                    <w:jc w:val="center"/>
                    <w:rPr>
                      <w:szCs w:val="21"/>
                    </w:rPr>
                  </w:pPr>
                  <w:r>
                    <w:rPr>
                      <w:rFonts w:hint="eastAsia"/>
                      <w:szCs w:val="21"/>
                    </w:rPr>
                    <w:t>42.9</w:t>
                  </w:r>
                </w:p>
              </w:tc>
              <w:tc>
                <w:tcPr>
                  <w:tcW w:w="914" w:type="pct"/>
                  <w:vAlign w:val="center"/>
                </w:tcPr>
                <w:p w14:paraId="53E57752">
                  <w:pPr>
                    <w:spacing w:line="276" w:lineRule="auto"/>
                    <w:jc w:val="center"/>
                    <w:rPr>
                      <w:szCs w:val="21"/>
                    </w:rPr>
                  </w:pPr>
                  <w:r>
                    <w:rPr>
                      <w:szCs w:val="21"/>
                    </w:rPr>
                    <w:t>邻苯二甲酸二甲酯</w:t>
                  </w:r>
                  <w:r>
                    <w:rPr>
                      <w:rFonts w:hint="eastAsia"/>
                      <w:szCs w:val="21"/>
                    </w:rPr>
                    <w:t>92.6%</w:t>
                  </w:r>
                </w:p>
              </w:tc>
              <w:tc>
                <w:tcPr>
                  <w:tcW w:w="771" w:type="pct"/>
                  <w:vAlign w:val="center"/>
                </w:tcPr>
                <w:p w14:paraId="3C390415">
                  <w:pPr>
                    <w:spacing w:line="276" w:lineRule="auto"/>
                    <w:jc w:val="center"/>
                    <w:rPr>
                      <w:szCs w:val="21"/>
                    </w:rPr>
                  </w:pPr>
                  <w:r>
                    <w:rPr>
                      <w:rFonts w:hint="eastAsia"/>
                      <w:szCs w:val="21"/>
                    </w:rPr>
                    <w:t>39.73</w:t>
                  </w:r>
                </w:p>
              </w:tc>
            </w:tr>
            <w:tr w14:paraId="5CA2B8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2D08F833">
                  <w:pPr>
                    <w:spacing w:line="276" w:lineRule="auto"/>
                    <w:jc w:val="center"/>
                    <w:rPr>
                      <w:szCs w:val="21"/>
                    </w:rPr>
                  </w:pPr>
                </w:p>
              </w:tc>
              <w:tc>
                <w:tcPr>
                  <w:tcW w:w="760" w:type="pct"/>
                  <w:vMerge w:val="continue"/>
                  <w:vAlign w:val="center"/>
                </w:tcPr>
                <w:p w14:paraId="56BC454E">
                  <w:pPr>
                    <w:spacing w:line="276" w:lineRule="auto"/>
                    <w:jc w:val="center"/>
                    <w:rPr>
                      <w:szCs w:val="21"/>
                    </w:rPr>
                  </w:pPr>
                </w:p>
              </w:tc>
              <w:tc>
                <w:tcPr>
                  <w:tcW w:w="558" w:type="pct"/>
                  <w:vMerge w:val="continue"/>
                  <w:vAlign w:val="center"/>
                </w:tcPr>
                <w:p w14:paraId="78F5CC02">
                  <w:pPr>
                    <w:spacing w:line="276" w:lineRule="auto"/>
                    <w:jc w:val="center"/>
                    <w:rPr>
                      <w:szCs w:val="21"/>
                    </w:rPr>
                  </w:pPr>
                </w:p>
              </w:tc>
              <w:tc>
                <w:tcPr>
                  <w:tcW w:w="822" w:type="pct"/>
                  <w:vMerge w:val="continue"/>
                  <w:vAlign w:val="center"/>
                </w:tcPr>
                <w:p w14:paraId="3E61DA77">
                  <w:pPr>
                    <w:spacing w:line="276" w:lineRule="auto"/>
                    <w:jc w:val="center"/>
                    <w:rPr>
                      <w:szCs w:val="21"/>
                    </w:rPr>
                  </w:pPr>
                </w:p>
              </w:tc>
              <w:tc>
                <w:tcPr>
                  <w:tcW w:w="696" w:type="pct"/>
                  <w:vMerge w:val="continue"/>
                  <w:vAlign w:val="center"/>
                </w:tcPr>
                <w:p w14:paraId="60BCDEEB">
                  <w:pPr>
                    <w:spacing w:line="276" w:lineRule="auto"/>
                    <w:jc w:val="center"/>
                    <w:rPr>
                      <w:szCs w:val="21"/>
                    </w:rPr>
                  </w:pPr>
                </w:p>
              </w:tc>
              <w:tc>
                <w:tcPr>
                  <w:tcW w:w="914" w:type="pct"/>
                  <w:vAlign w:val="center"/>
                </w:tcPr>
                <w:p w14:paraId="26FCA7F3">
                  <w:pPr>
                    <w:spacing w:line="276" w:lineRule="auto"/>
                    <w:jc w:val="center"/>
                    <w:rPr>
                      <w:szCs w:val="21"/>
                    </w:rPr>
                  </w:pPr>
                  <w:r>
                    <w:rPr>
                      <w:szCs w:val="21"/>
                    </w:rPr>
                    <w:t>双草酸酯</w:t>
                  </w:r>
                  <w:r>
                    <w:rPr>
                      <w:rFonts w:hint="eastAsia"/>
                      <w:szCs w:val="21"/>
                    </w:rPr>
                    <w:t>7.</w:t>
                  </w:r>
                  <w:r>
                    <w:rPr>
                      <w:szCs w:val="21"/>
                    </w:rPr>
                    <w:t>3</w:t>
                  </w:r>
                  <w:r>
                    <w:rPr>
                      <w:rFonts w:hint="eastAsia"/>
                      <w:szCs w:val="21"/>
                    </w:rPr>
                    <w:t>4%</w:t>
                  </w:r>
                </w:p>
              </w:tc>
              <w:tc>
                <w:tcPr>
                  <w:tcW w:w="771" w:type="pct"/>
                  <w:vAlign w:val="center"/>
                </w:tcPr>
                <w:p w14:paraId="33297DD0">
                  <w:pPr>
                    <w:spacing w:line="276" w:lineRule="auto"/>
                    <w:jc w:val="center"/>
                    <w:rPr>
                      <w:szCs w:val="21"/>
                    </w:rPr>
                  </w:pPr>
                  <w:r>
                    <w:rPr>
                      <w:rFonts w:hint="eastAsia"/>
                      <w:szCs w:val="21"/>
                    </w:rPr>
                    <w:t>3.</w:t>
                  </w:r>
                  <w:r>
                    <w:rPr>
                      <w:szCs w:val="21"/>
                    </w:rPr>
                    <w:t>15</w:t>
                  </w:r>
                </w:p>
              </w:tc>
            </w:tr>
            <w:tr w14:paraId="09D28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79C248DE">
                  <w:pPr>
                    <w:spacing w:line="276" w:lineRule="auto"/>
                    <w:jc w:val="center"/>
                    <w:rPr>
                      <w:szCs w:val="21"/>
                    </w:rPr>
                  </w:pPr>
                </w:p>
              </w:tc>
              <w:tc>
                <w:tcPr>
                  <w:tcW w:w="760" w:type="pct"/>
                  <w:vMerge w:val="continue"/>
                  <w:vAlign w:val="center"/>
                </w:tcPr>
                <w:p w14:paraId="0614EE80">
                  <w:pPr>
                    <w:spacing w:line="276" w:lineRule="auto"/>
                    <w:jc w:val="center"/>
                    <w:rPr>
                      <w:szCs w:val="21"/>
                    </w:rPr>
                  </w:pPr>
                </w:p>
              </w:tc>
              <w:tc>
                <w:tcPr>
                  <w:tcW w:w="558" w:type="pct"/>
                  <w:vMerge w:val="continue"/>
                  <w:vAlign w:val="center"/>
                </w:tcPr>
                <w:p w14:paraId="44AE39D2">
                  <w:pPr>
                    <w:spacing w:line="276" w:lineRule="auto"/>
                    <w:jc w:val="center"/>
                    <w:rPr>
                      <w:szCs w:val="21"/>
                    </w:rPr>
                  </w:pPr>
                </w:p>
              </w:tc>
              <w:tc>
                <w:tcPr>
                  <w:tcW w:w="822" w:type="pct"/>
                  <w:vMerge w:val="continue"/>
                  <w:vAlign w:val="center"/>
                </w:tcPr>
                <w:p w14:paraId="778A8441">
                  <w:pPr>
                    <w:spacing w:line="276" w:lineRule="auto"/>
                    <w:jc w:val="center"/>
                    <w:rPr>
                      <w:szCs w:val="21"/>
                    </w:rPr>
                  </w:pPr>
                </w:p>
              </w:tc>
              <w:tc>
                <w:tcPr>
                  <w:tcW w:w="696" w:type="pct"/>
                  <w:vMerge w:val="continue"/>
                  <w:vAlign w:val="center"/>
                </w:tcPr>
                <w:p w14:paraId="786D5E1E">
                  <w:pPr>
                    <w:spacing w:line="276" w:lineRule="auto"/>
                    <w:jc w:val="center"/>
                    <w:rPr>
                      <w:szCs w:val="21"/>
                    </w:rPr>
                  </w:pPr>
                </w:p>
              </w:tc>
              <w:tc>
                <w:tcPr>
                  <w:tcW w:w="914" w:type="pct"/>
                  <w:vAlign w:val="center"/>
                </w:tcPr>
                <w:p w14:paraId="000348B9">
                  <w:pPr>
                    <w:spacing w:line="276" w:lineRule="auto"/>
                    <w:jc w:val="center"/>
                    <w:rPr>
                      <w:szCs w:val="21"/>
                    </w:rPr>
                  </w:pPr>
                  <w:r>
                    <w:rPr>
                      <w:szCs w:val="21"/>
                    </w:rPr>
                    <w:t>染料</w:t>
                  </w:r>
                  <w:r>
                    <w:rPr>
                      <w:rFonts w:hint="eastAsia"/>
                      <w:szCs w:val="21"/>
                    </w:rPr>
                    <w:t>0.06%</w:t>
                  </w:r>
                </w:p>
              </w:tc>
              <w:tc>
                <w:tcPr>
                  <w:tcW w:w="771" w:type="pct"/>
                  <w:vAlign w:val="center"/>
                </w:tcPr>
                <w:p w14:paraId="1411632C">
                  <w:pPr>
                    <w:spacing w:line="276" w:lineRule="auto"/>
                    <w:jc w:val="center"/>
                    <w:rPr>
                      <w:szCs w:val="21"/>
                    </w:rPr>
                  </w:pPr>
                  <w:r>
                    <w:rPr>
                      <w:szCs w:val="21"/>
                    </w:rPr>
                    <w:t>0.02</w:t>
                  </w:r>
                </w:p>
              </w:tc>
            </w:tr>
            <w:tr w14:paraId="784879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003DE4C1">
                  <w:pPr>
                    <w:spacing w:line="276" w:lineRule="auto"/>
                    <w:jc w:val="center"/>
                    <w:rPr>
                      <w:szCs w:val="21"/>
                    </w:rPr>
                  </w:pPr>
                </w:p>
              </w:tc>
              <w:tc>
                <w:tcPr>
                  <w:tcW w:w="760" w:type="pct"/>
                  <w:vMerge w:val="continue"/>
                  <w:vAlign w:val="center"/>
                </w:tcPr>
                <w:p w14:paraId="0BC03AB6">
                  <w:pPr>
                    <w:spacing w:line="276" w:lineRule="auto"/>
                    <w:jc w:val="center"/>
                    <w:rPr>
                      <w:szCs w:val="21"/>
                    </w:rPr>
                  </w:pPr>
                </w:p>
              </w:tc>
              <w:tc>
                <w:tcPr>
                  <w:tcW w:w="558" w:type="pct"/>
                  <w:vMerge w:val="restart"/>
                  <w:vAlign w:val="center"/>
                </w:tcPr>
                <w:p w14:paraId="22E25634">
                  <w:pPr>
                    <w:spacing w:line="276" w:lineRule="auto"/>
                    <w:jc w:val="center"/>
                    <w:rPr>
                      <w:szCs w:val="21"/>
                    </w:rPr>
                  </w:pPr>
                  <w:r>
                    <w:rPr>
                      <w:szCs w:val="21"/>
                    </w:rPr>
                    <w:t>活化剂</w:t>
                  </w:r>
                </w:p>
              </w:tc>
              <w:tc>
                <w:tcPr>
                  <w:tcW w:w="822" w:type="pct"/>
                  <w:vMerge w:val="restart"/>
                  <w:vAlign w:val="center"/>
                </w:tcPr>
                <w:p w14:paraId="4DBDF6C8">
                  <w:pPr>
                    <w:spacing w:line="276" w:lineRule="auto"/>
                    <w:jc w:val="center"/>
                    <w:rPr>
                      <w:szCs w:val="21"/>
                    </w:rPr>
                  </w:pPr>
                  <w:r>
                    <w:rPr>
                      <w:rFonts w:hint="eastAsia"/>
                      <w:szCs w:val="21"/>
                    </w:rPr>
                    <w:t>0.65</w:t>
                  </w:r>
                </w:p>
              </w:tc>
              <w:tc>
                <w:tcPr>
                  <w:tcW w:w="696" w:type="pct"/>
                  <w:vMerge w:val="restart"/>
                  <w:vAlign w:val="center"/>
                </w:tcPr>
                <w:p w14:paraId="04A1A808">
                  <w:pPr>
                    <w:spacing w:line="276" w:lineRule="auto"/>
                    <w:jc w:val="center"/>
                    <w:rPr>
                      <w:szCs w:val="21"/>
                    </w:rPr>
                  </w:pPr>
                  <w:r>
                    <w:rPr>
                      <w:szCs w:val="21"/>
                    </w:rPr>
                    <w:t>55.8</w:t>
                  </w:r>
                </w:p>
              </w:tc>
              <w:tc>
                <w:tcPr>
                  <w:tcW w:w="914" w:type="pct"/>
                  <w:vAlign w:val="center"/>
                </w:tcPr>
                <w:p w14:paraId="4CEE9022">
                  <w:pPr>
                    <w:spacing w:line="276" w:lineRule="auto"/>
                    <w:jc w:val="center"/>
                    <w:rPr>
                      <w:szCs w:val="21"/>
                    </w:rPr>
                  </w:pPr>
                  <w:r>
                    <w:rPr>
                      <w:szCs w:val="21"/>
                    </w:rPr>
                    <w:t>邻苯二甲酸二甲酯</w:t>
                  </w:r>
                  <w:r>
                    <w:rPr>
                      <w:rFonts w:hint="eastAsia"/>
                      <w:szCs w:val="21"/>
                    </w:rPr>
                    <w:t>96.55%</w:t>
                  </w:r>
                </w:p>
              </w:tc>
              <w:tc>
                <w:tcPr>
                  <w:tcW w:w="771" w:type="pct"/>
                  <w:vAlign w:val="center"/>
                </w:tcPr>
                <w:p w14:paraId="32E19060">
                  <w:pPr>
                    <w:spacing w:line="276" w:lineRule="auto"/>
                    <w:jc w:val="center"/>
                    <w:rPr>
                      <w:szCs w:val="21"/>
                    </w:rPr>
                  </w:pPr>
                  <w:r>
                    <w:rPr>
                      <w:rFonts w:hint="eastAsia"/>
                      <w:szCs w:val="21"/>
                    </w:rPr>
                    <w:t>53.8</w:t>
                  </w:r>
                  <w:r>
                    <w:rPr>
                      <w:szCs w:val="21"/>
                    </w:rPr>
                    <w:t>7</w:t>
                  </w:r>
                </w:p>
              </w:tc>
            </w:tr>
            <w:tr w14:paraId="1DF494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428DDCCF">
                  <w:pPr>
                    <w:spacing w:line="276" w:lineRule="auto"/>
                    <w:jc w:val="center"/>
                    <w:rPr>
                      <w:szCs w:val="21"/>
                    </w:rPr>
                  </w:pPr>
                </w:p>
              </w:tc>
              <w:tc>
                <w:tcPr>
                  <w:tcW w:w="760" w:type="pct"/>
                  <w:vMerge w:val="continue"/>
                  <w:vAlign w:val="center"/>
                </w:tcPr>
                <w:p w14:paraId="4C4DFDDB">
                  <w:pPr>
                    <w:spacing w:line="276" w:lineRule="auto"/>
                    <w:jc w:val="center"/>
                    <w:rPr>
                      <w:szCs w:val="21"/>
                    </w:rPr>
                  </w:pPr>
                </w:p>
              </w:tc>
              <w:tc>
                <w:tcPr>
                  <w:tcW w:w="558" w:type="pct"/>
                  <w:vMerge w:val="continue"/>
                  <w:vAlign w:val="center"/>
                </w:tcPr>
                <w:p w14:paraId="2B2B4A3F">
                  <w:pPr>
                    <w:spacing w:line="276" w:lineRule="auto"/>
                    <w:jc w:val="center"/>
                    <w:rPr>
                      <w:szCs w:val="21"/>
                    </w:rPr>
                  </w:pPr>
                </w:p>
              </w:tc>
              <w:tc>
                <w:tcPr>
                  <w:tcW w:w="822" w:type="pct"/>
                  <w:vMerge w:val="continue"/>
                  <w:vAlign w:val="center"/>
                </w:tcPr>
                <w:p w14:paraId="27267BB8">
                  <w:pPr>
                    <w:spacing w:line="276" w:lineRule="auto"/>
                    <w:jc w:val="center"/>
                    <w:rPr>
                      <w:szCs w:val="21"/>
                    </w:rPr>
                  </w:pPr>
                </w:p>
              </w:tc>
              <w:tc>
                <w:tcPr>
                  <w:tcW w:w="696" w:type="pct"/>
                  <w:vMerge w:val="continue"/>
                  <w:vAlign w:val="center"/>
                </w:tcPr>
                <w:p w14:paraId="682A8B44">
                  <w:pPr>
                    <w:spacing w:line="276" w:lineRule="auto"/>
                    <w:jc w:val="center"/>
                    <w:rPr>
                      <w:szCs w:val="21"/>
                    </w:rPr>
                  </w:pPr>
                </w:p>
              </w:tc>
              <w:tc>
                <w:tcPr>
                  <w:tcW w:w="914" w:type="pct"/>
                  <w:vAlign w:val="center"/>
                </w:tcPr>
                <w:p w14:paraId="3F07D3D9">
                  <w:pPr>
                    <w:spacing w:line="276" w:lineRule="auto"/>
                    <w:jc w:val="center"/>
                    <w:rPr>
                      <w:szCs w:val="21"/>
                    </w:rPr>
                  </w:pPr>
                  <w:r>
                    <w:rPr>
                      <w:szCs w:val="21"/>
                    </w:rPr>
                    <w:t>双氧水</w:t>
                  </w:r>
                  <w:r>
                    <w:rPr>
                      <w:rFonts w:hint="eastAsia"/>
                      <w:szCs w:val="21"/>
                    </w:rPr>
                    <w:t>3.45%</w:t>
                  </w:r>
                </w:p>
              </w:tc>
              <w:tc>
                <w:tcPr>
                  <w:tcW w:w="771" w:type="pct"/>
                  <w:vAlign w:val="center"/>
                </w:tcPr>
                <w:p w14:paraId="033B3BAE">
                  <w:pPr>
                    <w:spacing w:line="276" w:lineRule="auto"/>
                    <w:jc w:val="center"/>
                    <w:rPr>
                      <w:szCs w:val="21"/>
                    </w:rPr>
                  </w:pPr>
                  <w:r>
                    <w:rPr>
                      <w:szCs w:val="21"/>
                    </w:rPr>
                    <w:t>1.93</w:t>
                  </w:r>
                </w:p>
              </w:tc>
            </w:tr>
            <w:tr w14:paraId="746AE4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restart"/>
                  <w:vAlign w:val="center"/>
                </w:tcPr>
                <w:p w14:paraId="380C68D4">
                  <w:pPr>
                    <w:spacing w:line="276" w:lineRule="auto"/>
                    <w:jc w:val="center"/>
                    <w:rPr>
                      <w:szCs w:val="21"/>
                    </w:rPr>
                  </w:pPr>
                  <w:r>
                    <w:rPr>
                      <w:rFonts w:hint="eastAsia"/>
                      <w:szCs w:val="21"/>
                    </w:rPr>
                    <w:t>2</w:t>
                  </w:r>
                </w:p>
              </w:tc>
              <w:tc>
                <w:tcPr>
                  <w:tcW w:w="760" w:type="pct"/>
                  <w:vMerge w:val="restart"/>
                  <w:vAlign w:val="center"/>
                </w:tcPr>
                <w:p w14:paraId="19880AEA">
                  <w:pPr>
                    <w:spacing w:line="276" w:lineRule="auto"/>
                    <w:jc w:val="center"/>
                    <w:rPr>
                      <w:szCs w:val="21"/>
                    </w:rPr>
                  </w:pPr>
                  <w:r>
                    <w:rPr>
                      <w:rFonts w:hint="eastAsia"/>
                      <w:szCs w:val="21"/>
                    </w:rPr>
                    <w:t>7000</w:t>
                  </w:r>
                </w:p>
              </w:tc>
              <w:tc>
                <w:tcPr>
                  <w:tcW w:w="558" w:type="pct"/>
                  <w:vMerge w:val="restart"/>
                  <w:vAlign w:val="center"/>
                </w:tcPr>
                <w:p w14:paraId="61C796E1">
                  <w:pPr>
                    <w:spacing w:line="276" w:lineRule="auto"/>
                    <w:jc w:val="center"/>
                    <w:rPr>
                      <w:szCs w:val="21"/>
                    </w:rPr>
                  </w:pPr>
                  <w:r>
                    <w:rPr>
                      <w:szCs w:val="21"/>
                    </w:rPr>
                    <w:t>发光液</w:t>
                  </w:r>
                </w:p>
              </w:tc>
              <w:tc>
                <w:tcPr>
                  <w:tcW w:w="822" w:type="pct"/>
                  <w:vMerge w:val="restart"/>
                  <w:vAlign w:val="center"/>
                </w:tcPr>
                <w:p w14:paraId="32274407">
                  <w:pPr>
                    <w:spacing w:line="276" w:lineRule="auto"/>
                    <w:jc w:val="center"/>
                    <w:rPr>
                      <w:szCs w:val="21"/>
                    </w:rPr>
                  </w:pPr>
                  <w:r>
                    <w:rPr>
                      <w:rFonts w:hint="eastAsia"/>
                      <w:szCs w:val="21"/>
                    </w:rPr>
                    <w:t>5</w:t>
                  </w:r>
                </w:p>
              </w:tc>
              <w:tc>
                <w:tcPr>
                  <w:tcW w:w="696" w:type="pct"/>
                  <w:vMerge w:val="restart"/>
                  <w:vAlign w:val="center"/>
                </w:tcPr>
                <w:p w14:paraId="3BFA591D">
                  <w:pPr>
                    <w:spacing w:line="276" w:lineRule="auto"/>
                    <w:jc w:val="center"/>
                    <w:rPr>
                      <w:szCs w:val="21"/>
                    </w:rPr>
                  </w:pPr>
                  <w:r>
                    <w:rPr>
                      <w:rFonts w:hint="eastAsia"/>
                      <w:szCs w:val="21"/>
                    </w:rPr>
                    <w:t>10.5</w:t>
                  </w:r>
                </w:p>
              </w:tc>
              <w:tc>
                <w:tcPr>
                  <w:tcW w:w="914" w:type="pct"/>
                  <w:vAlign w:val="center"/>
                </w:tcPr>
                <w:p w14:paraId="5C5B4798">
                  <w:pPr>
                    <w:spacing w:line="276" w:lineRule="auto"/>
                    <w:jc w:val="center"/>
                    <w:rPr>
                      <w:szCs w:val="21"/>
                    </w:rPr>
                  </w:pPr>
                  <w:r>
                    <w:rPr>
                      <w:szCs w:val="21"/>
                    </w:rPr>
                    <w:t>邻苯二甲酸二甲酯</w:t>
                  </w:r>
                  <w:r>
                    <w:rPr>
                      <w:rFonts w:hint="eastAsia"/>
                      <w:szCs w:val="21"/>
                    </w:rPr>
                    <w:t>92.6%</w:t>
                  </w:r>
                </w:p>
              </w:tc>
              <w:tc>
                <w:tcPr>
                  <w:tcW w:w="771" w:type="pct"/>
                  <w:vAlign w:val="center"/>
                </w:tcPr>
                <w:p w14:paraId="1E2719E0">
                  <w:pPr>
                    <w:spacing w:line="276" w:lineRule="auto"/>
                    <w:jc w:val="center"/>
                    <w:rPr>
                      <w:szCs w:val="21"/>
                    </w:rPr>
                  </w:pPr>
                  <w:r>
                    <w:rPr>
                      <w:rFonts w:hint="eastAsia"/>
                      <w:szCs w:val="21"/>
                    </w:rPr>
                    <w:t>9.72</w:t>
                  </w:r>
                </w:p>
              </w:tc>
            </w:tr>
            <w:tr w14:paraId="38C73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3AA9FF3E">
                  <w:pPr>
                    <w:spacing w:line="276" w:lineRule="auto"/>
                    <w:jc w:val="center"/>
                    <w:rPr>
                      <w:szCs w:val="21"/>
                    </w:rPr>
                  </w:pPr>
                </w:p>
              </w:tc>
              <w:tc>
                <w:tcPr>
                  <w:tcW w:w="760" w:type="pct"/>
                  <w:vMerge w:val="continue"/>
                  <w:vAlign w:val="center"/>
                </w:tcPr>
                <w:p w14:paraId="7BB6A503">
                  <w:pPr>
                    <w:spacing w:line="276" w:lineRule="auto"/>
                    <w:jc w:val="center"/>
                    <w:rPr>
                      <w:szCs w:val="21"/>
                    </w:rPr>
                  </w:pPr>
                </w:p>
              </w:tc>
              <w:tc>
                <w:tcPr>
                  <w:tcW w:w="558" w:type="pct"/>
                  <w:vMerge w:val="continue"/>
                  <w:vAlign w:val="center"/>
                </w:tcPr>
                <w:p w14:paraId="0D41EA3E">
                  <w:pPr>
                    <w:spacing w:line="276" w:lineRule="auto"/>
                    <w:jc w:val="center"/>
                    <w:rPr>
                      <w:szCs w:val="21"/>
                    </w:rPr>
                  </w:pPr>
                </w:p>
              </w:tc>
              <w:tc>
                <w:tcPr>
                  <w:tcW w:w="822" w:type="pct"/>
                  <w:vMerge w:val="continue"/>
                  <w:vAlign w:val="center"/>
                </w:tcPr>
                <w:p w14:paraId="0D718553">
                  <w:pPr>
                    <w:spacing w:line="276" w:lineRule="auto"/>
                    <w:jc w:val="center"/>
                    <w:rPr>
                      <w:szCs w:val="21"/>
                    </w:rPr>
                  </w:pPr>
                </w:p>
              </w:tc>
              <w:tc>
                <w:tcPr>
                  <w:tcW w:w="696" w:type="pct"/>
                  <w:vMerge w:val="continue"/>
                  <w:vAlign w:val="center"/>
                </w:tcPr>
                <w:p w14:paraId="42155F90">
                  <w:pPr>
                    <w:spacing w:line="276" w:lineRule="auto"/>
                    <w:jc w:val="center"/>
                    <w:rPr>
                      <w:szCs w:val="21"/>
                    </w:rPr>
                  </w:pPr>
                </w:p>
              </w:tc>
              <w:tc>
                <w:tcPr>
                  <w:tcW w:w="914" w:type="pct"/>
                  <w:vAlign w:val="center"/>
                </w:tcPr>
                <w:p w14:paraId="41BD2FC7">
                  <w:pPr>
                    <w:spacing w:line="276" w:lineRule="auto"/>
                    <w:jc w:val="center"/>
                    <w:rPr>
                      <w:szCs w:val="21"/>
                    </w:rPr>
                  </w:pPr>
                  <w:r>
                    <w:rPr>
                      <w:szCs w:val="21"/>
                    </w:rPr>
                    <w:t>双草酸酯</w:t>
                  </w:r>
                  <w:r>
                    <w:rPr>
                      <w:rFonts w:hint="eastAsia"/>
                      <w:szCs w:val="21"/>
                    </w:rPr>
                    <w:t>7.</w:t>
                  </w:r>
                  <w:r>
                    <w:rPr>
                      <w:szCs w:val="21"/>
                    </w:rPr>
                    <w:t>3</w:t>
                  </w:r>
                  <w:r>
                    <w:rPr>
                      <w:rFonts w:hint="eastAsia"/>
                      <w:szCs w:val="21"/>
                    </w:rPr>
                    <w:t>4%</w:t>
                  </w:r>
                </w:p>
              </w:tc>
              <w:tc>
                <w:tcPr>
                  <w:tcW w:w="771" w:type="pct"/>
                  <w:vAlign w:val="center"/>
                </w:tcPr>
                <w:p w14:paraId="41766EAF">
                  <w:pPr>
                    <w:spacing w:line="276" w:lineRule="auto"/>
                    <w:jc w:val="center"/>
                    <w:rPr>
                      <w:szCs w:val="21"/>
                    </w:rPr>
                  </w:pPr>
                  <w:r>
                    <w:rPr>
                      <w:rFonts w:hint="eastAsia"/>
                      <w:szCs w:val="21"/>
                    </w:rPr>
                    <w:t>0.77</w:t>
                  </w:r>
                </w:p>
              </w:tc>
            </w:tr>
            <w:tr w14:paraId="7E47F6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1EEFC354">
                  <w:pPr>
                    <w:spacing w:line="276" w:lineRule="auto"/>
                    <w:jc w:val="center"/>
                    <w:rPr>
                      <w:szCs w:val="21"/>
                    </w:rPr>
                  </w:pPr>
                </w:p>
              </w:tc>
              <w:tc>
                <w:tcPr>
                  <w:tcW w:w="760" w:type="pct"/>
                  <w:vMerge w:val="continue"/>
                  <w:vAlign w:val="center"/>
                </w:tcPr>
                <w:p w14:paraId="71EF1FEE">
                  <w:pPr>
                    <w:spacing w:line="276" w:lineRule="auto"/>
                    <w:jc w:val="center"/>
                    <w:rPr>
                      <w:szCs w:val="21"/>
                    </w:rPr>
                  </w:pPr>
                </w:p>
              </w:tc>
              <w:tc>
                <w:tcPr>
                  <w:tcW w:w="558" w:type="pct"/>
                  <w:vMerge w:val="continue"/>
                  <w:vAlign w:val="center"/>
                </w:tcPr>
                <w:p w14:paraId="76F6DE5F">
                  <w:pPr>
                    <w:spacing w:line="276" w:lineRule="auto"/>
                    <w:jc w:val="center"/>
                    <w:rPr>
                      <w:szCs w:val="21"/>
                    </w:rPr>
                  </w:pPr>
                </w:p>
              </w:tc>
              <w:tc>
                <w:tcPr>
                  <w:tcW w:w="822" w:type="pct"/>
                  <w:vMerge w:val="continue"/>
                  <w:vAlign w:val="center"/>
                </w:tcPr>
                <w:p w14:paraId="7FD18A4B">
                  <w:pPr>
                    <w:spacing w:line="276" w:lineRule="auto"/>
                    <w:jc w:val="center"/>
                    <w:rPr>
                      <w:szCs w:val="21"/>
                    </w:rPr>
                  </w:pPr>
                </w:p>
              </w:tc>
              <w:tc>
                <w:tcPr>
                  <w:tcW w:w="696" w:type="pct"/>
                  <w:vMerge w:val="continue"/>
                  <w:vAlign w:val="center"/>
                </w:tcPr>
                <w:p w14:paraId="21D083B6">
                  <w:pPr>
                    <w:spacing w:line="276" w:lineRule="auto"/>
                    <w:jc w:val="center"/>
                    <w:rPr>
                      <w:szCs w:val="21"/>
                    </w:rPr>
                  </w:pPr>
                </w:p>
              </w:tc>
              <w:tc>
                <w:tcPr>
                  <w:tcW w:w="914" w:type="pct"/>
                  <w:vAlign w:val="center"/>
                </w:tcPr>
                <w:p w14:paraId="7D8774C4">
                  <w:pPr>
                    <w:spacing w:line="276" w:lineRule="auto"/>
                    <w:jc w:val="center"/>
                    <w:rPr>
                      <w:szCs w:val="21"/>
                    </w:rPr>
                  </w:pPr>
                  <w:r>
                    <w:rPr>
                      <w:szCs w:val="21"/>
                    </w:rPr>
                    <w:t>染料</w:t>
                  </w:r>
                  <w:r>
                    <w:rPr>
                      <w:rFonts w:hint="eastAsia"/>
                      <w:szCs w:val="21"/>
                    </w:rPr>
                    <w:t>0.06%</w:t>
                  </w:r>
                </w:p>
              </w:tc>
              <w:tc>
                <w:tcPr>
                  <w:tcW w:w="771" w:type="pct"/>
                  <w:vAlign w:val="center"/>
                </w:tcPr>
                <w:p w14:paraId="4189F881">
                  <w:pPr>
                    <w:spacing w:line="276" w:lineRule="auto"/>
                    <w:jc w:val="center"/>
                    <w:rPr>
                      <w:szCs w:val="21"/>
                    </w:rPr>
                  </w:pPr>
                  <w:r>
                    <w:rPr>
                      <w:rFonts w:hint="eastAsia"/>
                      <w:szCs w:val="21"/>
                    </w:rPr>
                    <w:t>0.0</w:t>
                  </w:r>
                  <w:r>
                    <w:rPr>
                      <w:szCs w:val="21"/>
                    </w:rPr>
                    <w:t>1</w:t>
                  </w:r>
                </w:p>
              </w:tc>
            </w:tr>
            <w:tr w14:paraId="098501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47FFE1E8">
                  <w:pPr>
                    <w:spacing w:line="276" w:lineRule="auto"/>
                    <w:jc w:val="center"/>
                    <w:rPr>
                      <w:szCs w:val="21"/>
                    </w:rPr>
                  </w:pPr>
                </w:p>
              </w:tc>
              <w:tc>
                <w:tcPr>
                  <w:tcW w:w="760" w:type="pct"/>
                  <w:vMerge w:val="continue"/>
                  <w:vAlign w:val="center"/>
                </w:tcPr>
                <w:p w14:paraId="5C3A57E1">
                  <w:pPr>
                    <w:spacing w:line="276" w:lineRule="auto"/>
                    <w:jc w:val="center"/>
                    <w:rPr>
                      <w:szCs w:val="21"/>
                    </w:rPr>
                  </w:pPr>
                </w:p>
              </w:tc>
              <w:tc>
                <w:tcPr>
                  <w:tcW w:w="558" w:type="pct"/>
                  <w:vMerge w:val="restart"/>
                  <w:vAlign w:val="center"/>
                </w:tcPr>
                <w:p w14:paraId="7CB4A70E">
                  <w:pPr>
                    <w:spacing w:line="276" w:lineRule="auto"/>
                    <w:jc w:val="center"/>
                    <w:rPr>
                      <w:szCs w:val="21"/>
                    </w:rPr>
                  </w:pPr>
                  <w:r>
                    <w:rPr>
                      <w:szCs w:val="21"/>
                    </w:rPr>
                    <w:t>活化剂</w:t>
                  </w:r>
                </w:p>
              </w:tc>
              <w:tc>
                <w:tcPr>
                  <w:tcW w:w="822" w:type="pct"/>
                  <w:vMerge w:val="restart"/>
                  <w:vAlign w:val="center"/>
                </w:tcPr>
                <w:p w14:paraId="4C2F7DF9">
                  <w:pPr>
                    <w:spacing w:line="276" w:lineRule="auto"/>
                    <w:jc w:val="center"/>
                    <w:rPr>
                      <w:szCs w:val="21"/>
                    </w:rPr>
                  </w:pPr>
                  <w:r>
                    <w:rPr>
                      <w:rFonts w:hint="eastAsia"/>
                      <w:szCs w:val="21"/>
                    </w:rPr>
                    <w:t>7</w:t>
                  </w:r>
                </w:p>
              </w:tc>
              <w:tc>
                <w:tcPr>
                  <w:tcW w:w="696" w:type="pct"/>
                  <w:vMerge w:val="restart"/>
                  <w:vAlign w:val="center"/>
                </w:tcPr>
                <w:p w14:paraId="40DED114">
                  <w:pPr>
                    <w:spacing w:line="276" w:lineRule="auto"/>
                    <w:jc w:val="center"/>
                    <w:rPr>
                      <w:szCs w:val="21"/>
                    </w:rPr>
                  </w:pPr>
                  <w:r>
                    <w:rPr>
                      <w:rFonts w:hint="eastAsia"/>
                      <w:szCs w:val="21"/>
                    </w:rPr>
                    <w:t>14.7</w:t>
                  </w:r>
                </w:p>
              </w:tc>
              <w:tc>
                <w:tcPr>
                  <w:tcW w:w="914" w:type="pct"/>
                  <w:vAlign w:val="center"/>
                </w:tcPr>
                <w:p w14:paraId="5938B3C9">
                  <w:pPr>
                    <w:spacing w:line="276" w:lineRule="auto"/>
                    <w:jc w:val="center"/>
                    <w:rPr>
                      <w:szCs w:val="21"/>
                    </w:rPr>
                  </w:pPr>
                  <w:r>
                    <w:rPr>
                      <w:szCs w:val="21"/>
                    </w:rPr>
                    <w:t>邻苯二甲酸二甲酯</w:t>
                  </w:r>
                  <w:r>
                    <w:rPr>
                      <w:rFonts w:hint="eastAsia"/>
                      <w:szCs w:val="21"/>
                    </w:rPr>
                    <w:t>96.55%</w:t>
                  </w:r>
                </w:p>
              </w:tc>
              <w:tc>
                <w:tcPr>
                  <w:tcW w:w="771" w:type="pct"/>
                  <w:vAlign w:val="center"/>
                </w:tcPr>
                <w:p w14:paraId="1947F845">
                  <w:pPr>
                    <w:spacing w:line="276" w:lineRule="auto"/>
                    <w:jc w:val="center"/>
                    <w:rPr>
                      <w:szCs w:val="21"/>
                    </w:rPr>
                  </w:pPr>
                  <w:r>
                    <w:rPr>
                      <w:rFonts w:hint="eastAsia"/>
                      <w:szCs w:val="21"/>
                    </w:rPr>
                    <w:t>14.19</w:t>
                  </w:r>
                </w:p>
              </w:tc>
            </w:tr>
            <w:tr w14:paraId="748D12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4679F735">
                  <w:pPr>
                    <w:spacing w:line="276" w:lineRule="auto"/>
                    <w:jc w:val="center"/>
                    <w:rPr>
                      <w:szCs w:val="21"/>
                    </w:rPr>
                  </w:pPr>
                </w:p>
              </w:tc>
              <w:tc>
                <w:tcPr>
                  <w:tcW w:w="760" w:type="pct"/>
                  <w:vMerge w:val="continue"/>
                  <w:vAlign w:val="center"/>
                </w:tcPr>
                <w:p w14:paraId="2DA183CB">
                  <w:pPr>
                    <w:spacing w:line="276" w:lineRule="auto"/>
                    <w:jc w:val="center"/>
                    <w:rPr>
                      <w:szCs w:val="21"/>
                    </w:rPr>
                  </w:pPr>
                </w:p>
              </w:tc>
              <w:tc>
                <w:tcPr>
                  <w:tcW w:w="558" w:type="pct"/>
                  <w:vMerge w:val="continue"/>
                  <w:vAlign w:val="center"/>
                </w:tcPr>
                <w:p w14:paraId="21FF2987">
                  <w:pPr>
                    <w:spacing w:line="276" w:lineRule="auto"/>
                    <w:jc w:val="center"/>
                    <w:rPr>
                      <w:szCs w:val="21"/>
                    </w:rPr>
                  </w:pPr>
                </w:p>
              </w:tc>
              <w:tc>
                <w:tcPr>
                  <w:tcW w:w="822" w:type="pct"/>
                  <w:vMerge w:val="continue"/>
                  <w:vAlign w:val="center"/>
                </w:tcPr>
                <w:p w14:paraId="0C42EE6B">
                  <w:pPr>
                    <w:spacing w:line="276" w:lineRule="auto"/>
                    <w:jc w:val="center"/>
                    <w:rPr>
                      <w:szCs w:val="21"/>
                    </w:rPr>
                  </w:pPr>
                </w:p>
              </w:tc>
              <w:tc>
                <w:tcPr>
                  <w:tcW w:w="696" w:type="pct"/>
                  <w:vMerge w:val="continue"/>
                  <w:vAlign w:val="center"/>
                </w:tcPr>
                <w:p w14:paraId="60A97A7B">
                  <w:pPr>
                    <w:spacing w:line="276" w:lineRule="auto"/>
                    <w:jc w:val="center"/>
                    <w:rPr>
                      <w:szCs w:val="21"/>
                    </w:rPr>
                  </w:pPr>
                </w:p>
              </w:tc>
              <w:tc>
                <w:tcPr>
                  <w:tcW w:w="914" w:type="pct"/>
                  <w:vAlign w:val="center"/>
                </w:tcPr>
                <w:p w14:paraId="78DD147D">
                  <w:pPr>
                    <w:spacing w:line="276" w:lineRule="auto"/>
                    <w:jc w:val="center"/>
                    <w:rPr>
                      <w:szCs w:val="21"/>
                    </w:rPr>
                  </w:pPr>
                  <w:r>
                    <w:rPr>
                      <w:szCs w:val="21"/>
                    </w:rPr>
                    <w:t>双氧水</w:t>
                  </w:r>
                  <w:r>
                    <w:rPr>
                      <w:rFonts w:hint="eastAsia"/>
                      <w:szCs w:val="21"/>
                    </w:rPr>
                    <w:t>3.45%</w:t>
                  </w:r>
                </w:p>
              </w:tc>
              <w:tc>
                <w:tcPr>
                  <w:tcW w:w="771" w:type="pct"/>
                  <w:vAlign w:val="center"/>
                </w:tcPr>
                <w:p w14:paraId="1F6E3624">
                  <w:pPr>
                    <w:spacing w:line="276" w:lineRule="auto"/>
                    <w:jc w:val="center"/>
                    <w:rPr>
                      <w:szCs w:val="21"/>
                    </w:rPr>
                  </w:pPr>
                  <w:r>
                    <w:rPr>
                      <w:szCs w:val="21"/>
                    </w:rPr>
                    <w:t>0.51</w:t>
                  </w:r>
                </w:p>
              </w:tc>
            </w:tr>
            <w:tr w14:paraId="6BAA29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restart"/>
                  <w:vAlign w:val="center"/>
                </w:tcPr>
                <w:p w14:paraId="5FE9FD51">
                  <w:pPr>
                    <w:spacing w:line="276" w:lineRule="auto"/>
                    <w:jc w:val="center"/>
                    <w:rPr>
                      <w:szCs w:val="21"/>
                    </w:rPr>
                  </w:pPr>
                  <w:r>
                    <w:rPr>
                      <w:rFonts w:hint="eastAsia"/>
                      <w:szCs w:val="21"/>
                    </w:rPr>
                    <w:t>3</w:t>
                  </w:r>
                </w:p>
              </w:tc>
              <w:tc>
                <w:tcPr>
                  <w:tcW w:w="760" w:type="pct"/>
                  <w:vMerge w:val="restart"/>
                  <w:vAlign w:val="center"/>
                </w:tcPr>
                <w:p w14:paraId="58B74D80">
                  <w:pPr>
                    <w:spacing w:line="276" w:lineRule="auto"/>
                    <w:jc w:val="center"/>
                    <w:rPr>
                      <w:szCs w:val="21"/>
                    </w:rPr>
                  </w:pPr>
                  <w:r>
                    <w:rPr>
                      <w:rFonts w:hint="eastAsia"/>
                      <w:szCs w:val="21"/>
                    </w:rPr>
                    <w:t>7000</w:t>
                  </w:r>
                </w:p>
              </w:tc>
              <w:tc>
                <w:tcPr>
                  <w:tcW w:w="558" w:type="pct"/>
                  <w:vMerge w:val="restart"/>
                  <w:vAlign w:val="center"/>
                </w:tcPr>
                <w:p w14:paraId="17B49C62">
                  <w:pPr>
                    <w:spacing w:line="276" w:lineRule="auto"/>
                    <w:jc w:val="center"/>
                    <w:rPr>
                      <w:szCs w:val="21"/>
                    </w:rPr>
                  </w:pPr>
                  <w:r>
                    <w:rPr>
                      <w:szCs w:val="21"/>
                    </w:rPr>
                    <w:t>发光液</w:t>
                  </w:r>
                </w:p>
              </w:tc>
              <w:tc>
                <w:tcPr>
                  <w:tcW w:w="822" w:type="pct"/>
                  <w:vMerge w:val="restart"/>
                  <w:vAlign w:val="center"/>
                </w:tcPr>
                <w:p w14:paraId="3F703F15">
                  <w:pPr>
                    <w:spacing w:line="276" w:lineRule="auto"/>
                    <w:jc w:val="center"/>
                    <w:rPr>
                      <w:szCs w:val="21"/>
                    </w:rPr>
                  </w:pPr>
                  <w:r>
                    <w:rPr>
                      <w:rFonts w:hint="eastAsia"/>
                      <w:szCs w:val="21"/>
                    </w:rPr>
                    <w:t>5</w:t>
                  </w:r>
                </w:p>
              </w:tc>
              <w:tc>
                <w:tcPr>
                  <w:tcW w:w="696" w:type="pct"/>
                  <w:vMerge w:val="restart"/>
                  <w:vAlign w:val="center"/>
                </w:tcPr>
                <w:p w14:paraId="367B4F8C">
                  <w:pPr>
                    <w:spacing w:line="276" w:lineRule="auto"/>
                    <w:jc w:val="center"/>
                    <w:rPr>
                      <w:szCs w:val="21"/>
                    </w:rPr>
                  </w:pPr>
                  <w:r>
                    <w:rPr>
                      <w:rFonts w:hint="eastAsia"/>
                      <w:szCs w:val="21"/>
                    </w:rPr>
                    <w:t>10.5</w:t>
                  </w:r>
                </w:p>
              </w:tc>
              <w:tc>
                <w:tcPr>
                  <w:tcW w:w="914" w:type="pct"/>
                  <w:vAlign w:val="center"/>
                </w:tcPr>
                <w:p w14:paraId="4BB65486">
                  <w:pPr>
                    <w:spacing w:line="276" w:lineRule="auto"/>
                    <w:jc w:val="center"/>
                    <w:rPr>
                      <w:szCs w:val="21"/>
                    </w:rPr>
                  </w:pPr>
                  <w:r>
                    <w:rPr>
                      <w:szCs w:val="21"/>
                    </w:rPr>
                    <w:t>邻苯二甲酸二甲酯</w:t>
                  </w:r>
                  <w:r>
                    <w:rPr>
                      <w:rFonts w:hint="eastAsia"/>
                      <w:szCs w:val="21"/>
                    </w:rPr>
                    <w:t>92.6%</w:t>
                  </w:r>
                </w:p>
              </w:tc>
              <w:tc>
                <w:tcPr>
                  <w:tcW w:w="771" w:type="pct"/>
                  <w:vAlign w:val="center"/>
                </w:tcPr>
                <w:p w14:paraId="130954FA">
                  <w:pPr>
                    <w:spacing w:line="276" w:lineRule="auto"/>
                    <w:jc w:val="center"/>
                    <w:rPr>
                      <w:szCs w:val="21"/>
                    </w:rPr>
                  </w:pPr>
                  <w:r>
                    <w:rPr>
                      <w:rFonts w:hint="eastAsia"/>
                      <w:szCs w:val="21"/>
                    </w:rPr>
                    <w:t>9.72</w:t>
                  </w:r>
                </w:p>
              </w:tc>
            </w:tr>
            <w:tr w14:paraId="1288EC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4E9DD25E">
                  <w:pPr>
                    <w:spacing w:line="276" w:lineRule="auto"/>
                    <w:jc w:val="center"/>
                    <w:rPr>
                      <w:szCs w:val="21"/>
                    </w:rPr>
                  </w:pPr>
                </w:p>
              </w:tc>
              <w:tc>
                <w:tcPr>
                  <w:tcW w:w="760" w:type="pct"/>
                  <w:vMerge w:val="continue"/>
                  <w:vAlign w:val="center"/>
                </w:tcPr>
                <w:p w14:paraId="3850140B">
                  <w:pPr>
                    <w:spacing w:line="276" w:lineRule="auto"/>
                    <w:jc w:val="center"/>
                    <w:rPr>
                      <w:szCs w:val="21"/>
                    </w:rPr>
                  </w:pPr>
                </w:p>
              </w:tc>
              <w:tc>
                <w:tcPr>
                  <w:tcW w:w="558" w:type="pct"/>
                  <w:vMerge w:val="continue"/>
                  <w:vAlign w:val="center"/>
                </w:tcPr>
                <w:p w14:paraId="79F44405">
                  <w:pPr>
                    <w:spacing w:line="276" w:lineRule="auto"/>
                    <w:jc w:val="center"/>
                    <w:rPr>
                      <w:szCs w:val="21"/>
                    </w:rPr>
                  </w:pPr>
                </w:p>
              </w:tc>
              <w:tc>
                <w:tcPr>
                  <w:tcW w:w="822" w:type="pct"/>
                  <w:vMerge w:val="continue"/>
                  <w:vAlign w:val="center"/>
                </w:tcPr>
                <w:p w14:paraId="7F764B09">
                  <w:pPr>
                    <w:spacing w:line="276" w:lineRule="auto"/>
                    <w:jc w:val="center"/>
                    <w:rPr>
                      <w:szCs w:val="21"/>
                    </w:rPr>
                  </w:pPr>
                </w:p>
              </w:tc>
              <w:tc>
                <w:tcPr>
                  <w:tcW w:w="696" w:type="pct"/>
                  <w:vMerge w:val="continue"/>
                  <w:vAlign w:val="center"/>
                </w:tcPr>
                <w:p w14:paraId="46DABA96">
                  <w:pPr>
                    <w:spacing w:line="276" w:lineRule="auto"/>
                    <w:jc w:val="center"/>
                    <w:rPr>
                      <w:szCs w:val="21"/>
                    </w:rPr>
                  </w:pPr>
                </w:p>
              </w:tc>
              <w:tc>
                <w:tcPr>
                  <w:tcW w:w="914" w:type="pct"/>
                  <w:vAlign w:val="center"/>
                </w:tcPr>
                <w:p w14:paraId="251E7BBA">
                  <w:pPr>
                    <w:spacing w:line="276" w:lineRule="auto"/>
                    <w:jc w:val="center"/>
                    <w:rPr>
                      <w:szCs w:val="21"/>
                    </w:rPr>
                  </w:pPr>
                  <w:r>
                    <w:rPr>
                      <w:szCs w:val="21"/>
                    </w:rPr>
                    <w:t>双草酸酯</w:t>
                  </w:r>
                  <w:r>
                    <w:rPr>
                      <w:rFonts w:hint="eastAsia"/>
                      <w:szCs w:val="21"/>
                    </w:rPr>
                    <w:t>7.</w:t>
                  </w:r>
                  <w:r>
                    <w:rPr>
                      <w:szCs w:val="21"/>
                    </w:rPr>
                    <w:t>3</w:t>
                  </w:r>
                  <w:r>
                    <w:rPr>
                      <w:rFonts w:hint="eastAsia"/>
                      <w:szCs w:val="21"/>
                    </w:rPr>
                    <w:t>4%</w:t>
                  </w:r>
                </w:p>
              </w:tc>
              <w:tc>
                <w:tcPr>
                  <w:tcW w:w="771" w:type="pct"/>
                  <w:vAlign w:val="center"/>
                </w:tcPr>
                <w:p w14:paraId="68DEA5BA">
                  <w:pPr>
                    <w:spacing w:line="276" w:lineRule="auto"/>
                    <w:jc w:val="center"/>
                    <w:rPr>
                      <w:szCs w:val="21"/>
                    </w:rPr>
                  </w:pPr>
                  <w:r>
                    <w:rPr>
                      <w:rFonts w:hint="eastAsia"/>
                      <w:szCs w:val="21"/>
                    </w:rPr>
                    <w:t>0.77</w:t>
                  </w:r>
                </w:p>
              </w:tc>
            </w:tr>
            <w:tr w14:paraId="239A27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164B74D3">
                  <w:pPr>
                    <w:spacing w:line="276" w:lineRule="auto"/>
                    <w:jc w:val="center"/>
                    <w:rPr>
                      <w:szCs w:val="21"/>
                    </w:rPr>
                  </w:pPr>
                </w:p>
              </w:tc>
              <w:tc>
                <w:tcPr>
                  <w:tcW w:w="760" w:type="pct"/>
                  <w:vMerge w:val="continue"/>
                  <w:vAlign w:val="center"/>
                </w:tcPr>
                <w:p w14:paraId="2223B13F">
                  <w:pPr>
                    <w:spacing w:line="276" w:lineRule="auto"/>
                    <w:jc w:val="center"/>
                    <w:rPr>
                      <w:szCs w:val="21"/>
                    </w:rPr>
                  </w:pPr>
                </w:p>
              </w:tc>
              <w:tc>
                <w:tcPr>
                  <w:tcW w:w="558" w:type="pct"/>
                  <w:vMerge w:val="continue"/>
                  <w:vAlign w:val="center"/>
                </w:tcPr>
                <w:p w14:paraId="4C792773">
                  <w:pPr>
                    <w:spacing w:line="276" w:lineRule="auto"/>
                    <w:jc w:val="center"/>
                    <w:rPr>
                      <w:szCs w:val="21"/>
                    </w:rPr>
                  </w:pPr>
                </w:p>
              </w:tc>
              <w:tc>
                <w:tcPr>
                  <w:tcW w:w="822" w:type="pct"/>
                  <w:vMerge w:val="continue"/>
                  <w:vAlign w:val="center"/>
                </w:tcPr>
                <w:p w14:paraId="153BDBCF">
                  <w:pPr>
                    <w:spacing w:line="276" w:lineRule="auto"/>
                    <w:jc w:val="center"/>
                    <w:rPr>
                      <w:szCs w:val="21"/>
                    </w:rPr>
                  </w:pPr>
                </w:p>
              </w:tc>
              <w:tc>
                <w:tcPr>
                  <w:tcW w:w="696" w:type="pct"/>
                  <w:vMerge w:val="continue"/>
                  <w:vAlign w:val="center"/>
                </w:tcPr>
                <w:p w14:paraId="3ACA4875">
                  <w:pPr>
                    <w:spacing w:line="276" w:lineRule="auto"/>
                    <w:jc w:val="center"/>
                    <w:rPr>
                      <w:szCs w:val="21"/>
                    </w:rPr>
                  </w:pPr>
                </w:p>
              </w:tc>
              <w:tc>
                <w:tcPr>
                  <w:tcW w:w="914" w:type="pct"/>
                  <w:vAlign w:val="center"/>
                </w:tcPr>
                <w:p w14:paraId="134A9711">
                  <w:pPr>
                    <w:spacing w:line="276" w:lineRule="auto"/>
                    <w:jc w:val="center"/>
                    <w:rPr>
                      <w:szCs w:val="21"/>
                    </w:rPr>
                  </w:pPr>
                  <w:r>
                    <w:rPr>
                      <w:szCs w:val="21"/>
                    </w:rPr>
                    <w:t>染料</w:t>
                  </w:r>
                  <w:r>
                    <w:rPr>
                      <w:rFonts w:hint="eastAsia"/>
                      <w:szCs w:val="21"/>
                    </w:rPr>
                    <w:t>0.06%</w:t>
                  </w:r>
                </w:p>
              </w:tc>
              <w:tc>
                <w:tcPr>
                  <w:tcW w:w="771" w:type="pct"/>
                  <w:vAlign w:val="center"/>
                </w:tcPr>
                <w:p w14:paraId="404B1E3D">
                  <w:pPr>
                    <w:spacing w:line="276" w:lineRule="auto"/>
                    <w:jc w:val="center"/>
                    <w:rPr>
                      <w:szCs w:val="21"/>
                    </w:rPr>
                  </w:pPr>
                  <w:r>
                    <w:rPr>
                      <w:szCs w:val="21"/>
                    </w:rPr>
                    <w:t>0.01</w:t>
                  </w:r>
                </w:p>
              </w:tc>
            </w:tr>
            <w:tr w14:paraId="6682DC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58E39B0F">
                  <w:pPr>
                    <w:spacing w:line="276" w:lineRule="auto"/>
                    <w:jc w:val="center"/>
                    <w:rPr>
                      <w:szCs w:val="21"/>
                    </w:rPr>
                  </w:pPr>
                </w:p>
              </w:tc>
              <w:tc>
                <w:tcPr>
                  <w:tcW w:w="760" w:type="pct"/>
                  <w:vMerge w:val="continue"/>
                  <w:vAlign w:val="center"/>
                </w:tcPr>
                <w:p w14:paraId="1873CA7D">
                  <w:pPr>
                    <w:spacing w:line="276" w:lineRule="auto"/>
                    <w:jc w:val="center"/>
                    <w:rPr>
                      <w:szCs w:val="21"/>
                    </w:rPr>
                  </w:pPr>
                </w:p>
              </w:tc>
              <w:tc>
                <w:tcPr>
                  <w:tcW w:w="558" w:type="pct"/>
                  <w:vMerge w:val="restart"/>
                  <w:vAlign w:val="center"/>
                </w:tcPr>
                <w:p w14:paraId="30E86767">
                  <w:pPr>
                    <w:spacing w:line="276" w:lineRule="auto"/>
                    <w:jc w:val="center"/>
                    <w:rPr>
                      <w:szCs w:val="21"/>
                    </w:rPr>
                  </w:pPr>
                  <w:r>
                    <w:rPr>
                      <w:szCs w:val="21"/>
                    </w:rPr>
                    <w:t>活化剂</w:t>
                  </w:r>
                </w:p>
              </w:tc>
              <w:tc>
                <w:tcPr>
                  <w:tcW w:w="822" w:type="pct"/>
                  <w:vMerge w:val="restart"/>
                  <w:vAlign w:val="center"/>
                </w:tcPr>
                <w:p w14:paraId="6644FD8E">
                  <w:pPr>
                    <w:spacing w:line="276" w:lineRule="auto"/>
                    <w:jc w:val="center"/>
                    <w:rPr>
                      <w:szCs w:val="21"/>
                    </w:rPr>
                  </w:pPr>
                  <w:r>
                    <w:rPr>
                      <w:rFonts w:hint="eastAsia"/>
                      <w:szCs w:val="21"/>
                    </w:rPr>
                    <w:t>7</w:t>
                  </w:r>
                </w:p>
              </w:tc>
              <w:tc>
                <w:tcPr>
                  <w:tcW w:w="696" w:type="pct"/>
                  <w:vMerge w:val="restart"/>
                  <w:vAlign w:val="center"/>
                </w:tcPr>
                <w:p w14:paraId="0FBF573F">
                  <w:pPr>
                    <w:spacing w:line="276" w:lineRule="auto"/>
                    <w:jc w:val="center"/>
                    <w:rPr>
                      <w:szCs w:val="21"/>
                    </w:rPr>
                  </w:pPr>
                  <w:r>
                    <w:rPr>
                      <w:rFonts w:hint="eastAsia"/>
                      <w:szCs w:val="21"/>
                    </w:rPr>
                    <w:t>14.7</w:t>
                  </w:r>
                </w:p>
              </w:tc>
              <w:tc>
                <w:tcPr>
                  <w:tcW w:w="914" w:type="pct"/>
                  <w:vAlign w:val="center"/>
                </w:tcPr>
                <w:p w14:paraId="7F2B4DE3">
                  <w:pPr>
                    <w:spacing w:line="276" w:lineRule="auto"/>
                    <w:jc w:val="center"/>
                    <w:rPr>
                      <w:szCs w:val="21"/>
                    </w:rPr>
                  </w:pPr>
                  <w:r>
                    <w:rPr>
                      <w:szCs w:val="21"/>
                    </w:rPr>
                    <w:t>邻苯二甲酸二甲酯</w:t>
                  </w:r>
                  <w:r>
                    <w:rPr>
                      <w:rFonts w:hint="eastAsia"/>
                      <w:szCs w:val="21"/>
                    </w:rPr>
                    <w:t>96.55%</w:t>
                  </w:r>
                </w:p>
              </w:tc>
              <w:tc>
                <w:tcPr>
                  <w:tcW w:w="771" w:type="pct"/>
                  <w:vAlign w:val="center"/>
                </w:tcPr>
                <w:p w14:paraId="769450FA">
                  <w:pPr>
                    <w:spacing w:line="276" w:lineRule="auto"/>
                    <w:jc w:val="center"/>
                    <w:rPr>
                      <w:szCs w:val="21"/>
                    </w:rPr>
                  </w:pPr>
                  <w:r>
                    <w:rPr>
                      <w:rFonts w:hint="eastAsia"/>
                      <w:szCs w:val="21"/>
                    </w:rPr>
                    <w:t>14.19</w:t>
                  </w:r>
                </w:p>
              </w:tc>
            </w:tr>
            <w:tr w14:paraId="19C76F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479" w:type="pct"/>
                  <w:vMerge w:val="continue"/>
                  <w:vAlign w:val="center"/>
                </w:tcPr>
                <w:p w14:paraId="14CCCD0E">
                  <w:pPr>
                    <w:spacing w:line="276" w:lineRule="auto"/>
                    <w:jc w:val="center"/>
                    <w:rPr>
                      <w:szCs w:val="21"/>
                    </w:rPr>
                  </w:pPr>
                </w:p>
              </w:tc>
              <w:tc>
                <w:tcPr>
                  <w:tcW w:w="760" w:type="pct"/>
                  <w:vMerge w:val="continue"/>
                  <w:vAlign w:val="center"/>
                </w:tcPr>
                <w:p w14:paraId="771AC615">
                  <w:pPr>
                    <w:spacing w:line="276" w:lineRule="auto"/>
                    <w:jc w:val="center"/>
                    <w:rPr>
                      <w:szCs w:val="21"/>
                    </w:rPr>
                  </w:pPr>
                </w:p>
              </w:tc>
              <w:tc>
                <w:tcPr>
                  <w:tcW w:w="558" w:type="pct"/>
                  <w:vMerge w:val="continue"/>
                  <w:vAlign w:val="center"/>
                </w:tcPr>
                <w:p w14:paraId="220BDA13">
                  <w:pPr>
                    <w:spacing w:line="276" w:lineRule="auto"/>
                    <w:jc w:val="center"/>
                    <w:rPr>
                      <w:szCs w:val="21"/>
                    </w:rPr>
                  </w:pPr>
                </w:p>
              </w:tc>
              <w:tc>
                <w:tcPr>
                  <w:tcW w:w="822" w:type="pct"/>
                  <w:vMerge w:val="continue"/>
                  <w:vAlign w:val="center"/>
                </w:tcPr>
                <w:p w14:paraId="18324ABA">
                  <w:pPr>
                    <w:spacing w:line="276" w:lineRule="auto"/>
                    <w:jc w:val="center"/>
                    <w:rPr>
                      <w:szCs w:val="21"/>
                    </w:rPr>
                  </w:pPr>
                </w:p>
              </w:tc>
              <w:tc>
                <w:tcPr>
                  <w:tcW w:w="696" w:type="pct"/>
                  <w:vMerge w:val="continue"/>
                  <w:vAlign w:val="center"/>
                </w:tcPr>
                <w:p w14:paraId="74CACA97">
                  <w:pPr>
                    <w:spacing w:line="276" w:lineRule="auto"/>
                    <w:jc w:val="center"/>
                    <w:rPr>
                      <w:szCs w:val="21"/>
                    </w:rPr>
                  </w:pPr>
                </w:p>
              </w:tc>
              <w:tc>
                <w:tcPr>
                  <w:tcW w:w="914" w:type="pct"/>
                  <w:vAlign w:val="center"/>
                </w:tcPr>
                <w:p w14:paraId="59FD55D1">
                  <w:pPr>
                    <w:spacing w:line="276" w:lineRule="auto"/>
                    <w:jc w:val="center"/>
                    <w:rPr>
                      <w:szCs w:val="21"/>
                    </w:rPr>
                  </w:pPr>
                  <w:r>
                    <w:rPr>
                      <w:szCs w:val="21"/>
                    </w:rPr>
                    <w:t>双氧水</w:t>
                  </w:r>
                  <w:r>
                    <w:rPr>
                      <w:rFonts w:hint="eastAsia"/>
                      <w:szCs w:val="21"/>
                    </w:rPr>
                    <w:t>3.45%</w:t>
                  </w:r>
                </w:p>
              </w:tc>
              <w:tc>
                <w:tcPr>
                  <w:tcW w:w="771" w:type="pct"/>
                  <w:vAlign w:val="center"/>
                </w:tcPr>
                <w:p w14:paraId="2F9FDAF8">
                  <w:pPr>
                    <w:spacing w:line="276" w:lineRule="auto"/>
                    <w:jc w:val="center"/>
                    <w:rPr>
                      <w:szCs w:val="21"/>
                    </w:rPr>
                  </w:pPr>
                  <w:r>
                    <w:rPr>
                      <w:rFonts w:hint="eastAsia"/>
                      <w:szCs w:val="21"/>
                    </w:rPr>
                    <w:t>0.5</w:t>
                  </w:r>
                  <w:r>
                    <w:rPr>
                      <w:szCs w:val="21"/>
                    </w:rPr>
                    <w:t>1</w:t>
                  </w:r>
                </w:p>
              </w:tc>
            </w:tr>
            <w:tr w14:paraId="06609E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3315" w:type="pct"/>
                  <w:gridSpan w:val="5"/>
                  <w:vMerge w:val="restart"/>
                  <w:vAlign w:val="center"/>
                </w:tcPr>
                <w:p w14:paraId="687B146C">
                  <w:pPr>
                    <w:spacing w:line="276" w:lineRule="auto"/>
                    <w:jc w:val="center"/>
                    <w:rPr>
                      <w:szCs w:val="21"/>
                    </w:rPr>
                  </w:pPr>
                  <w:r>
                    <w:rPr>
                      <w:szCs w:val="21"/>
                    </w:rPr>
                    <w:t>合计</w:t>
                  </w:r>
                </w:p>
              </w:tc>
              <w:tc>
                <w:tcPr>
                  <w:tcW w:w="914" w:type="pct"/>
                  <w:vAlign w:val="center"/>
                </w:tcPr>
                <w:p w14:paraId="2BC0EDC4">
                  <w:pPr>
                    <w:spacing w:line="276" w:lineRule="auto"/>
                    <w:jc w:val="center"/>
                    <w:rPr>
                      <w:szCs w:val="21"/>
                    </w:rPr>
                  </w:pPr>
                  <w:r>
                    <w:rPr>
                      <w:szCs w:val="21"/>
                    </w:rPr>
                    <w:t>邻苯二甲酸二甲酯</w:t>
                  </w:r>
                </w:p>
              </w:tc>
              <w:tc>
                <w:tcPr>
                  <w:tcW w:w="771" w:type="pct"/>
                  <w:vAlign w:val="center"/>
                </w:tcPr>
                <w:p w14:paraId="1DD1AB0F">
                  <w:pPr>
                    <w:spacing w:line="276" w:lineRule="auto"/>
                    <w:jc w:val="center"/>
                    <w:rPr>
                      <w:szCs w:val="21"/>
                    </w:rPr>
                  </w:pPr>
                  <w:r>
                    <w:rPr>
                      <w:rFonts w:hint="eastAsia"/>
                      <w:szCs w:val="21"/>
                    </w:rPr>
                    <w:t>141.4</w:t>
                  </w:r>
                </w:p>
              </w:tc>
            </w:tr>
            <w:tr w14:paraId="3D3D20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3315" w:type="pct"/>
                  <w:gridSpan w:val="5"/>
                  <w:vMerge w:val="continue"/>
                  <w:vAlign w:val="center"/>
                </w:tcPr>
                <w:p w14:paraId="71CB4F62">
                  <w:pPr>
                    <w:spacing w:line="276" w:lineRule="auto"/>
                    <w:jc w:val="center"/>
                    <w:rPr>
                      <w:szCs w:val="21"/>
                    </w:rPr>
                  </w:pPr>
                </w:p>
              </w:tc>
              <w:tc>
                <w:tcPr>
                  <w:tcW w:w="914" w:type="pct"/>
                  <w:vAlign w:val="center"/>
                </w:tcPr>
                <w:p w14:paraId="4439E07A">
                  <w:pPr>
                    <w:spacing w:line="276" w:lineRule="auto"/>
                    <w:jc w:val="center"/>
                    <w:rPr>
                      <w:szCs w:val="21"/>
                    </w:rPr>
                  </w:pPr>
                  <w:r>
                    <w:rPr>
                      <w:szCs w:val="21"/>
                    </w:rPr>
                    <w:t>双草酸酯</w:t>
                  </w:r>
                </w:p>
              </w:tc>
              <w:tc>
                <w:tcPr>
                  <w:tcW w:w="771" w:type="pct"/>
                  <w:vAlign w:val="center"/>
                </w:tcPr>
                <w:p w14:paraId="730B43DF">
                  <w:pPr>
                    <w:spacing w:line="276" w:lineRule="auto"/>
                    <w:jc w:val="center"/>
                    <w:rPr>
                      <w:szCs w:val="21"/>
                    </w:rPr>
                  </w:pPr>
                  <w:r>
                    <w:rPr>
                      <w:rFonts w:hint="eastAsia"/>
                      <w:szCs w:val="21"/>
                    </w:rPr>
                    <w:t>4.</w:t>
                  </w:r>
                  <w:r>
                    <w:rPr>
                      <w:szCs w:val="21"/>
                    </w:rPr>
                    <w:t>69</w:t>
                  </w:r>
                </w:p>
              </w:tc>
            </w:tr>
            <w:tr w14:paraId="0EF6C8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3315" w:type="pct"/>
                  <w:gridSpan w:val="5"/>
                  <w:vMerge w:val="continue"/>
                  <w:vAlign w:val="center"/>
                </w:tcPr>
                <w:p w14:paraId="094E49DE">
                  <w:pPr>
                    <w:spacing w:line="276" w:lineRule="auto"/>
                    <w:jc w:val="center"/>
                    <w:rPr>
                      <w:szCs w:val="21"/>
                    </w:rPr>
                  </w:pPr>
                </w:p>
              </w:tc>
              <w:tc>
                <w:tcPr>
                  <w:tcW w:w="914" w:type="pct"/>
                  <w:vAlign w:val="center"/>
                </w:tcPr>
                <w:p w14:paraId="74445B7D">
                  <w:pPr>
                    <w:spacing w:line="276" w:lineRule="auto"/>
                    <w:jc w:val="center"/>
                    <w:rPr>
                      <w:szCs w:val="21"/>
                    </w:rPr>
                  </w:pPr>
                  <w:r>
                    <w:rPr>
                      <w:szCs w:val="21"/>
                    </w:rPr>
                    <w:t>染料</w:t>
                  </w:r>
                </w:p>
              </w:tc>
              <w:tc>
                <w:tcPr>
                  <w:tcW w:w="771" w:type="pct"/>
                  <w:vAlign w:val="center"/>
                </w:tcPr>
                <w:p w14:paraId="1F1FD6BC">
                  <w:pPr>
                    <w:spacing w:line="276" w:lineRule="auto"/>
                    <w:jc w:val="center"/>
                    <w:rPr>
                      <w:szCs w:val="21"/>
                    </w:rPr>
                  </w:pPr>
                  <w:r>
                    <w:rPr>
                      <w:rFonts w:hint="eastAsia"/>
                      <w:szCs w:val="21"/>
                    </w:rPr>
                    <w:t>0.0</w:t>
                  </w:r>
                  <w:r>
                    <w:rPr>
                      <w:szCs w:val="21"/>
                    </w:rPr>
                    <w:t>4</w:t>
                  </w:r>
                </w:p>
              </w:tc>
            </w:tr>
            <w:tr w14:paraId="3FB56C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0" w:hRule="atLeast"/>
                <w:jc w:val="center"/>
              </w:trPr>
              <w:tc>
                <w:tcPr>
                  <w:tcW w:w="3315" w:type="pct"/>
                  <w:gridSpan w:val="5"/>
                  <w:vMerge w:val="continue"/>
                  <w:vAlign w:val="center"/>
                </w:tcPr>
                <w:p w14:paraId="06298C58">
                  <w:pPr>
                    <w:spacing w:line="276" w:lineRule="auto"/>
                    <w:jc w:val="center"/>
                    <w:rPr>
                      <w:szCs w:val="21"/>
                    </w:rPr>
                  </w:pPr>
                </w:p>
              </w:tc>
              <w:tc>
                <w:tcPr>
                  <w:tcW w:w="914" w:type="pct"/>
                  <w:vAlign w:val="center"/>
                </w:tcPr>
                <w:p w14:paraId="765E3ADE">
                  <w:pPr>
                    <w:spacing w:line="276" w:lineRule="auto"/>
                    <w:jc w:val="center"/>
                    <w:rPr>
                      <w:szCs w:val="21"/>
                    </w:rPr>
                  </w:pPr>
                  <w:r>
                    <w:rPr>
                      <w:szCs w:val="21"/>
                    </w:rPr>
                    <w:t>双氧水</w:t>
                  </w:r>
                </w:p>
              </w:tc>
              <w:tc>
                <w:tcPr>
                  <w:tcW w:w="771" w:type="pct"/>
                  <w:vAlign w:val="center"/>
                </w:tcPr>
                <w:p w14:paraId="4EDDCE8F">
                  <w:pPr>
                    <w:spacing w:line="276" w:lineRule="auto"/>
                    <w:jc w:val="center"/>
                    <w:rPr>
                      <w:szCs w:val="21"/>
                    </w:rPr>
                  </w:pPr>
                  <w:r>
                    <w:rPr>
                      <w:szCs w:val="21"/>
                    </w:rPr>
                    <w:t>2.95</w:t>
                  </w:r>
                </w:p>
              </w:tc>
            </w:tr>
          </w:tbl>
          <w:p w14:paraId="6F60C5F1">
            <w:pPr>
              <w:spacing w:line="360" w:lineRule="auto"/>
              <w:ind w:firstLine="480" w:firstLineChars="200"/>
              <w:rPr>
                <w:sz w:val="24"/>
              </w:rPr>
            </w:pPr>
            <w:r>
              <w:rPr>
                <w:rFonts w:hint="eastAsia"/>
                <w:sz w:val="24"/>
              </w:rPr>
              <w:t>（2）原辅材料主要成分及理化性质</w:t>
            </w:r>
          </w:p>
          <w:p w14:paraId="7218A7B9">
            <w:pPr>
              <w:autoSpaceDE w:val="0"/>
              <w:autoSpaceDN w:val="0"/>
              <w:adjustRightInd w:val="0"/>
              <w:snapToGrid w:val="0"/>
              <w:jc w:val="center"/>
              <w:rPr>
                <w:rFonts w:eastAsia="黑体"/>
                <w:bCs/>
                <w:szCs w:val="21"/>
              </w:rPr>
            </w:pPr>
            <w:r>
              <w:rPr>
                <w:rFonts w:hAnsi="黑体" w:eastAsia="黑体"/>
                <w:sz w:val="24"/>
                <w:szCs w:val="24"/>
              </w:rPr>
              <w:t>表</w:t>
            </w:r>
            <w:r>
              <w:rPr>
                <w:rFonts w:hint="eastAsia" w:hAnsi="黑体" w:eastAsia="黑体"/>
                <w:sz w:val="24"/>
                <w:szCs w:val="24"/>
              </w:rPr>
              <w:t>19</w:t>
            </w:r>
            <w:r>
              <w:rPr>
                <w:rFonts w:hAnsi="黑体" w:eastAsia="黑体"/>
                <w:sz w:val="24"/>
                <w:szCs w:val="24"/>
              </w:rPr>
              <w:t xml:space="preserve">  项目</w:t>
            </w:r>
            <w:r>
              <w:rPr>
                <w:rFonts w:hint="eastAsia" w:hAnsi="黑体" w:eastAsia="黑体"/>
                <w:sz w:val="24"/>
                <w:szCs w:val="24"/>
              </w:rPr>
              <w:t>原辅材料主要成分及理化性质表</w:t>
            </w:r>
          </w:p>
          <w:tbl>
            <w:tblPr>
              <w:tblStyle w:val="3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8"/>
              <w:gridCol w:w="1698"/>
              <w:gridCol w:w="2380"/>
              <w:gridCol w:w="2186"/>
              <w:gridCol w:w="1454"/>
            </w:tblGrid>
            <w:tr w14:paraId="6E7058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3" w:type="pct"/>
                  <w:vAlign w:val="center"/>
                </w:tcPr>
                <w:p w14:paraId="22E91153">
                  <w:pPr>
                    <w:spacing w:line="276" w:lineRule="auto"/>
                    <w:jc w:val="center"/>
                    <w:rPr>
                      <w:b/>
                      <w:szCs w:val="21"/>
                    </w:rPr>
                  </w:pPr>
                  <w:r>
                    <w:rPr>
                      <w:b/>
                      <w:szCs w:val="21"/>
                    </w:rPr>
                    <w:t>序号</w:t>
                  </w:r>
                </w:p>
              </w:tc>
              <w:tc>
                <w:tcPr>
                  <w:tcW w:w="1042" w:type="pct"/>
                  <w:vAlign w:val="center"/>
                </w:tcPr>
                <w:p w14:paraId="57A8CAF6">
                  <w:pPr>
                    <w:spacing w:line="276" w:lineRule="auto"/>
                    <w:jc w:val="center"/>
                    <w:rPr>
                      <w:b/>
                      <w:szCs w:val="21"/>
                    </w:rPr>
                  </w:pPr>
                  <w:r>
                    <w:rPr>
                      <w:b/>
                      <w:szCs w:val="21"/>
                    </w:rPr>
                    <w:t>名称</w:t>
                  </w:r>
                </w:p>
              </w:tc>
              <w:tc>
                <w:tcPr>
                  <w:tcW w:w="1461" w:type="pct"/>
                  <w:vAlign w:val="center"/>
                </w:tcPr>
                <w:p w14:paraId="435AECA6">
                  <w:pPr>
                    <w:spacing w:line="276" w:lineRule="auto"/>
                    <w:jc w:val="center"/>
                    <w:rPr>
                      <w:b/>
                      <w:szCs w:val="21"/>
                    </w:rPr>
                  </w:pPr>
                  <w:r>
                    <w:rPr>
                      <w:b/>
                      <w:szCs w:val="21"/>
                    </w:rPr>
                    <w:t>理化特性</w:t>
                  </w:r>
                </w:p>
              </w:tc>
              <w:tc>
                <w:tcPr>
                  <w:tcW w:w="1342" w:type="pct"/>
                  <w:vAlign w:val="center"/>
                </w:tcPr>
                <w:p w14:paraId="572BCFCE">
                  <w:pPr>
                    <w:spacing w:line="276" w:lineRule="auto"/>
                    <w:jc w:val="center"/>
                    <w:rPr>
                      <w:b/>
                      <w:szCs w:val="21"/>
                    </w:rPr>
                  </w:pPr>
                  <w:r>
                    <w:rPr>
                      <w:b/>
                      <w:szCs w:val="21"/>
                    </w:rPr>
                    <w:t>燃烧爆炸性及稳定性</w:t>
                  </w:r>
                </w:p>
              </w:tc>
              <w:tc>
                <w:tcPr>
                  <w:tcW w:w="892" w:type="pct"/>
                  <w:vAlign w:val="center"/>
                </w:tcPr>
                <w:p w14:paraId="795BF31F">
                  <w:pPr>
                    <w:spacing w:line="276" w:lineRule="auto"/>
                    <w:jc w:val="center"/>
                    <w:rPr>
                      <w:b/>
                      <w:szCs w:val="21"/>
                    </w:rPr>
                  </w:pPr>
                  <w:r>
                    <w:rPr>
                      <w:b/>
                      <w:szCs w:val="21"/>
                    </w:rPr>
                    <w:t>毒理性</w:t>
                  </w:r>
                </w:p>
              </w:tc>
            </w:tr>
            <w:tr w14:paraId="558A5E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3" w:type="pct"/>
                  <w:vAlign w:val="center"/>
                </w:tcPr>
                <w:p w14:paraId="34B8F775">
                  <w:pPr>
                    <w:spacing w:line="276" w:lineRule="auto"/>
                    <w:jc w:val="center"/>
                    <w:rPr>
                      <w:szCs w:val="21"/>
                    </w:rPr>
                  </w:pPr>
                  <w:r>
                    <w:rPr>
                      <w:szCs w:val="21"/>
                    </w:rPr>
                    <w:t>1</w:t>
                  </w:r>
                </w:p>
              </w:tc>
              <w:tc>
                <w:tcPr>
                  <w:tcW w:w="1042" w:type="pct"/>
                  <w:vAlign w:val="center"/>
                </w:tcPr>
                <w:p w14:paraId="73048568">
                  <w:pPr>
                    <w:spacing w:line="276" w:lineRule="auto"/>
                    <w:jc w:val="center"/>
                    <w:rPr>
                      <w:szCs w:val="21"/>
                    </w:rPr>
                  </w:pPr>
                  <w:r>
                    <w:rPr>
                      <w:szCs w:val="21"/>
                    </w:rPr>
                    <w:t>邻苯二甲酸二甲酯（C</w:t>
                  </w:r>
                  <w:r>
                    <w:rPr>
                      <w:rFonts w:hint="eastAsia"/>
                      <w:szCs w:val="21"/>
                      <w:vertAlign w:val="subscript"/>
                    </w:rPr>
                    <w:t>10</w:t>
                  </w:r>
                  <w:r>
                    <w:rPr>
                      <w:szCs w:val="21"/>
                    </w:rPr>
                    <w:t>H</w:t>
                  </w:r>
                  <w:r>
                    <w:rPr>
                      <w:szCs w:val="21"/>
                      <w:vertAlign w:val="subscript"/>
                    </w:rPr>
                    <w:t>1</w:t>
                  </w:r>
                  <w:r>
                    <w:rPr>
                      <w:rFonts w:hint="eastAsia"/>
                      <w:szCs w:val="21"/>
                      <w:vertAlign w:val="subscript"/>
                    </w:rPr>
                    <w:t>0</w:t>
                  </w:r>
                  <w:r>
                    <w:rPr>
                      <w:szCs w:val="21"/>
                    </w:rPr>
                    <w:t>O</w:t>
                  </w:r>
                  <w:r>
                    <w:rPr>
                      <w:rFonts w:hint="eastAsia"/>
                      <w:szCs w:val="21"/>
                      <w:vertAlign w:val="subscript"/>
                    </w:rPr>
                    <w:t>4</w:t>
                  </w:r>
                  <w:r>
                    <w:rPr>
                      <w:szCs w:val="21"/>
                    </w:rPr>
                    <w:t>）</w:t>
                  </w:r>
                </w:p>
              </w:tc>
              <w:tc>
                <w:tcPr>
                  <w:tcW w:w="1461" w:type="pct"/>
                  <w:vAlign w:val="center"/>
                </w:tcPr>
                <w:p w14:paraId="586F7046">
                  <w:pPr>
                    <w:spacing w:line="276" w:lineRule="auto"/>
                    <w:jc w:val="left"/>
                    <w:rPr>
                      <w:szCs w:val="21"/>
                    </w:rPr>
                  </w:pPr>
                  <w:r>
                    <w:rPr>
                      <w:szCs w:val="21"/>
                    </w:rPr>
                    <w:t>无色透明油状液体，微具芳香味。</w:t>
                  </w:r>
                </w:p>
                <w:p w14:paraId="14FF438B">
                  <w:pPr>
                    <w:spacing w:line="276" w:lineRule="auto"/>
                    <w:jc w:val="left"/>
                    <w:rPr>
                      <w:szCs w:val="21"/>
                    </w:rPr>
                  </w:pPr>
                  <w:r>
                    <w:rPr>
                      <w:rFonts w:hint="eastAsia"/>
                      <w:szCs w:val="21"/>
                    </w:rPr>
                    <w:t>相对密度：1.192</w:t>
                  </w:r>
                </w:p>
                <w:p w14:paraId="7A6438CF">
                  <w:pPr>
                    <w:spacing w:line="276" w:lineRule="auto"/>
                    <w:jc w:val="left"/>
                    <w:rPr>
                      <w:szCs w:val="21"/>
                    </w:rPr>
                  </w:pPr>
                  <w:r>
                    <w:rPr>
                      <w:rFonts w:hint="eastAsia"/>
                      <w:szCs w:val="21"/>
                    </w:rPr>
                    <w:t>饱和蒸气压：0</w:t>
                  </w:r>
                  <w:r>
                    <w:rPr>
                      <w:szCs w:val="21"/>
                    </w:rPr>
                    <w:t>.13</w:t>
                  </w:r>
                  <w:r>
                    <w:rPr>
                      <w:rFonts w:hint="eastAsia"/>
                      <w:szCs w:val="21"/>
                    </w:rPr>
                    <w:t>kPa（1</w:t>
                  </w:r>
                  <w:r>
                    <w:rPr>
                      <w:szCs w:val="21"/>
                    </w:rPr>
                    <w:t>00.3</w:t>
                  </w:r>
                  <w:r>
                    <w:rPr>
                      <w:rFonts w:hint="eastAsia"/>
                      <w:szCs w:val="21"/>
                    </w:rPr>
                    <w:t>℃）</w:t>
                  </w:r>
                </w:p>
                <w:p w14:paraId="7F0459A7">
                  <w:pPr>
                    <w:spacing w:line="276" w:lineRule="auto"/>
                    <w:jc w:val="left"/>
                    <w:rPr>
                      <w:szCs w:val="21"/>
                    </w:rPr>
                  </w:pPr>
                  <w:r>
                    <w:rPr>
                      <w:szCs w:val="21"/>
                    </w:rPr>
                    <w:t>熔点：</w:t>
                  </w:r>
                  <w:r>
                    <w:rPr>
                      <w:rFonts w:hint="eastAsia"/>
                      <w:szCs w:val="21"/>
                    </w:rPr>
                    <w:t>2</w:t>
                  </w:r>
                  <w:r>
                    <w:rPr>
                      <w:szCs w:val="21"/>
                    </w:rPr>
                    <w:t>℃</w:t>
                  </w:r>
                </w:p>
                <w:p w14:paraId="3AAF95C1">
                  <w:pPr>
                    <w:spacing w:line="276" w:lineRule="auto"/>
                    <w:jc w:val="left"/>
                    <w:rPr>
                      <w:szCs w:val="21"/>
                    </w:rPr>
                  </w:pPr>
                  <w:r>
                    <w:rPr>
                      <w:szCs w:val="21"/>
                    </w:rPr>
                    <w:t>着火点：</w:t>
                  </w:r>
                  <w:r>
                    <w:rPr>
                      <w:rFonts w:hint="eastAsia"/>
                      <w:szCs w:val="21"/>
                    </w:rPr>
                    <w:t>154</w:t>
                  </w:r>
                  <w:r>
                    <w:rPr>
                      <w:szCs w:val="21"/>
                    </w:rPr>
                    <w:t>°C</w:t>
                  </w:r>
                </w:p>
                <w:p w14:paraId="1190CC6A">
                  <w:pPr>
                    <w:spacing w:line="276" w:lineRule="auto"/>
                    <w:jc w:val="left"/>
                    <w:rPr>
                      <w:szCs w:val="21"/>
                    </w:rPr>
                  </w:pPr>
                  <w:r>
                    <w:rPr>
                      <w:szCs w:val="21"/>
                    </w:rPr>
                    <w:t>沸点：</w:t>
                  </w:r>
                  <w:r>
                    <w:rPr>
                      <w:rFonts w:hint="eastAsia"/>
                      <w:szCs w:val="21"/>
                    </w:rPr>
                    <w:t>282</w:t>
                  </w:r>
                  <w:r>
                    <w:rPr>
                      <w:szCs w:val="21"/>
                    </w:rPr>
                    <w:t>℃</w:t>
                  </w:r>
                </w:p>
                <w:p w14:paraId="343F1868">
                  <w:pPr>
                    <w:spacing w:line="276" w:lineRule="auto"/>
                    <w:jc w:val="left"/>
                    <w:rPr>
                      <w:szCs w:val="21"/>
                    </w:rPr>
                  </w:pPr>
                  <w:r>
                    <w:rPr>
                      <w:szCs w:val="21"/>
                    </w:rPr>
                    <w:t>闪点：</w:t>
                  </w:r>
                  <w:r>
                    <w:rPr>
                      <w:rFonts w:hint="eastAsia"/>
                      <w:szCs w:val="21"/>
                    </w:rPr>
                    <w:t>151</w:t>
                  </w:r>
                  <w:r>
                    <w:rPr>
                      <w:szCs w:val="21"/>
                    </w:rPr>
                    <w:t>℃</w:t>
                  </w:r>
                </w:p>
                <w:p w14:paraId="051D358F">
                  <w:pPr>
                    <w:spacing w:line="276" w:lineRule="auto"/>
                    <w:jc w:val="left"/>
                    <w:rPr>
                      <w:szCs w:val="21"/>
                    </w:rPr>
                  </w:pPr>
                  <w:r>
                    <w:rPr>
                      <w:rFonts w:hint="eastAsia"/>
                      <w:szCs w:val="21"/>
                    </w:rPr>
                    <w:t>折射率：1.5155</w:t>
                  </w:r>
                </w:p>
                <w:p w14:paraId="1C980888">
                  <w:pPr>
                    <w:spacing w:line="276" w:lineRule="auto"/>
                    <w:jc w:val="left"/>
                    <w:rPr>
                      <w:szCs w:val="21"/>
                    </w:rPr>
                  </w:pPr>
                  <w:r>
                    <w:rPr>
                      <w:rFonts w:hint="eastAsia"/>
                      <w:szCs w:val="21"/>
                    </w:rPr>
                    <w:t>溶解度：4.0g/L</w:t>
                  </w:r>
                </w:p>
                <w:p w14:paraId="673E3AF5">
                  <w:pPr>
                    <w:spacing w:line="276" w:lineRule="auto"/>
                    <w:jc w:val="left"/>
                    <w:rPr>
                      <w:szCs w:val="21"/>
                    </w:rPr>
                  </w:pPr>
                  <w:r>
                    <w:rPr>
                      <w:szCs w:val="21"/>
                    </w:rPr>
                    <w:t>溶解性：＜</w:t>
                  </w:r>
                  <w:r>
                    <w:rPr>
                      <w:rFonts w:hint="eastAsia"/>
                      <w:szCs w:val="21"/>
                    </w:rPr>
                    <w:t>0.1g/100</w:t>
                  </w:r>
                  <w:r>
                    <w:rPr>
                      <w:szCs w:val="21"/>
                    </w:rPr>
                    <w:t>m</w:t>
                  </w:r>
                  <w:r>
                    <w:rPr>
                      <w:rFonts w:hint="eastAsia"/>
                      <w:szCs w:val="21"/>
                    </w:rPr>
                    <w:t>L</w:t>
                  </w:r>
                  <w:r>
                    <w:rPr>
                      <w:rFonts w:hint="eastAsia" w:ascii="宋体" w:hAnsi="宋体"/>
                      <w:szCs w:val="21"/>
                    </w:rPr>
                    <w:t>,</w:t>
                  </w:r>
                  <w:r>
                    <w:rPr>
                      <w:szCs w:val="21"/>
                    </w:rPr>
                    <w:t>与乙醇、乙醚混溶，溶于苯、丙酮等多种有机溶剂，不溶于水和矿物油。</w:t>
                  </w:r>
                </w:p>
              </w:tc>
              <w:tc>
                <w:tcPr>
                  <w:tcW w:w="1342" w:type="pct"/>
                  <w:vAlign w:val="center"/>
                </w:tcPr>
                <w:p w14:paraId="2B9D30DC">
                  <w:pPr>
                    <w:jc w:val="left"/>
                    <w:rPr>
                      <w:rFonts w:hAnsi="Helvetica"/>
                      <w:szCs w:val="21"/>
                    </w:rPr>
                  </w:pPr>
                  <w:r>
                    <w:rPr>
                      <w:szCs w:val="21"/>
                    </w:rPr>
                    <w:t>燃烧性：可燃，</w:t>
                  </w:r>
                  <w:r>
                    <w:rPr>
                      <w:rFonts w:ascii="Helvetica" w:hAnsi="Helvetica" w:cs="Helvetica"/>
                      <w:szCs w:val="21"/>
                    </w:rPr>
                    <w:t>遇高热、明火或与氧化剂接触，有引</w:t>
                  </w:r>
                  <w:r>
                    <w:rPr>
                      <w:rFonts w:hAnsi="Helvetica"/>
                      <w:szCs w:val="21"/>
                    </w:rPr>
                    <w:t>起燃烧的危险。</w:t>
                  </w:r>
                </w:p>
                <w:p w14:paraId="617C1494">
                  <w:pPr>
                    <w:jc w:val="left"/>
                    <w:rPr>
                      <w:rFonts w:ascii="Helvetica" w:hAnsi="Helvetica" w:cs="Helvetica"/>
                      <w:szCs w:val="21"/>
                    </w:rPr>
                  </w:pPr>
                  <w:r>
                    <w:rPr>
                      <w:rFonts w:hint="eastAsia" w:hAnsi="Helvetica"/>
                      <w:szCs w:val="21"/>
                    </w:rPr>
                    <w:t>稳定性：</w:t>
                  </w:r>
                  <w:r>
                    <w:rPr>
                      <w:rFonts w:hAnsi="Helvetica"/>
                      <w:szCs w:val="21"/>
                    </w:rPr>
                    <w:t>对空气和热稳定，在沸点附近加热</w:t>
                  </w:r>
                  <w:r>
                    <w:rPr>
                      <w:szCs w:val="21"/>
                    </w:rPr>
                    <w:t>50</w:t>
                  </w:r>
                  <w:r>
                    <w:rPr>
                      <w:rFonts w:hAnsi="Helvetica"/>
                      <w:szCs w:val="21"/>
                    </w:rPr>
                    <w:t>小时不发生分解。将邻苯二甲酸二甲酯的蒸气以</w:t>
                  </w:r>
                  <w:r>
                    <w:rPr>
                      <w:szCs w:val="21"/>
                    </w:rPr>
                    <w:t>0.4g/min</w:t>
                  </w:r>
                  <w:r>
                    <w:rPr>
                      <w:rFonts w:hAnsi="Helvetica"/>
                      <w:szCs w:val="21"/>
                    </w:rPr>
                    <w:t>的速度通过</w:t>
                  </w:r>
                  <w:r>
                    <w:rPr>
                      <w:szCs w:val="21"/>
                    </w:rPr>
                    <w:t>450℃</w:t>
                  </w:r>
                  <w:r>
                    <w:rPr>
                      <w:rFonts w:hAnsi="Helvetica"/>
                      <w:szCs w:val="21"/>
                    </w:rPr>
                    <w:t>的加热炉时，只有少量发生分解，生成物是</w:t>
                  </w:r>
                  <w:r>
                    <w:rPr>
                      <w:szCs w:val="21"/>
                    </w:rPr>
                    <w:t>4.6%</w:t>
                  </w:r>
                  <w:r>
                    <w:rPr>
                      <w:rFonts w:hAnsi="Helvetica"/>
                      <w:szCs w:val="21"/>
                    </w:rPr>
                    <w:t>水、</w:t>
                  </w:r>
                  <w:r>
                    <w:rPr>
                      <w:szCs w:val="21"/>
                    </w:rPr>
                    <w:t>28.2%</w:t>
                  </w:r>
                  <w:r>
                    <w:rPr>
                      <w:rFonts w:hAnsi="Helvetica"/>
                      <w:szCs w:val="21"/>
                    </w:rPr>
                    <w:t>苯二甲酸酐、</w:t>
                  </w:r>
                  <w:r>
                    <w:rPr>
                      <w:szCs w:val="21"/>
                    </w:rPr>
                    <w:t>51%</w:t>
                  </w:r>
                  <w:r>
                    <w:rPr>
                      <w:rFonts w:hAnsi="Helvetica"/>
                      <w:szCs w:val="21"/>
                    </w:rPr>
                    <w:t>中性物质，其余为甲醛。在同样条件下，</w:t>
                  </w:r>
                  <w:r>
                    <w:rPr>
                      <w:szCs w:val="21"/>
                    </w:rPr>
                    <w:t>608℃</w:t>
                  </w:r>
                  <w:r>
                    <w:rPr>
                      <w:rFonts w:hAnsi="Helvetica"/>
                      <w:szCs w:val="21"/>
                    </w:rPr>
                    <w:t>有</w:t>
                  </w:r>
                  <w:r>
                    <w:rPr>
                      <w:szCs w:val="21"/>
                    </w:rPr>
                    <w:t>36%</w:t>
                  </w:r>
                  <w:r>
                    <w:rPr>
                      <w:rFonts w:hAnsi="Helvetica"/>
                      <w:szCs w:val="21"/>
                    </w:rPr>
                    <w:t>、</w:t>
                  </w:r>
                  <w:r>
                    <w:rPr>
                      <w:szCs w:val="21"/>
                    </w:rPr>
                    <w:t>805℃</w:t>
                  </w:r>
                  <w:r>
                    <w:rPr>
                      <w:rFonts w:hAnsi="Helvetica"/>
                      <w:szCs w:val="21"/>
                    </w:rPr>
                    <w:t>有</w:t>
                  </w:r>
                  <w:r>
                    <w:rPr>
                      <w:szCs w:val="21"/>
                    </w:rPr>
                    <w:t>97%</w:t>
                  </w:r>
                  <w:r>
                    <w:rPr>
                      <w:rFonts w:hAnsi="Helvetica"/>
                      <w:szCs w:val="21"/>
                    </w:rPr>
                    <w:t>、</w:t>
                  </w:r>
                  <w:r>
                    <w:rPr>
                      <w:szCs w:val="21"/>
                    </w:rPr>
                    <w:t>1000℃</w:t>
                  </w:r>
                  <w:r>
                    <w:rPr>
                      <w:rFonts w:hAnsi="Helvetica"/>
                      <w:szCs w:val="21"/>
                    </w:rPr>
                    <w:t>则</w:t>
                  </w:r>
                  <w:r>
                    <w:rPr>
                      <w:szCs w:val="21"/>
                    </w:rPr>
                    <w:t>100%</w:t>
                  </w:r>
                  <w:r>
                    <w:rPr>
                      <w:rFonts w:hAnsi="Helvetica"/>
                      <w:szCs w:val="21"/>
                    </w:rPr>
                    <w:t>发生热解</w:t>
                  </w:r>
                  <w:r>
                    <w:rPr>
                      <w:rFonts w:ascii="Helvetica" w:hAnsi="Helvetica" w:cs="Helvetica"/>
                      <w:szCs w:val="21"/>
                    </w:rPr>
                    <w:t>。</w:t>
                  </w:r>
                </w:p>
                <w:p w14:paraId="7AE06D71">
                  <w:pPr>
                    <w:spacing w:line="276" w:lineRule="auto"/>
                    <w:jc w:val="left"/>
                    <w:rPr>
                      <w:szCs w:val="21"/>
                    </w:rPr>
                  </w:pPr>
                  <w:r>
                    <w:rPr>
                      <w:szCs w:val="21"/>
                    </w:rPr>
                    <w:t>燃烧产物：一氧化碳、二氧化碳。</w:t>
                  </w:r>
                </w:p>
              </w:tc>
              <w:tc>
                <w:tcPr>
                  <w:tcW w:w="892" w:type="pct"/>
                  <w:vAlign w:val="center"/>
                </w:tcPr>
                <w:p w14:paraId="4F6FF026">
                  <w:pPr>
                    <w:spacing w:line="276" w:lineRule="auto"/>
                    <w:jc w:val="center"/>
                    <w:rPr>
                      <w:szCs w:val="21"/>
                    </w:rPr>
                  </w:pPr>
                  <w:r>
                    <w:rPr>
                      <w:szCs w:val="21"/>
                    </w:rPr>
                    <w:t>LD</w:t>
                  </w:r>
                  <w:r>
                    <w:rPr>
                      <w:szCs w:val="21"/>
                      <w:vertAlign w:val="subscript"/>
                    </w:rPr>
                    <w:t>50</w:t>
                  </w:r>
                  <w:r>
                    <w:rPr>
                      <w:szCs w:val="21"/>
                    </w:rPr>
                    <w:t>：</w:t>
                  </w:r>
                  <w:r>
                    <w:rPr>
                      <w:rFonts w:hint="eastAsia"/>
                      <w:szCs w:val="21"/>
                    </w:rPr>
                    <w:t>6900</w:t>
                  </w:r>
                  <w:r>
                    <w:rPr>
                      <w:szCs w:val="21"/>
                    </w:rPr>
                    <w:t>mg/kg(</w:t>
                  </w:r>
                  <w:r>
                    <w:rPr>
                      <w:rFonts w:hint="eastAsia"/>
                      <w:szCs w:val="21"/>
                    </w:rPr>
                    <w:t>大鼠</w:t>
                  </w:r>
                  <w:r>
                    <w:rPr>
                      <w:szCs w:val="21"/>
                    </w:rPr>
                    <w:t>经口)，7200mg</w:t>
                  </w:r>
                  <w:r>
                    <w:rPr>
                      <w:rFonts w:hint="eastAsia"/>
                      <w:szCs w:val="21"/>
                    </w:rPr>
                    <w:t>/</w:t>
                  </w:r>
                  <w:r>
                    <w:rPr>
                      <w:szCs w:val="21"/>
                    </w:rPr>
                    <w:t>kg(小鼠经口)。</w:t>
                  </w:r>
                </w:p>
              </w:tc>
            </w:tr>
            <w:tr w14:paraId="70616A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3" w:type="pct"/>
                  <w:vAlign w:val="center"/>
                </w:tcPr>
                <w:p w14:paraId="5EA8C509">
                  <w:pPr>
                    <w:spacing w:line="276" w:lineRule="auto"/>
                    <w:jc w:val="center"/>
                    <w:rPr>
                      <w:szCs w:val="21"/>
                    </w:rPr>
                  </w:pPr>
                  <w:r>
                    <w:rPr>
                      <w:rFonts w:hint="eastAsia"/>
                      <w:szCs w:val="21"/>
                    </w:rPr>
                    <w:t>2</w:t>
                  </w:r>
                </w:p>
              </w:tc>
              <w:tc>
                <w:tcPr>
                  <w:tcW w:w="1042" w:type="pct"/>
                  <w:vAlign w:val="center"/>
                </w:tcPr>
                <w:p w14:paraId="5D361B98">
                  <w:pPr>
                    <w:spacing w:line="276" w:lineRule="auto"/>
                    <w:jc w:val="center"/>
                    <w:rPr>
                      <w:szCs w:val="21"/>
                    </w:rPr>
                  </w:pPr>
                  <w:r>
                    <w:rPr>
                      <w:szCs w:val="21"/>
                    </w:rPr>
                    <w:t>双草酸酯（C</w:t>
                  </w:r>
                  <w:r>
                    <w:rPr>
                      <w:rFonts w:hint="eastAsia"/>
                      <w:szCs w:val="21"/>
                      <w:vertAlign w:val="subscript"/>
                    </w:rPr>
                    <w:t>26</w:t>
                  </w:r>
                  <w:r>
                    <w:rPr>
                      <w:szCs w:val="21"/>
                    </w:rPr>
                    <w:t>H</w:t>
                  </w:r>
                  <w:r>
                    <w:rPr>
                      <w:rFonts w:hint="eastAsia"/>
                      <w:szCs w:val="21"/>
                      <w:vertAlign w:val="subscript"/>
                    </w:rPr>
                    <w:t>24</w:t>
                  </w:r>
                  <w:r>
                    <w:rPr>
                      <w:rFonts w:hint="eastAsia"/>
                      <w:szCs w:val="21"/>
                    </w:rPr>
                    <w:t>Cl</w:t>
                  </w:r>
                  <w:r>
                    <w:rPr>
                      <w:rFonts w:hint="eastAsia"/>
                      <w:szCs w:val="21"/>
                      <w:vertAlign w:val="subscript"/>
                    </w:rPr>
                    <w:t>6</w:t>
                  </w:r>
                  <w:r>
                    <w:rPr>
                      <w:szCs w:val="21"/>
                    </w:rPr>
                    <w:t>O</w:t>
                  </w:r>
                  <w:r>
                    <w:rPr>
                      <w:rFonts w:hint="eastAsia"/>
                      <w:szCs w:val="21"/>
                      <w:vertAlign w:val="subscript"/>
                    </w:rPr>
                    <w:t>8</w:t>
                  </w:r>
                  <w:r>
                    <w:rPr>
                      <w:szCs w:val="21"/>
                    </w:rPr>
                    <w:t>）</w:t>
                  </w:r>
                </w:p>
              </w:tc>
              <w:tc>
                <w:tcPr>
                  <w:tcW w:w="1461" w:type="pct"/>
                  <w:vAlign w:val="center"/>
                </w:tcPr>
                <w:p w14:paraId="6C3B7C3A">
                  <w:pPr>
                    <w:spacing w:line="276" w:lineRule="auto"/>
                    <w:jc w:val="left"/>
                    <w:rPr>
                      <w:szCs w:val="21"/>
                    </w:rPr>
                  </w:pPr>
                  <w:r>
                    <w:rPr>
                      <w:rFonts w:hint="eastAsia"/>
                      <w:szCs w:val="21"/>
                    </w:rPr>
                    <w:t>相对密度：1.434g/cm</w:t>
                  </w:r>
                  <w:r>
                    <w:rPr>
                      <w:rFonts w:hint="eastAsia"/>
                      <w:szCs w:val="21"/>
                      <w:vertAlign w:val="superscript"/>
                    </w:rPr>
                    <w:t>3</w:t>
                  </w:r>
                </w:p>
                <w:p w14:paraId="4B7A4B06">
                  <w:pPr>
                    <w:spacing w:line="276" w:lineRule="auto"/>
                    <w:jc w:val="left"/>
                    <w:rPr>
                      <w:szCs w:val="21"/>
                    </w:rPr>
                  </w:pPr>
                  <w:r>
                    <w:rPr>
                      <w:rFonts w:hint="eastAsia"/>
                      <w:szCs w:val="21"/>
                    </w:rPr>
                    <w:t>蒸气压（2</w:t>
                  </w:r>
                  <w:r>
                    <w:rPr>
                      <w:szCs w:val="21"/>
                    </w:rPr>
                    <w:t>5</w:t>
                  </w:r>
                  <w:r>
                    <w:rPr>
                      <w:rFonts w:hint="eastAsia"/>
                      <w:szCs w:val="21"/>
                    </w:rPr>
                    <w:t>℃）：</w:t>
                  </w:r>
                  <w:r>
                    <w:rPr>
                      <w:rFonts w:hint="eastAsia"/>
                      <w:shd w:val="clear" w:color="auto" w:fill="FFFFFF"/>
                    </w:rPr>
                    <w:t>7.03×</w:t>
                  </w:r>
                  <w:r>
                    <w:rPr>
                      <w:shd w:val="clear" w:color="auto" w:fill="FFFFFF"/>
                    </w:rPr>
                    <w:t>10</w:t>
                  </w:r>
                  <w:r>
                    <w:rPr>
                      <w:shd w:val="clear" w:color="auto" w:fill="FFFFFF"/>
                      <w:vertAlign w:val="superscript"/>
                    </w:rPr>
                    <w:t>-</w:t>
                  </w:r>
                  <w:r>
                    <w:rPr>
                      <w:rFonts w:hint="eastAsia"/>
                      <w:shd w:val="clear" w:color="auto" w:fill="FFFFFF"/>
                      <w:vertAlign w:val="superscript"/>
                    </w:rPr>
                    <w:t>20</w:t>
                  </w:r>
                  <w:r>
                    <w:rPr>
                      <w:shd w:val="clear" w:color="auto" w:fill="FFFFFF"/>
                    </w:rPr>
                    <w:t>k</w:t>
                  </w:r>
                  <w:r>
                    <w:rPr>
                      <w:rFonts w:hint="eastAsia"/>
                      <w:shd w:val="clear" w:color="auto" w:fill="FFFFFF"/>
                    </w:rPr>
                    <w:t>Pa</w:t>
                  </w:r>
                </w:p>
                <w:p w14:paraId="251F250B">
                  <w:pPr>
                    <w:spacing w:line="276" w:lineRule="auto"/>
                    <w:jc w:val="left"/>
                    <w:rPr>
                      <w:szCs w:val="21"/>
                    </w:rPr>
                  </w:pPr>
                  <w:r>
                    <w:rPr>
                      <w:szCs w:val="21"/>
                    </w:rPr>
                    <w:t>熔点：</w:t>
                  </w:r>
                  <w:r>
                    <w:rPr>
                      <w:rFonts w:hint="eastAsia"/>
                      <w:szCs w:val="21"/>
                    </w:rPr>
                    <w:t>83</w:t>
                  </w:r>
                  <w:r>
                    <w:rPr>
                      <w:szCs w:val="21"/>
                    </w:rPr>
                    <w:t>℃</w:t>
                  </w:r>
                </w:p>
                <w:p w14:paraId="72142DEC">
                  <w:pPr>
                    <w:spacing w:line="276" w:lineRule="auto"/>
                    <w:jc w:val="left"/>
                    <w:rPr>
                      <w:szCs w:val="21"/>
                    </w:rPr>
                  </w:pPr>
                  <w:r>
                    <w:rPr>
                      <w:szCs w:val="21"/>
                    </w:rPr>
                    <w:t>沸点：</w:t>
                  </w:r>
                  <w:r>
                    <w:rPr>
                      <w:rFonts w:hint="eastAsia"/>
                      <w:szCs w:val="21"/>
                    </w:rPr>
                    <w:t>692.1±55.0</w:t>
                  </w:r>
                  <w:r>
                    <w:rPr>
                      <w:szCs w:val="21"/>
                    </w:rPr>
                    <w:t>℃</w:t>
                  </w:r>
                </w:p>
                <w:p w14:paraId="22E6769C">
                  <w:pPr>
                    <w:spacing w:line="276" w:lineRule="auto"/>
                    <w:jc w:val="left"/>
                    <w:rPr>
                      <w:szCs w:val="21"/>
                    </w:rPr>
                  </w:pPr>
                  <w:r>
                    <w:rPr>
                      <w:szCs w:val="21"/>
                    </w:rPr>
                    <w:t>闪点：</w:t>
                  </w:r>
                  <w:r>
                    <w:rPr>
                      <w:rFonts w:hint="eastAsia"/>
                      <w:szCs w:val="21"/>
                    </w:rPr>
                    <w:t>202.4</w:t>
                  </w:r>
                  <w:r>
                    <w:rPr>
                      <w:szCs w:val="21"/>
                    </w:rPr>
                    <w:t>℃</w:t>
                  </w:r>
                </w:p>
                <w:p w14:paraId="42B2A275">
                  <w:pPr>
                    <w:spacing w:line="276" w:lineRule="auto"/>
                    <w:jc w:val="left"/>
                    <w:rPr>
                      <w:szCs w:val="21"/>
                    </w:rPr>
                  </w:pPr>
                  <w:r>
                    <w:rPr>
                      <w:rFonts w:hint="eastAsia"/>
                      <w:szCs w:val="21"/>
                    </w:rPr>
                    <w:t>折射率：1.565</w:t>
                  </w:r>
                </w:p>
                <w:p w14:paraId="17F957B1">
                  <w:pPr>
                    <w:spacing w:line="276" w:lineRule="auto"/>
                    <w:jc w:val="left"/>
                    <w:rPr>
                      <w:szCs w:val="21"/>
                    </w:rPr>
                  </w:pPr>
                  <w:r>
                    <w:rPr>
                      <w:rFonts w:hint="eastAsia"/>
                      <w:szCs w:val="21"/>
                    </w:rPr>
                    <w:t>水溶性：不溶于水，易溶于有机溶剂。</w:t>
                  </w:r>
                </w:p>
              </w:tc>
              <w:tc>
                <w:tcPr>
                  <w:tcW w:w="1342" w:type="pct"/>
                  <w:vAlign w:val="center"/>
                </w:tcPr>
                <w:p w14:paraId="3238B29D">
                  <w:pPr>
                    <w:spacing w:line="276" w:lineRule="auto"/>
                    <w:jc w:val="left"/>
                    <w:rPr>
                      <w:szCs w:val="21"/>
                    </w:rPr>
                  </w:pPr>
                  <w:r>
                    <w:rPr>
                      <w:szCs w:val="21"/>
                    </w:rPr>
                    <w:t>基本上无热效应，化学性质相对稳定在合适的荧光剂协同作用下量子效率高。</w:t>
                  </w:r>
                </w:p>
              </w:tc>
              <w:tc>
                <w:tcPr>
                  <w:tcW w:w="892" w:type="pct"/>
                  <w:vAlign w:val="center"/>
                </w:tcPr>
                <w:p w14:paraId="5D6987BC">
                  <w:pPr>
                    <w:spacing w:line="276" w:lineRule="auto"/>
                    <w:jc w:val="center"/>
                    <w:rPr>
                      <w:szCs w:val="21"/>
                    </w:rPr>
                  </w:pPr>
                  <w:r>
                    <w:rPr>
                      <w:rFonts w:hint="eastAsia"/>
                      <w:szCs w:val="21"/>
                    </w:rPr>
                    <w:t>/</w:t>
                  </w:r>
                </w:p>
              </w:tc>
            </w:tr>
            <w:tr w14:paraId="711327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3" w:type="pct"/>
                  <w:vAlign w:val="center"/>
                </w:tcPr>
                <w:p w14:paraId="7AFDD654">
                  <w:pPr>
                    <w:spacing w:line="276" w:lineRule="auto"/>
                    <w:jc w:val="center"/>
                    <w:rPr>
                      <w:szCs w:val="21"/>
                    </w:rPr>
                  </w:pPr>
                  <w:r>
                    <w:rPr>
                      <w:rFonts w:hint="eastAsia"/>
                      <w:szCs w:val="21"/>
                    </w:rPr>
                    <w:t>3</w:t>
                  </w:r>
                </w:p>
              </w:tc>
              <w:tc>
                <w:tcPr>
                  <w:tcW w:w="1042" w:type="pct"/>
                  <w:vAlign w:val="center"/>
                </w:tcPr>
                <w:p w14:paraId="71483304">
                  <w:pPr>
                    <w:spacing w:line="276" w:lineRule="auto"/>
                    <w:jc w:val="center"/>
                    <w:rPr>
                      <w:szCs w:val="21"/>
                    </w:rPr>
                  </w:pPr>
                  <w:r>
                    <w:rPr>
                      <w:szCs w:val="21"/>
                    </w:rPr>
                    <w:t>双氧水</w:t>
                  </w:r>
                </w:p>
                <w:p w14:paraId="62826663">
                  <w:pPr>
                    <w:spacing w:line="276" w:lineRule="auto"/>
                    <w:jc w:val="center"/>
                    <w:rPr>
                      <w:szCs w:val="21"/>
                    </w:rPr>
                  </w:pPr>
                  <w:r>
                    <w:rPr>
                      <w:szCs w:val="21"/>
                    </w:rPr>
                    <w:t>（</w:t>
                  </w:r>
                  <w:r>
                    <w:rPr>
                      <w:rFonts w:hint="eastAsia"/>
                      <w:szCs w:val="21"/>
                    </w:rPr>
                    <w:t>H</w:t>
                  </w:r>
                  <w:r>
                    <w:rPr>
                      <w:rFonts w:hint="eastAsia"/>
                      <w:szCs w:val="21"/>
                      <w:vertAlign w:val="subscript"/>
                    </w:rPr>
                    <w:t>2</w:t>
                  </w:r>
                  <w:r>
                    <w:rPr>
                      <w:rFonts w:hint="eastAsia"/>
                      <w:szCs w:val="21"/>
                    </w:rPr>
                    <w:t>O</w:t>
                  </w:r>
                  <w:r>
                    <w:rPr>
                      <w:rFonts w:hint="eastAsia"/>
                      <w:szCs w:val="21"/>
                      <w:vertAlign w:val="subscript"/>
                    </w:rPr>
                    <w:t>2</w:t>
                  </w:r>
                  <w:r>
                    <w:rPr>
                      <w:szCs w:val="21"/>
                    </w:rPr>
                    <w:t>）</w:t>
                  </w:r>
                </w:p>
              </w:tc>
              <w:tc>
                <w:tcPr>
                  <w:tcW w:w="1461" w:type="pct"/>
                  <w:vAlign w:val="center"/>
                </w:tcPr>
                <w:p w14:paraId="1D02A10E">
                  <w:pPr>
                    <w:spacing w:line="276" w:lineRule="auto"/>
                    <w:jc w:val="left"/>
                    <w:rPr>
                      <w:szCs w:val="21"/>
                    </w:rPr>
                  </w:pPr>
                  <w:r>
                    <w:rPr>
                      <w:szCs w:val="21"/>
                    </w:rPr>
                    <w:t>无色透明液体</w:t>
                  </w:r>
                </w:p>
                <w:p w14:paraId="28AAEFEE">
                  <w:pPr>
                    <w:spacing w:line="276" w:lineRule="auto"/>
                    <w:jc w:val="left"/>
                    <w:rPr>
                      <w:szCs w:val="21"/>
                    </w:rPr>
                  </w:pPr>
                  <w:r>
                    <w:rPr>
                      <w:szCs w:val="21"/>
                    </w:rPr>
                    <w:t>相对密度：</w:t>
                  </w:r>
                  <w:r>
                    <w:rPr>
                      <w:rFonts w:hint="eastAsia"/>
                      <w:szCs w:val="21"/>
                    </w:rPr>
                    <w:t>1.4067</w:t>
                  </w:r>
                </w:p>
                <w:p w14:paraId="429DC286">
                  <w:pPr>
                    <w:spacing w:line="276" w:lineRule="auto"/>
                    <w:jc w:val="left"/>
                    <w:rPr>
                      <w:szCs w:val="21"/>
                    </w:rPr>
                  </w:pPr>
                  <w:r>
                    <w:rPr>
                      <w:rFonts w:hint="eastAsia"/>
                      <w:szCs w:val="21"/>
                    </w:rPr>
                    <w:t>密度：1.444g/cm</w:t>
                  </w:r>
                  <w:r>
                    <w:rPr>
                      <w:rFonts w:hint="eastAsia"/>
                      <w:szCs w:val="21"/>
                      <w:vertAlign w:val="superscript"/>
                    </w:rPr>
                    <w:t>3</w:t>
                  </w:r>
                </w:p>
                <w:p w14:paraId="4742F607">
                  <w:pPr>
                    <w:spacing w:line="276" w:lineRule="auto"/>
                    <w:jc w:val="left"/>
                    <w:rPr>
                      <w:szCs w:val="21"/>
                    </w:rPr>
                  </w:pPr>
                  <w:r>
                    <w:rPr>
                      <w:szCs w:val="21"/>
                    </w:rPr>
                    <w:t>熔点：</w:t>
                  </w:r>
                  <w:r>
                    <w:rPr>
                      <w:rFonts w:hint="eastAsia"/>
                      <w:szCs w:val="21"/>
                    </w:rPr>
                    <w:t>-0.41</w:t>
                  </w:r>
                  <w:r>
                    <w:rPr>
                      <w:szCs w:val="21"/>
                    </w:rPr>
                    <w:t>℃</w:t>
                  </w:r>
                </w:p>
                <w:p w14:paraId="6EC37F69">
                  <w:pPr>
                    <w:spacing w:line="276" w:lineRule="auto"/>
                    <w:jc w:val="left"/>
                    <w:rPr>
                      <w:szCs w:val="21"/>
                    </w:rPr>
                  </w:pPr>
                  <w:r>
                    <w:rPr>
                      <w:szCs w:val="21"/>
                    </w:rPr>
                    <w:t>沸点：</w:t>
                  </w:r>
                  <w:r>
                    <w:rPr>
                      <w:rFonts w:hint="eastAsia"/>
                      <w:szCs w:val="21"/>
                    </w:rPr>
                    <w:t>150.2</w:t>
                  </w:r>
                  <w:r>
                    <w:rPr>
                      <w:szCs w:val="21"/>
                    </w:rPr>
                    <w:t>℃</w:t>
                  </w:r>
                </w:p>
                <w:p w14:paraId="0886EB05">
                  <w:pPr>
                    <w:spacing w:line="276" w:lineRule="auto"/>
                    <w:jc w:val="left"/>
                    <w:rPr>
                      <w:szCs w:val="21"/>
                    </w:rPr>
                  </w:pPr>
                  <w:r>
                    <w:rPr>
                      <w:rFonts w:hint="eastAsia"/>
                      <w:szCs w:val="21"/>
                    </w:rPr>
                    <w:t>折射率：1.353</w:t>
                  </w:r>
                </w:p>
                <w:p w14:paraId="2E968B1E">
                  <w:pPr>
                    <w:spacing w:line="276" w:lineRule="auto"/>
                    <w:jc w:val="left"/>
                    <w:rPr>
                      <w:szCs w:val="21"/>
                    </w:rPr>
                  </w:pPr>
                  <w:r>
                    <w:rPr>
                      <w:szCs w:val="21"/>
                    </w:rPr>
                    <w:t>溶解性：溶于水、醇、乙醚，不溶于石油醚。</w:t>
                  </w:r>
                </w:p>
              </w:tc>
              <w:tc>
                <w:tcPr>
                  <w:tcW w:w="1342" w:type="pct"/>
                  <w:vAlign w:val="center"/>
                </w:tcPr>
                <w:p w14:paraId="335739DA">
                  <w:pPr>
                    <w:spacing w:line="276" w:lineRule="auto"/>
                    <w:jc w:val="left"/>
                    <w:rPr>
                      <w:szCs w:val="21"/>
                    </w:rPr>
                  </w:pPr>
                  <w:r>
                    <w:rPr>
                      <w:szCs w:val="21"/>
                    </w:rPr>
                    <w:t>燃烧性：过氧化氢市极弱的酸，是强氧化剂，浓度低于86%的工业过氧化氢，只要条件符合要求，在常温下是不会爆炸的。浓度高于86%的产品，也只有存在高能引发源时才能发生爆炸。</w:t>
                  </w:r>
                </w:p>
              </w:tc>
              <w:tc>
                <w:tcPr>
                  <w:tcW w:w="892" w:type="pct"/>
                  <w:vAlign w:val="center"/>
                </w:tcPr>
                <w:p w14:paraId="48F6BCC8">
                  <w:pPr>
                    <w:spacing w:line="276" w:lineRule="auto"/>
                    <w:jc w:val="center"/>
                    <w:rPr>
                      <w:szCs w:val="21"/>
                    </w:rPr>
                  </w:pPr>
                  <w:r>
                    <w:rPr>
                      <w:szCs w:val="21"/>
                    </w:rPr>
                    <w:t>含量在50mg/kg以上的气能强烈刺激眼睛和黏膜，并驯起呼吸器官障碍。人体在过氧化氢蒸气中短时间曝露的浓度界限为75mg/kg，超过lOOmg/kg时则有生命危险。</w:t>
                  </w:r>
                </w:p>
              </w:tc>
            </w:tr>
            <w:tr w14:paraId="5DAB4A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3" w:type="pct"/>
                  <w:vAlign w:val="center"/>
                </w:tcPr>
                <w:p w14:paraId="71A9372D">
                  <w:pPr>
                    <w:spacing w:line="276" w:lineRule="auto"/>
                    <w:jc w:val="center"/>
                    <w:rPr>
                      <w:szCs w:val="21"/>
                    </w:rPr>
                  </w:pPr>
                  <w:r>
                    <w:rPr>
                      <w:rFonts w:hint="eastAsia"/>
                      <w:szCs w:val="21"/>
                    </w:rPr>
                    <w:t>4</w:t>
                  </w:r>
                </w:p>
              </w:tc>
              <w:tc>
                <w:tcPr>
                  <w:tcW w:w="1042" w:type="pct"/>
                  <w:vAlign w:val="center"/>
                </w:tcPr>
                <w:p w14:paraId="76AF560D">
                  <w:pPr>
                    <w:spacing w:line="276" w:lineRule="auto"/>
                    <w:jc w:val="center"/>
                    <w:rPr>
                      <w:szCs w:val="21"/>
                    </w:rPr>
                  </w:pPr>
                  <w:r>
                    <w:rPr>
                      <w:szCs w:val="21"/>
                    </w:rPr>
                    <w:t>乙醇（C</w:t>
                  </w:r>
                  <w:r>
                    <w:rPr>
                      <w:szCs w:val="21"/>
                      <w:vertAlign w:val="subscript"/>
                    </w:rPr>
                    <w:t>6</w:t>
                  </w:r>
                  <w:r>
                    <w:rPr>
                      <w:szCs w:val="21"/>
                    </w:rPr>
                    <w:t>H</w:t>
                  </w:r>
                  <w:r>
                    <w:rPr>
                      <w:szCs w:val="21"/>
                      <w:vertAlign w:val="subscript"/>
                    </w:rPr>
                    <w:t>12</w:t>
                  </w:r>
                  <w:r>
                    <w:rPr>
                      <w:szCs w:val="21"/>
                    </w:rPr>
                    <w:t>O</w:t>
                  </w:r>
                  <w:r>
                    <w:rPr>
                      <w:szCs w:val="21"/>
                      <w:vertAlign w:val="subscript"/>
                    </w:rPr>
                    <w:t>2</w:t>
                  </w:r>
                  <w:r>
                    <w:rPr>
                      <w:szCs w:val="21"/>
                    </w:rPr>
                    <w:t>）</w:t>
                  </w:r>
                </w:p>
              </w:tc>
              <w:tc>
                <w:tcPr>
                  <w:tcW w:w="1461" w:type="pct"/>
                  <w:vAlign w:val="center"/>
                </w:tcPr>
                <w:p w14:paraId="2BFFA977">
                  <w:pPr>
                    <w:spacing w:line="276" w:lineRule="auto"/>
                    <w:jc w:val="left"/>
                    <w:rPr>
                      <w:szCs w:val="21"/>
                    </w:rPr>
                  </w:pPr>
                  <w:r>
                    <w:rPr>
                      <w:szCs w:val="21"/>
                    </w:rPr>
                    <w:t>无色透明液体，有酒香。</w:t>
                  </w:r>
                </w:p>
                <w:p w14:paraId="03F15289">
                  <w:pPr>
                    <w:spacing w:line="276" w:lineRule="auto"/>
                    <w:jc w:val="left"/>
                    <w:rPr>
                      <w:szCs w:val="21"/>
                    </w:rPr>
                  </w:pPr>
                  <w:r>
                    <w:rPr>
                      <w:szCs w:val="21"/>
                    </w:rPr>
                    <w:t>相对密度：</w:t>
                  </w:r>
                  <w:r>
                    <w:rPr>
                      <w:rFonts w:hint="eastAsia"/>
                      <w:szCs w:val="21"/>
                    </w:rPr>
                    <w:t>0.79</w:t>
                  </w:r>
                </w:p>
                <w:p w14:paraId="35F60703">
                  <w:pPr>
                    <w:spacing w:line="276" w:lineRule="auto"/>
                    <w:jc w:val="left"/>
                    <w:rPr>
                      <w:szCs w:val="21"/>
                    </w:rPr>
                  </w:pPr>
                  <w:r>
                    <w:rPr>
                      <w:szCs w:val="21"/>
                    </w:rPr>
                    <w:t>相对蒸气密度：</w:t>
                  </w:r>
                  <w:r>
                    <w:rPr>
                      <w:rFonts w:hint="eastAsia"/>
                      <w:szCs w:val="21"/>
                    </w:rPr>
                    <w:t>1.59</w:t>
                  </w:r>
                </w:p>
                <w:p w14:paraId="1FFD999E">
                  <w:pPr>
                    <w:spacing w:line="276" w:lineRule="auto"/>
                    <w:jc w:val="left"/>
                    <w:rPr>
                      <w:szCs w:val="21"/>
                    </w:rPr>
                  </w:pPr>
                  <w:r>
                    <w:rPr>
                      <w:szCs w:val="21"/>
                    </w:rPr>
                    <w:t>熔点：</w:t>
                  </w:r>
                  <w:r>
                    <w:rPr>
                      <w:rFonts w:hint="eastAsia"/>
                      <w:szCs w:val="21"/>
                    </w:rPr>
                    <w:t>-114.1</w:t>
                  </w:r>
                  <w:r>
                    <w:rPr>
                      <w:szCs w:val="21"/>
                    </w:rPr>
                    <w:t>℃</w:t>
                  </w:r>
                </w:p>
                <w:p w14:paraId="16949F3D">
                  <w:pPr>
                    <w:spacing w:line="276" w:lineRule="auto"/>
                    <w:jc w:val="left"/>
                    <w:rPr>
                      <w:szCs w:val="21"/>
                    </w:rPr>
                  </w:pPr>
                  <w:r>
                    <w:rPr>
                      <w:szCs w:val="21"/>
                    </w:rPr>
                    <w:t>引燃温度：</w:t>
                  </w:r>
                  <w:r>
                    <w:rPr>
                      <w:rFonts w:hint="eastAsia"/>
                      <w:szCs w:val="21"/>
                    </w:rPr>
                    <w:t>363</w:t>
                  </w:r>
                  <w:r>
                    <w:rPr>
                      <w:szCs w:val="21"/>
                    </w:rPr>
                    <w:t>°C</w:t>
                  </w:r>
                </w:p>
                <w:p w14:paraId="089248B5">
                  <w:pPr>
                    <w:spacing w:line="276" w:lineRule="auto"/>
                    <w:jc w:val="left"/>
                    <w:rPr>
                      <w:szCs w:val="21"/>
                    </w:rPr>
                  </w:pPr>
                  <w:r>
                    <w:rPr>
                      <w:szCs w:val="21"/>
                    </w:rPr>
                    <w:t>沸点：</w:t>
                  </w:r>
                  <w:r>
                    <w:rPr>
                      <w:rFonts w:hint="eastAsia"/>
                      <w:szCs w:val="21"/>
                    </w:rPr>
                    <w:t>78.3</w:t>
                  </w:r>
                  <w:r>
                    <w:rPr>
                      <w:szCs w:val="21"/>
                    </w:rPr>
                    <w:t>℃</w:t>
                  </w:r>
                </w:p>
                <w:p w14:paraId="30B3382A">
                  <w:pPr>
                    <w:spacing w:line="276" w:lineRule="auto"/>
                    <w:jc w:val="left"/>
                    <w:rPr>
                      <w:szCs w:val="21"/>
                    </w:rPr>
                  </w:pPr>
                  <w:r>
                    <w:rPr>
                      <w:szCs w:val="21"/>
                    </w:rPr>
                    <w:t>闪点：</w:t>
                  </w:r>
                  <w:r>
                    <w:rPr>
                      <w:rFonts w:hint="eastAsia"/>
                      <w:szCs w:val="21"/>
                    </w:rPr>
                    <w:t>12</w:t>
                  </w:r>
                  <w:r>
                    <w:rPr>
                      <w:szCs w:val="21"/>
                    </w:rPr>
                    <w:t>℃</w:t>
                  </w:r>
                </w:p>
                <w:p w14:paraId="28425EC0">
                  <w:pPr>
                    <w:spacing w:line="276" w:lineRule="auto"/>
                    <w:jc w:val="left"/>
                    <w:rPr>
                      <w:szCs w:val="21"/>
                    </w:rPr>
                  </w:pPr>
                  <w:r>
                    <w:rPr>
                      <w:szCs w:val="21"/>
                    </w:rPr>
                    <w:t>爆炸极限：</w:t>
                  </w:r>
                  <w:r>
                    <w:rPr>
                      <w:rFonts w:hint="eastAsia"/>
                      <w:szCs w:val="21"/>
                    </w:rPr>
                    <w:t>19</w:t>
                  </w:r>
                  <w:r>
                    <w:rPr>
                      <w:szCs w:val="21"/>
                    </w:rPr>
                    <w:t>%</w:t>
                  </w:r>
                </w:p>
                <w:p w14:paraId="6428487B">
                  <w:pPr>
                    <w:spacing w:line="276" w:lineRule="auto"/>
                    <w:jc w:val="left"/>
                    <w:rPr>
                      <w:szCs w:val="21"/>
                    </w:rPr>
                  </w:pPr>
                  <w:r>
                    <w:rPr>
                      <w:szCs w:val="21"/>
                    </w:rPr>
                    <w:t>溶解性：与水混溶，可混溶于醚、氯仿、甘油等多数有机溶剂。</w:t>
                  </w:r>
                </w:p>
              </w:tc>
              <w:tc>
                <w:tcPr>
                  <w:tcW w:w="1342" w:type="pct"/>
                  <w:vAlign w:val="center"/>
                </w:tcPr>
                <w:p w14:paraId="6A99DAF9">
                  <w:pPr>
                    <w:spacing w:line="276" w:lineRule="auto"/>
                    <w:jc w:val="left"/>
                    <w:rPr>
                      <w:szCs w:val="21"/>
                    </w:rPr>
                  </w:pPr>
                  <w:r>
                    <w:rPr>
                      <w:szCs w:val="21"/>
                    </w:rPr>
                    <w:t>燃烧性：易燃，其蒸气与空气可形成爆炸性混合物，遇明火、高热能引起燃烧爆炸。与氧化剂接触发生化学反应或引起燃烧。在火场中，受热的容器有爆炸危险。其蒸气比空气重，能在较低处扩散到相当远的地方，遇火源会着火回燃。</w:t>
                  </w:r>
                </w:p>
                <w:p w14:paraId="3F7C6D5E">
                  <w:pPr>
                    <w:spacing w:line="276" w:lineRule="auto"/>
                    <w:jc w:val="left"/>
                    <w:rPr>
                      <w:szCs w:val="21"/>
                    </w:rPr>
                  </w:pPr>
                  <w:r>
                    <w:rPr>
                      <w:szCs w:val="21"/>
                    </w:rPr>
                    <w:t>稳定性：稳定</w:t>
                  </w:r>
                </w:p>
                <w:p w14:paraId="2D93BD2C">
                  <w:pPr>
                    <w:spacing w:line="276" w:lineRule="auto"/>
                    <w:jc w:val="left"/>
                    <w:rPr>
                      <w:szCs w:val="21"/>
                    </w:rPr>
                  </w:pPr>
                  <w:r>
                    <w:rPr>
                      <w:szCs w:val="21"/>
                    </w:rPr>
                    <w:t>燃烧产物：一氧化碳、二氧化碳。</w:t>
                  </w:r>
                </w:p>
              </w:tc>
              <w:tc>
                <w:tcPr>
                  <w:tcW w:w="892" w:type="pct"/>
                  <w:vAlign w:val="center"/>
                </w:tcPr>
                <w:p w14:paraId="24628812">
                  <w:pPr>
                    <w:spacing w:line="276" w:lineRule="auto"/>
                    <w:jc w:val="center"/>
                    <w:rPr>
                      <w:szCs w:val="21"/>
                    </w:rPr>
                  </w:pPr>
                  <w:r>
                    <w:rPr>
                      <w:szCs w:val="21"/>
                    </w:rPr>
                    <w:t>LD</w:t>
                  </w:r>
                  <w:r>
                    <w:rPr>
                      <w:szCs w:val="21"/>
                      <w:vertAlign w:val="subscript"/>
                    </w:rPr>
                    <w:t>50</w:t>
                  </w:r>
                  <w:r>
                    <w:rPr>
                      <w:szCs w:val="21"/>
                    </w:rPr>
                    <w:t>：7060mg/kg(兔经口)；7430mg/kg(兔经皮)</w:t>
                  </w:r>
                </w:p>
              </w:tc>
            </w:tr>
            <w:tr w14:paraId="2ABBBE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63" w:type="pct"/>
                  <w:vAlign w:val="center"/>
                </w:tcPr>
                <w:p w14:paraId="423D9A0B">
                  <w:pPr>
                    <w:spacing w:line="276" w:lineRule="auto"/>
                    <w:jc w:val="center"/>
                    <w:rPr>
                      <w:szCs w:val="21"/>
                    </w:rPr>
                  </w:pPr>
                  <w:r>
                    <w:rPr>
                      <w:rFonts w:hint="eastAsia"/>
                      <w:szCs w:val="21"/>
                    </w:rPr>
                    <w:t>5</w:t>
                  </w:r>
                </w:p>
              </w:tc>
              <w:tc>
                <w:tcPr>
                  <w:tcW w:w="1042" w:type="pct"/>
                  <w:vAlign w:val="center"/>
                </w:tcPr>
                <w:p w14:paraId="519F1F96">
                  <w:pPr>
                    <w:spacing w:line="276" w:lineRule="auto"/>
                    <w:jc w:val="center"/>
                    <w:rPr>
                      <w:szCs w:val="21"/>
                    </w:rPr>
                  </w:pPr>
                  <w:r>
                    <w:rPr>
                      <w:szCs w:val="21"/>
                    </w:rPr>
                    <w:t>液化天然气</w:t>
                  </w:r>
                </w:p>
                <w:p w14:paraId="5D3B5D25">
                  <w:pPr>
                    <w:spacing w:line="276" w:lineRule="auto"/>
                    <w:jc w:val="center"/>
                    <w:rPr>
                      <w:szCs w:val="21"/>
                    </w:rPr>
                  </w:pPr>
                  <w:r>
                    <w:rPr>
                      <w:szCs w:val="21"/>
                    </w:rPr>
                    <w:t>（以甲烷为主）</w:t>
                  </w:r>
                </w:p>
              </w:tc>
              <w:tc>
                <w:tcPr>
                  <w:tcW w:w="1461" w:type="pct"/>
                  <w:vAlign w:val="center"/>
                </w:tcPr>
                <w:p w14:paraId="0AF780C1">
                  <w:pPr>
                    <w:spacing w:line="276" w:lineRule="auto"/>
                    <w:jc w:val="left"/>
                    <w:rPr>
                      <w:szCs w:val="21"/>
                    </w:rPr>
                  </w:pPr>
                  <w:r>
                    <w:rPr>
                      <w:szCs w:val="21"/>
                    </w:rPr>
                    <w:t>无色、无味、液体</w:t>
                  </w:r>
                </w:p>
                <w:p w14:paraId="0B0BC218">
                  <w:pPr>
                    <w:spacing w:line="276" w:lineRule="auto"/>
                    <w:jc w:val="left"/>
                    <w:rPr>
                      <w:szCs w:val="21"/>
                    </w:rPr>
                  </w:pPr>
                  <w:r>
                    <w:rPr>
                      <w:szCs w:val="21"/>
                    </w:rPr>
                    <w:t>相对密度（水</w:t>
                  </w:r>
                  <w:r>
                    <w:rPr>
                      <w:rFonts w:hint="eastAsia"/>
                      <w:szCs w:val="21"/>
                    </w:rPr>
                    <w:t>=1</w:t>
                  </w:r>
                  <w:r>
                    <w:rPr>
                      <w:szCs w:val="21"/>
                    </w:rPr>
                    <w:t>）：</w:t>
                  </w:r>
                  <w:r>
                    <w:rPr>
                      <w:rFonts w:hint="eastAsia"/>
                      <w:szCs w:val="21"/>
                    </w:rPr>
                    <w:t>0.42（-164℃）</w:t>
                  </w:r>
                </w:p>
                <w:p w14:paraId="571882B1">
                  <w:pPr>
                    <w:spacing w:line="276" w:lineRule="auto"/>
                    <w:jc w:val="left"/>
                    <w:rPr>
                      <w:szCs w:val="21"/>
                    </w:rPr>
                  </w:pPr>
                  <w:r>
                    <w:rPr>
                      <w:szCs w:val="21"/>
                    </w:rPr>
                    <w:t>熔点：</w:t>
                  </w:r>
                  <w:r>
                    <w:rPr>
                      <w:rFonts w:hint="eastAsia"/>
                      <w:szCs w:val="21"/>
                    </w:rPr>
                    <w:t>-182.5</w:t>
                  </w:r>
                  <w:r>
                    <w:rPr>
                      <w:szCs w:val="21"/>
                    </w:rPr>
                    <w:t>℃</w:t>
                  </w:r>
                </w:p>
                <w:p w14:paraId="5064C0CD">
                  <w:pPr>
                    <w:spacing w:line="276" w:lineRule="auto"/>
                    <w:jc w:val="left"/>
                    <w:rPr>
                      <w:szCs w:val="21"/>
                    </w:rPr>
                  </w:pPr>
                  <w:r>
                    <w:rPr>
                      <w:szCs w:val="21"/>
                    </w:rPr>
                    <w:t>沸点：</w:t>
                  </w:r>
                  <w:r>
                    <w:rPr>
                      <w:rFonts w:hint="eastAsia"/>
                      <w:szCs w:val="21"/>
                    </w:rPr>
                    <w:t>-161.5</w:t>
                  </w:r>
                  <w:r>
                    <w:rPr>
                      <w:szCs w:val="21"/>
                    </w:rPr>
                    <w:t>℃</w:t>
                  </w:r>
                </w:p>
                <w:p w14:paraId="200F1593">
                  <w:pPr>
                    <w:spacing w:line="276" w:lineRule="auto"/>
                    <w:jc w:val="left"/>
                    <w:rPr>
                      <w:szCs w:val="21"/>
                    </w:rPr>
                  </w:pPr>
                  <w:r>
                    <w:rPr>
                      <w:szCs w:val="21"/>
                    </w:rPr>
                    <w:t>燃烧热：</w:t>
                  </w:r>
                  <w:r>
                    <w:rPr>
                      <w:rFonts w:hint="eastAsia"/>
                      <w:szCs w:val="21"/>
                    </w:rPr>
                    <w:t>890.31KJ/mol</w:t>
                  </w:r>
                </w:p>
                <w:p w14:paraId="65B7CA0A">
                  <w:pPr>
                    <w:spacing w:line="276" w:lineRule="auto"/>
                    <w:jc w:val="left"/>
                    <w:rPr>
                      <w:szCs w:val="21"/>
                    </w:rPr>
                  </w:pPr>
                  <w:r>
                    <w:rPr>
                      <w:szCs w:val="21"/>
                    </w:rPr>
                    <w:t>爆炸极限：</w:t>
                  </w:r>
                  <w:r>
                    <w:rPr>
                      <w:rFonts w:hint="eastAsia"/>
                      <w:szCs w:val="21"/>
                    </w:rPr>
                    <w:t>14%（室温时）、13%（-162℃）</w:t>
                  </w:r>
                </w:p>
              </w:tc>
              <w:tc>
                <w:tcPr>
                  <w:tcW w:w="1342" w:type="pct"/>
                  <w:vAlign w:val="center"/>
                </w:tcPr>
                <w:p w14:paraId="7B3343BB">
                  <w:pPr>
                    <w:spacing w:line="276" w:lineRule="auto"/>
                    <w:jc w:val="left"/>
                    <w:rPr>
                      <w:szCs w:val="21"/>
                    </w:rPr>
                  </w:pPr>
                  <w:r>
                    <w:rPr>
                      <w:szCs w:val="21"/>
                    </w:rPr>
                    <w:t>燃烧性：</w:t>
                  </w:r>
                  <w:r>
                    <w:rPr>
                      <w:rFonts w:hint="eastAsia"/>
                      <w:szCs w:val="21"/>
                    </w:rPr>
                    <w:t>极易燃；蒸气能与空气形成爆炸性混合物：当液化天然气由液体蒸发为冷的气体时，其密度与常温下的天然气不同，约比空气重1.5倍，其气体不会立即上升，而是沿着液面或地面扩散，吸收水与地面的热量以及大气与太阳的辐射热，形成白色云团。由雾可察觉冷气的扩散情况，但在可见雾的范围之外，仍有易燃混合物存在。如易燃混合物扩散到火源，就会立即闪回燃着。当冷气温热至-112C左右，就变得比空气轻，开始向上升。液化天然气遇水生成白色冰块，冰块只能在低温下保存，温度升高即迅速蒸发，如急剧扰动能猛烈爆喷。</w:t>
                  </w:r>
                </w:p>
              </w:tc>
              <w:tc>
                <w:tcPr>
                  <w:tcW w:w="892" w:type="pct"/>
                  <w:vAlign w:val="center"/>
                </w:tcPr>
                <w:p w14:paraId="118E9209">
                  <w:pPr>
                    <w:spacing w:line="276" w:lineRule="auto"/>
                    <w:jc w:val="center"/>
                    <w:rPr>
                      <w:szCs w:val="21"/>
                    </w:rPr>
                  </w:pPr>
                  <w:r>
                    <w:rPr>
                      <w:rFonts w:hint="eastAsia"/>
                      <w:szCs w:val="21"/>
                    </w:rPr>
                    <w:t>/</w:t>
                  </w:r>
                </w:p>
              </w:tc>
            </w:tr>
          </w:tbl>
          <w:p w14:paraId="771FBB2D">
            <w:pPr>
              <w:spacing w:line="360" w:lineRule="auto"/>
              <w:ind w:firstLine="480" w:firstLineChars="200"/>
              <w:rPr>
                <w:sz w:val="24"/>
              </w:rPr>
            </w:pPr>
            <w:r>
              <w:rPr>
                <w:rFonts w:hint="eastAsia"/>
                <w:sz w:val="24"/>
              </w:rPr>
              <w:t>染料理化性质说明：</w:t>
            </w:r>
          </w:p>
          <w:p w14:paraId="5F8E1E89">
            <w:pPr>
              <w:spacing w:line="360" w:lineRule="auto"/>
              <w:ind w:firstLine="480" w:firstLineChars="200"/>
              <w:rPr>
                <w:sz w:val="24"/>
              </w:rPr>
            </w:pPr>
            <w:r>
              <w:rPr>
                <w:rFonts w:hint="eastAsia"/>
                <w:sz w:val="24"/>
              </w:rPr>
              <w:t>外观为固体粉状物质，无味，有色的细颗粒粉状物质，微溶于水，能分散于各种油、溶剂和树脂等介质，不易燃，不含有毒有害重金属（Pb、Cd、Cr、Hg）。根据建设单位提供信息，染料主要成分为对溴苯甲醚，2-氯蒽醌，镁，氯化亚锡。专门用于荧光棒配色，可以单独使用或组合成其他颜色使用。染料检测结果如下表所示，具体说明详见附件4 染料检测报告。</w:t>
            </w:r>
          </w:p>
          <w:p w14:paraId="4896C264">
            <w:pPr>
              <w:autoSpaceDE w:val="0"/>
              <w:autoSpaceDN w:val="0"/>
              <w:adjustRightInd w:val="0"/>
              <w:snapToGrid w:val="0"/>
              <w:jc w:val="center"/>
              <w:rPr>
                <w:rFonts w:eastAsia="黑体"/>
                <w:bCs/>
                <w:szCs w:val="21"/>
              </w:rPr>
            </w:pPr>
            <w:r>
              <w:rPr>
                <w:rFonts w:hAnsi="黑体" w:eastAsia="黑体"/>
                <w:sz w:val="24"/>
                <w:szCs w:val="24"/>
              </w:rPr>
              <w:t>表</w:t>
            </w:r>
            <w:r>
              <w:rPr>
                <w:rFonts w:hint="eastAsia" w:hAnsi="黑体" w:eastAsia="黑体"/>
                <w:sz w:val="24"/>
                <w:szCs w:val="24"/>
              </w:rPr>
              <w:t>20</w:t>
            </w:r>
            <w:r>
              <w:rPr>
                <w:rFonts w:hAnsi="黑体" w:eastAsia="黑体"/>
                <w:sz w:val="24"/>
                <w:szCs w:val="24"/>
              </w:rPr>
              <w:t xml:space="preserve">  </w:t>
            </w:r>
            <w:r>
              <w:rPr>
                <w:rFonts w:hint="eastAsia" w:hAnsi="黑体" w:eastAsia="黑体"/>
                <w:sz w:val="24"/>
                <w:szCs w:val="24"/>
              </w:rPr>
              <w:t>染料检测结果</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312"/>
              <w:gridCol w:w="1231"/>
              <w:gridCol w:w="1236"/>
              <w:gridCol w:w="1162"/>
              <w:gridCol w:w="1138"/>
              <w:gridCol w:w="1009"/>
              <w:gridCol w:w="1058"/>
            </w:tblGrid>
            <w:tr w14:paraId="68EDC5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Merge w:val="restart"/>
                  <w:vAlign w:val="center"/>
                </w:tcPr>
                <w:p w14:paraId="483F4B91">
                  <w:pPr>
                    <w:spacing w:line="276" w:lineRule="auto"/>
                    <w:jc w:val="center"/>
                    <w:rPr>
                      <w:b/>
                      <w:szCs w:val="21"/>
                    </w:rPr>
                  </w:pPr>
                  <w:r>
                    <w:rPr>
                      <w:rFonts w:hint="eastAsia"/>
                      <w:b/>
                      <w:szCs w:val="21"/>
                    </w:rPr>
                    <w:t>测试项目</w:t>
                  </w:r>
                </w:p>
              </w:tc>
              <w:tc>
                <w:tcPr>
                  <w:tcW w:w="1231" w:type="dxa"/>
                  <w:vMerge w:val="restart"/>
                  <w:vAlign w:val="center"/>
                </w:tcPr>
                <w:p w14:paraId="00B786F8">
                  <w:pPr>
                    <w:spacing w:line="276" w:lineRule="auto"/>
                    <w:jc w:val="center"/>
                    <w:rPr>
                      <w:b/>
                      <w:szCs w:val="21"/>
                    </w:rPr>
                  </w:pPr>
                  <w:r>
                    <w:rPr>
                      <w:rFonts w:hint="eastAsia"/>
                      <w:b/>
                      <w:szCs w:val="21"/>
                    </w:rPr>
                    <w:t>限值</w:t>
                  </w:r>
                </w:p>
              </w:tc>
              <w:tc>
                <w:tcPr>
                  <w:tcW w:w="1236" w:type="dxa"/>
                  <w:vMerge w:val="restart"/>
                  <w:vAlign w:val="center"/>
                </w:tcPr>
                <w:p w14:paraId="4D1F1975">
                  <w:pPr>
                    <w:spacing w:line="276" w:lineRule="auto"/>
                    <w:jc w:val="center"/>
                    <w:rPr>
                      <w:b/>
                      <w:szCs w:val="21"/>
                    </w:rPr>
                  </w:pPr>
                  <w:r>
                    <w:rPr>
                      <w:rFonts w:hint="eastAsia"/>
                      <w:b/>
                      <w:szCs w:val="21"/>
                    </w:rPr>
                    <w:t>单位</w:t>
                  </w:r>
                </w:p>
              </w:tc>
              <w:tc>
                <w:tcPr>
                  <w:tcW w:w="1162" w:type="dxa"/>
                  <w:vMerge w:val="restart"/>
                  <w:vAlign w:val="center"/>
                </w:tcPr>
                <w:p w14:paraId="21702470">
                  <w:pPr>
                    <w:spacing w:line="276" w:lineRule="auto"/>
                    <w:jc w:val="center"/>
                    <w:rPr>
                      <w:b/>
                      <w:szCs w:val="21"/>
                    </w:rPr>
                  </w:pPr>
                  <w:r>
                    <w:rPr>
                      <w:rFonts w:hint="eastAsia"/>
                      <w:b/>
                      <w:szCs w:val="21"/>
                    </w:rPr>
                    <w:t>检出限</w:t>
                  </w:r>
                </w:p>
              </w:tc>
              <w:tc>
                <w:tcPr>
                  <w:tcW w:w="3205" w:type="dxa"/>
                  <w:gridSpan w:val="3"/>
                  <w:vAlign w:val="center"/>
                </w:tcPr>
                <w:p w14:paraId="3F3530CD">
                  <w:pPr>
                    <w:spacing w:line="276" w:lineRule="auto"/>
                    <w:jc w:val="center"/>
                    <w:rPr>
                      <w:b/>
                      <w:szCs w:val="21"/>
                    </w:rPr>
                  </w:pPr>
                  <w:r>
                    <w:rPr>
                      <w:rFonts w:hint="eastAsia"/>
                      <w:b/>
                      <w:szCs w:val="21"/>
                    </w:rPr>
                    <w:t>监测结果</w:t>
                  </w:r>
                </w:p>
              </w:tc>
            </w:tr>
            <w:tr w14:paraId="63C5497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Merge w:val="continue"/>
                  <w:vAlign w:val="center"/>
                </w:tcPr>
                <w:p w14:paraId="383B799B">
                  <w:pPr>
                    <w:spacing w:line="276" w:lineRule="auto"/>
                    <w:jc w:val="center"/>
                    <w:rPr>
                      <w:b/>
                      <w:szCs w:val="21"/>
                    </w:rPr>
                  </w:pPr>
                </w:p>
              </w:tc>
              <w:tc>
                <w:tcPr>
                  <w:tcW w:w="1231" w:type="dxa"/>
                  <w:vMerge w:val="continue"/>
                  <w:vAlign w:val="center"/>
                </w:tcPr>
                <w:p w14:paraId="3FE7452B">
                  <w:pPr>
                    <w:spacing w:line="276" w:lineRule="auto"/>
                    <w:jc w:val="center"/>
                    <w:rPr>
                      <w:b/>
                      <w:szCs w:val="21"/>
                    </w:rPr>
                  </w:pPr>
                </w:p>
              </w:tc>
              <w:tc>
                <w:tcPr>
                  <w:tcW w:w="1236" w:type="dxa"/>
                  <w:vMerge w:val="continue"/>
                  <w:vAlign w:val="center"/>
                </w:tcPr>
                <w:p w14:paraId="01810666">
                  <w:pPr>
                    <w:spacing w:line="276" w:lineRule="auto"/>
                    <w:jc w:val="center"/>
                    <w:rPr>
                      <w:b/>
                      <w:szCs w:val="21"/>
                    </w:rPr>
                  </w:pPr>
                </w:p>
              </w:tc>
              <w:tc>
                <w:tcPr>
                  <w:tcW w:w="1162" w:type="dxa"/>
                  <w:vMerge w:val="continue"/>
                  <w:vAlign w:val="center"/>
                </w:tcPr>
                <w:p w14:paraId="59E8ADF2">
                  <w:pPr>
                    <w:spacing w:line="276" w:lineRule="auto"/>
                    <w:jc w:val="center"/>
                    <w:rPr>
                      <w:b/>
                      <w:szCs w:val="21"/>
                    </w:rPr>
                  </w:pPr>
                </w:p>
              </w:tc>
              <w:tc>
                <w:tcPr>
                  <w:tcW w:w="1138" w:type="dxa"/>
                  <w:vAlign w:val="center"/>
                </w:tcPr>
                <w:p w14:paraId="1CFF8326">
                  <w:pPr>
                    <w:spacing w:line="276" w:lineRule="auto"/>
                    <w:jc w:val="center"/>
                    <w:rPr>
                      <w:b/>
                      <w:szCs w:val="21"/>
                    </w:rPr>
                  </w:pPr>
                  <w:r>
                    <w:rPr>
                      <w:rFonts w:hint="eastAsia"/>
                      <w:b/>
                      <w:szCs w:val="21"/>
                    </w:rPr>
                    <w:t>酞箐绿粉末</w:t>
                  </w:r>
                </w:p>
              </w:tc>
              <w:tc>
                <w:tcPr>
                  <w:tcW w:w="1009" w:type="dxa"/>
                  <w:vAlign w:val="center"/>
                </w:tcPr>
                <w:p w14:paraId="0E18D6F9">
                  <w:pPr>
                    <w:spacing w:line="276" w:lineRule="auto"/>
                    <w:jc w:val="center"/>
                    <w:rPr>
                      <w:b/>
                      <w:szCs w:val="21"/>
                    </w:rPr>
                  </w:pPr>
                  <w:r>
                    <w:rPr>
                      <w:rFonts w:hint="eastAsia"/>
                      <w:b/>
                      <w:szCs w:val="21"/>
                    </w:rPr>
                    <w:t>酞箐蓝粉末（B）</w:t>
                  </w:r>
                </w:p>
              </w:tc>
              <w:tc>
                <w:tcPr>
                  <w:tcW w:w="1058" w:type="dxa"/>
                  <w:vAlign w:val="center"/>
                </w:tcPr>
                <w:p w14:paraId="783185C7">
                  <w:pPr>
                    <w:spacing w:line="276" w:lineRule="auto"/>
                    <w:jc w:val="center"/>
                    <w:rPr>
                      <w:b/>
                      <w:szCs w:val="21"/>
                    </w:rPr>
                  </w:pPr>
                  <w:r>
                    <w:rPr>
                      <w:rFonts w:hint="eastAsia"/>
                      <w:b/>
                      <w:szCs w:val="21"/>
                    </w:rPr>
                    <w:t>酞箐蓝（BGS）</w:t>
                  </w:r>
                </w:p>
              </w:tc>
            </w:tr>
            <w:tr w14:paraId="49087B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25818917">
                  <w:pPr>
                    <w:spacing w:line="276" w:lineRule="auto"/>
                    <w:jc w:val="center"/>
                    <w:rPr>
                      <w:bCs/>
                      <w:szCs w:val="21"/>
                    </w:rPr>
                  </w:pPr>
                  <w:r>
                    <w:rPr>
                      <w:rFonts w:hint="eastAsia"/>
                      <w:bCs/>
                      <w:szCs w:val="21"/>
                    </w:rPr>
                    <w:t>可溶性六价铬</w:t>
                  </w:r>
                </w:p>
              </w:tc>
              <w:tc>
                <w:tcPr>
                  <w:tcW w:w="1231" w:type="dxa"/>
                  <w:vAlign w:val="center"/>
                </w:tcPr>
                <w:p w14:paraId="7A07A94B">
                  <w:pPr>
                    <w:spacing w:line="276" w:lineRule="auto"/>
                    <w:jc w:val="center"/>
                    <w:rPr>
                      <w:bCs/>
                      <w:szCs w:val="21"/>
                    </w:rPr>
                  </w:pPr>
                  <w:r>
                    <w:rPr>
                      <w:rFonts w:hint="eastAsia"/>
                      <w:bCs/>
                      <w:szCs w:val="21"/>
                    </w:rPr>
                    <w:t>0</w:t>
                  </w:r>
                  <w:r>
                    <w:rPr>
                      <w:bCs/>
                      <w:szCs w:val="21"/>
                    </w:rPr>
                    <w:t>.02</w:t>
                  </w:r>
                </w:p>
              </w:tc>
              <w:tc>
                <w:tcPr>
                  <w:tcW w:w="1236" w:type="dxa"/>
                  <w:vAlign w:val="center"/>
                </w:tcPr>
                <w:p w14:paraId="7E79A6DA">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6528870A">
                  <w:pPr>
                    <w:spacing w:line="276" w:lineRule="auto"/>
                    <w:jc w:val="center"/>
                    <w:rPr>
                      <w:bCs/>
                      <w:szCs w:val="21"/>
                    </w:rPr>
                  </w:pPr>
                  <w:r>
                    <w:rPr>
                      <w:rFonts w:hint="eastAsia"/>
                      <w:bCs/>
                      <w:szCs w:val="21"/>
                    </w:rPr>
                    <w:t>0</w:t>
                  </w:r>
                  <w:r>
                    <w:rPr>
                      <w:bCs/>
                      <w:szCs w:val="21"/>
                    </w:rPr>
                    <w:t>.01</w:t>
                  </w:r>
                </w:p>
              </w:tc>
              <w:tc>
                <w:tcPr>
                  <w:tcW w:w="1138" w:type="dxa"/>
                  <w:vAlign w:val="center"/>
                </w:tcPr>
                <w:p w14:paraId="4CE4634F">
                  <w:pPr>
                    <w:spacing w:line="276" w:lineRule="auto"/>
                    <w:jc w:val="center"/>
                    <w:rPr>
                      <w:bCs/>
                      <w:szCs w:val="21"/>
                    </w:rPr>
                  </w:pPr>
                  <w:r>
                    <w:rPr>
                      <w:rFonts w:hint="eastAsia"/>
                      <w:bCs/>
                      <w:szCs w:val="21"/>
                    </w:rPr>
                    <w:t>N</w:t>
                  </w:r>
                  <w:r>
                    <w:rPr>
                      <w:bCs/>
                      <w:szCs w:val="21"/>
                    </w:rPr>
                    <w:t>D</w:t>
                  </w:r>
                </w:p>
              </w:tc>
              <w:tc>
                <w:tcPr>
                  <w:tcW w:w="1009" w:type="dxa"/>
                  <w:vAlign w:val="center"/>
                </w:tcPr>
                <w:p w14:paraId="201B70D9">
                  <w:pPr>
                    <w:spacing w:line="276" w:lineRule="auto"/>
                    <w:jc w:val="center"/>
                    <w:rPr>
                      <w:bCs/>
                      <w:szCs w:val="21"/>
                    </w:rPr>
                  </w:pPr>
                  <w:r>
                    <w:rPr>
                      <w:rFonts w:hint="eastAsia"/>
                      <w:bCs/>
                      <w:szCs w:val="21"/>
                    </w:rPr>
                    <w:t>N</w:t>
                  </w:r>
                  <w:r>
                    <w:rPr>
                      <w:bCs/>
                      <w:szCs w:val="21"/>
                    </w:rPr>
                    <w:t>D</w:t>
                  </w:r>
                </w:p>
              </w:tc>
              <w:tc>
                <w:tcPr>
                  <w:tcW w:w="1058" w:type="dxa"/>
                  <w:vAlign w:val="center"/>
                </w:tcPr>
                <w:p w14:paraId="3E1A2B7F">
                  <w:pPr>
                    <w:spacing w:line="276" w:lineRule="auto"/>
                    <w:jc w:val="center"/>
                    <w:rPr>
                      <w:bCs/>
                      <w:szCs w:val="21"/>
                    </w:rPr>
                  </w:pPr>
                  <w:r>
                    <w:rPr>
                      <w:rFonts w:hint="eastAsia"/>
                      <w:bCs/>
                      <w:szCs w:val="21"/>
                    </w:rPr>
                    <w:t>N</w:t>
                  </w:r>
                  <w:r>
                    <w:rPr>
                      <w:bCs/>
                      <w:szCs w:val="21"/>
                    </w:rPr>
                    <w:t>D</w:t>
                  </w:r>
                </w:p>
              </w:tc>
            </w:tr>
            <w:tr w14:paraId="410DCC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6D9BA88C">
                  <w:pPr>
                    <w:spacing w:line="276" w:lineRule="auto"/>
                    <w:jc w:val="center"/>
                    <w:rPr>
                      <w:bCs/>
                      <w:szCs w:val="21"/>
                    </w:rPr>
                  </w:pPr>
                  <w:r>
                    <w:rPr>
                      <w:rFonts w:hint="eastAsia"/>
                      <w:bCs/>
                      <w:szCs w:val="21"/>
                    </w:rPr>
                    <w:t>可溶性铅（Pb）</w:t>
                  </w:r>
                </w:p>
              </w:tc>
              <w:tc>
                <w:tcPr>
                  <w:tcW w:w="1231" w:type="dxa"/>
                  <w:vAlign w:val="center"/>
                </w:tcPr>
                <w:p w14:paraId="57157FC2">
                  <w:pPr>
                    <w:spacing w:line="276" w:lineRule="auto"/>
                    <w:jc w:val="center"/>
                    <w:rPr>
                      <w:bCs/>
                      <w:szCs w:val="21"/>
                    </w:rPr>
                  </w:pPr>
                  <w:r>
                    <w:rPr>
                      <w:rFonts w:hint="eastAsia"/>
                      <w:bCs/>
                      <w:szCs w:val="21"/>
                    </w:rPr>
                    <w:t>2</w:t>
                  </w:r>
                </w:p>
              </w:tc>
              <w:tc>
                <w:tcPr>
                  <w:tcW w:w="1236" w:type="dxa"/>
                  <w:vAlign w:val="center"/>
                </w:tcPr>
                <w:p w14:paraId="23E357C2">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6C3A0629">
                  <w:pPr>
                    <w:spacing w:line="276" w:lineRule="auto"/>
                    <w:jc w:val="center"/>
                    <w:rPr>
                      <w:bCs/>
                      <w:szCs w:val="21"/>
                    </w:rPr>
                  </w:pPr>
                  <w:r>
                    <w:rPr>
                      <w:rFonts w:hint="eastAsia"/>
                      <w:bCs/>
                      <w:szCs w:val="21"/>
                    </w:rPr>
                    <w:t>0</w:t>
                  </w:r>
                  <w:r>
                    <w:rPr>
                      <w:bCs/>
                      <w:szCs w:val="21"/>
                    </w:rPr>
                    <w:t>.5</w:t>
                  </w:r>
                </w:p>
              </w:tc>
              <w:tc>
                <w:tcPr>
                  <w:tcW w:w="1138" w:type="dxa"/>
                  <w:vAlign w:val="center"/>
                </w:tcPr>
                <w:p w14:paraId="062B943C">
                  <w:pPr>
                    <w:spacing w:line="276" w:lineRule="auto"/>
                    <w:jc w:val="center"/>
                    <w:rPr>
                      <w:bCs/>
                      <w:szCs w:val="21"/>
                    </w:rPr>
                  </w:pPr>
                  <w:r>
                    <w:rPr>
                      <w:rFonts w:hint="eastAsia"/>
                      <w:bCs/>
                      <w:szCs w:val="21"/>
                    </w:rPr>
                    <w:t>N</w:t>
                  </w:r>
                  <w:r>
                    <w:rPr>
                      <w:bCs/>
                      <w:szCs w:val="21"/>
                    </w:rPr>
                    <w:t>D</w:t>
                  </w:r>
                </w:p>
              </w:tc>
              <w:tc>
                <w:tcPr>
                  <w:tcW w:w="1009" w:type="dxa"/>
                  <w:vAlign w:val="center"/>
                </w:tcPr>
                <w:p w14:paraId="035A11DC">
                  <w:pPr>
                    <w:spacing w:line="276" w:lineRule="auto"/>
                    <w:jc w:val="center"/>
                    <w:rPr>
                      <w:bCs/>
                      <w:szCs w:val="21"/>
                    </w:rPr>
                  </w:pPr>
                  <w:r>
                    <w:rPr>
                      <w:rFonts w:hint="eastAsia"/>
                      <w:bCs/>
                      <w:szCs w:val="21"/>
                    </w:rPr>
                    <w:t>N</w:t>
                  </w:r>
                  <w:r>
                    <w:rPr>
                      <w:bCs/>
                      <w:szCs w:val="21"/>
                    </w:rPr>
                    <w:t>D</w:t>
                  </w:r>
                </w:p>
              </w:tc>
              <w:tc>
                <w:tcPr>
                  <w:tcW w:w="1058" w:type="dxa"/>
                  <w:vAlign w:val="center"/>
                </w:tcPr>
                <w:p w14:paraId="714B6137">
                  <w:pPr>
                    <w:spacing w:line="276" w:lineRule="auto"/>
                    <w:jc w:val="center"/>
                    <w:rPr>
                      <w:bCs/>
                      <w:szCs w:val="21"/>
                    </w:rPr>
                  </w:pPr>
                  <w:r>
                    <w:rPr>
                      <w:rFonts w:hint="eastAsia"/>
                      <w:bCs/>
                      <w:szCs w:val="21"/>
                    </w:rPr>
                    <w:t>N</w:t>
                  </w:r>
                  <w:r>
                    <w:rPr>
                      <w:bCs/>
                      <w:szCs w:val="21"/>
                    </w:rPr>
                    <w:t>D</w:t>
                  </w:r>
                </w:p>
              </w:tc>
            </w:tr>
            <w:tr w14:paraId="53F4FE8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0C89AAC7">
                  <w:pPr>
                    <w:spacing w:line="276" w:lineRule="auto"/>
                    <w:jc w:val="center"/>
                    <w:rPr>
                      <w:bCs/>
                      <w:szCs w:val="21"/>
                    </w:rPr>
                  </w:pPr>
                  <w:r>
                    <w:rPr>
                      <w:rFonts w:hint="eastAsia"/>
                      <w:bCs/>
                      <w:szCs w:val="21"/>
                    </w:rPr>
                    <w:t>可溶性锑（Sb）</w:t>
                  </w:r>
                </w:p>
              </w:tc>
              <w:tc>
                <w:tcPr>
                  <w:tcW w:w="1231" w:type="dxa"/>
                  <w:vAlign w:val="center"/>
                </w:tcPr>
                <w:p w14:paraId="5C4A652F">
                  <w:pPr>
                    <w:spacing w:line="276" w:lineRule="auto"/>
                    <w:jc w:val="center"/>
                    <w:rPr>
                      <w:bCs/>
                      <w:szCs w:val="21"/>
                    </w:rPr>
                  </w:pPr>
                  <w:r>
                    <w:rPr>
                      <w:rFonts w:hint="eastAsia"/>
                      <w:bCs/>
                      <w:szCs w:val="21"/>
                    </w:rPr>
                    <w:t>4</w:t>
                  </w:r>
                  <w:r>
                    <w:rPr>
                      <w:bCs/>
                      <w:szCs w:val="21"/>
                    </w:rPr>
                    <w:t>5</w:t>
                  </w:r>
                </w:p>
              </w:tc>
              <w:tc>
                <w:tcPr>
                  <w:tcW w:w="1236" w:type="dxa"/>
                  <w:vAlign w:val="center"/>
                </w:tcPr>
                <w:p w14:paraId="3E16C9AC">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769DA645">
                  <w:pPr>
                    <w:spacing w:line="276" w:lineRule="auto"/>
                    <w:jc w:val="center"/>
                    <w:rPr>
                      <w:bCs/>
                      <w:szCs w:val="21"/>
                    </w:rPr>
                  </w:pPr>
                  <w:r>
                    <w:rPr>
                      <w:rFonts w:hint="eastAsia"/>
                      <w:bCs/>
                      <w:szCs w:val="21"/>
                    </w:rPr>
                    <w:t>1</w:t>
                  </w:r>
                </w:p>
              </w:tc>
              <w:tc>
                <w:tcPr>
                  <w:tcW w:w="1138" w:type="dxa"/>
                  <w:vAlign w:val="center"/>
                </w:tcPr>
                <w:p w14:paraId="10409609">
                  <w:pPr>
                    <w:spacing w:line="276" w:lineRule="auto"/>
                    <w:jc w:val="center"/>
                    <w:rPr>
                      <w:bCs/>
                      <w:szCs w:val="21"/>
                    </w:rPr>
                  </w:pPr>
                  <w:r>
                    <w:rPr>
                      <w:rFonts w:hint="eastAsia"/>
                      <w:bCs/>
                      <w:szCs w:val="21"/>
                    </w:rPr>
                    <w:t>N</w:t>
                  </w:r>
                  <w:r>
                    <w:rPr>
                      <w:bCs/>
                      <w:szCs w:val="21"/>
                    </w:rPr>
                    <w:t>D</w:t>
                  </w:r>
                </w:p>
              </w:tc>
              <w:tc>
                <w:tcPr>
                  <w:tcW w:w="1009" w:type="dxa"/>
                  <w:vAlign w:val="center"/>
                </w:tcPr>
                <w:p w14:paraId="070A9CC5">
                  <w:pPr>
                    <w:spacing w:line="276" w:lineRule="auto"/>
                    <w:jc w:val="center"/>
                    <w:rPr>
                      <w:bCs/>
                      <w:szCs w:val="21"/>
                    </w:rPr>
                  </w:pPr>
                  <w:r>
                    <w:rPr>
                      <w:rFonts w:hint="eastAsia"/>
                      <w:bCs/>
                      <w:szCs w:val="21"/>
                    </w:rPr>
                    <w:t>N</w:t>
                  </w:r>
                  <w:r>
                    <w:rPr>
                      <w:bCs/>
                      <w:szCs w:val="21"/>
                    </w:rPr>
                    <w:t>D</w:t>
                  </w:r>
                </w:p>
              </w:tc>
              <w:tc>
                <w:tcPr>
                  <w:tcW w:w="1058" w:type="dxa"/>
                  <w:vAlign w:val="center"/>
                </w:tcPr>
                <w:p w14:paraId="7D2A3FBD">
                  <w:pPr>
                    <w:spacing w:line="276" w:lineRule="auto"/>
                    <w:jc w:val="center"/>
                    <w:rPr>
                      <w:bCs/>
                      <w:szCs w:val="21"/>
                    </w:rPr>
                  </w:pPr>
                  <w:r>
                    <w:rPr>
                      <w:rFonts w:hint="eastAsia"/>
                      <w:bCs/>
                      <w:szCs w:val="21"/>
                    </w:rPr>
                    <w:t>N</w:t>
                  </w:r>
                  <w:r>
                    <w:rPr>
                      <w:bCs/>
                      <w:szCs w:val="21"/>
                    </w:rPr>
                    <w:t>D</w:t>
                  </w:r>
                </w:p>
              </w:tc>
            </w:tr>
            <w:tr w14:paraId="7E49A2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578AB920">
                  <w:pPr>
                    <w:spacing w:line="276" w:lineRule="auto"/>
                    <w:jc w:val="center"/>
                    <w:rPr>
                      <w:bCs/>
                      <w:szCs w:val="21"/>
                    </w:rPr>
                  </w:pPr>
                  <w:r>
                    <w:rPr>
                      <w:rFonts w:hint="eastAsia"/>
                      <w:bCs/>
                      <w:szCs w:val="21"/>
                    </w:rPr>
                    <w:t>可溶性砷（As）</w:t>
                  </w:r>
                </w:p>
              </w:tc>
              <w:tc>
                <w:tcPr>
                  <w:tcW w:w="1231" w:type="dxa"/>
                  <w:vAlign w:val="center"/>
                </w:tcPr>
                <w:p w14:paraId="29DFA48E">
                  <w:pPr>
                    <w:spacing w:line="276" w:lineRule="auto"/>
                    <w:jc w:val="center"/>
                    <w:rPr>
                      <w:bCs/>
                      <w:szCs w:val="21"/>
                    </w:rPr>
                  </w:pPr>
                  <w:r>
                    <w:rPr>
                      <w:rFonts w:hint="eastAsia"/>
                      <w:bCs/>
                      <w:szCs w:val="21"/>
                    </w:rPr>
                    <w:t>3</w:t>
                  </w:r>
                  <w:r>
                    <w:rPr>
                      <w:bCs/>
                      <w:szCs w:val="21"/>
                    </w:rPr>
                    <w:t>.8</w:t>
                  </w:r>
                </w:p>
              </w:tc>
              <w:tc>
                <w:tcPr>
                  <w:tcW w:w="1236" w:type="dxa"/>
                  <w:vAlign w:val="center"/>
                </w:tcPr>
                <w:p w14:paraId="1F914AC6">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14DBAE2E">
                  <w:pPr>
                    <w:spacing w:line="276" w:lineRule="auto"/>
                    <w:jc w:val="center"/>
                    <w:rPr>
                      <w:bCs/>
                      <w:szCs w:val="21"/>
                    </w:rPr>
                  </w:pPr>
                  <w:r>
                    <w:rPr>
                      <w:rFonts w:hint="eastAsia"/>
                      <w:bCs/>
                      <w:szCs w:val="21"/>
                    </w:rPr>
                    <w:t>0</w:t>
                  </w:r>
                  <w:r>
                    <w:rPr>
                      <w:bCs/>
                      <w:szCs w:val="21"/>
                    </w:rPr>
                    <w:t>.5</w:t>
                  </w:r>
                </w:p>
              </w:tc>
              <w:tc>
                <w:tcPr>
                  <w:tcW w:w="1138" w:type="dxa"/>
                  <w:vAlign w:val="center"/>
                </w:tcPr>
                <w:p w14:paraId="42C89F24">
                  <w:pPr>
                    <w:spacing w:line="276" w:lineRule="auto"/>
                    <w:jc w:val="center"/>
                    <w:rPr>
                      <w:bCs/>
                      <w:szCs w:val="21"/>
                    </w:rPr>
                  </w:pPr>
                  <w:r>
                    <w:rPr>
                      <w:rFonts w:hint="eastAsia"/>
                      <w:bCs/>
                      <w:szCs w:val="21"/>
                    </w:rPr>
                    <w:t>N</w:t>
                  </w:r>
                  <w:r>
                    <w:rPr>
                      <w:bCs/>
                      <w:szCs w:val="21"/>
                    </w:rPr>
                    <w:t>D</w:t>
                  </w:r>
                </w:p>
              </w:tc>
              <w:tc>
                <w:tcPr>
                  <w:tcW w:w="1009" w:type="dxa"/>
                  <w:vAlign w:val="center"/>
                </w:tcPr>
                <w:p w14:paraId="33FEC44B">
                  <w:pPr>
                    <w:spacing w:line="276" w:lineRule="auto"/>
                    <w:jc w:val="center"/>
                    <w:rPr>
                      <w:bCs/>
                      <w:szCs w:val="21"/>
                    </w:rPr>
                  </w:pPr>
                  <w:r>
                    <w:rPr>
                      <w:rFonts w:hint="eastAsia"/>
                      <w:bCs/>
                      <w:szCs w:val="21"/>
                    </w:rPr>
                    <w:t>N</w:t>
                  </w:r>
                  <w:r>
                    <w:rPr>
                      <w:bCs/>
                      <w:szCs w:val="21"/>
                    </w:rPr>
                    <w:t>D</w:t>
                  </w:r>
                </w:p>
              </w:tc>
              <w:tc>
                <w:tcPr>
                  <w:tcW w:w="1058" w:type="dxa"/>
                  <w:vAlign w:val="center"/>
                </w:tcPr>
                <w:p w14:paraId="6B1D49BF">
                  <w:pPr>
                    <w:spacing w:line="276" w:lineRule="auto"/>
                    <w:jc w:val="center"/>
                    <w:rPr>
                      <w:bCs/>
                      <w:szCs w:val="21"/>
                    </w:rPr>
                  </w:pPr>
                  <w:r>
                    <w:rPr>
                      <w:rFonts w:hint="eastAsia"/>
                      <w:bCs/>
                      <w:szCs w:val="21"/>
                    </w:rPr>
                    <w:t>N</w:t>
                  </w:r>
                  <w:r>
                    <w:rPr>
                      <w:bCs/>
                      <w:szCs w:val="21"/>
                    </w:rPr>
                    <w:t>D</w:t>
                  </w:r>
                </w:p>
              </w:tc>
            </w:tr>
            <w:tr w14:paraId="604128A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3E4B4E7A">
                  <w:pPr>
                    <w:spacing w:line="276" w:lineRule="auto"/>
                    <w:jc w:val="center"/>
                    <w:rPr>
                      <w:bCs/>
                      <w:szCs w:val="21"/>
                    </w:rPr>
                  </w:pPr>
                  <w:r>
                    <w:rPr>
                      <w:rFonts w:hint="eastAsia"/>
                      <w:bCs/>
                      <w:szCs w:val="21"/>
                    </w:rPr>
                    <w:t>可溶性钡（Ba）</w:t>
                  </w:r>
                </w:p>
              </w:tc>
              <w:tc>
                <w:tcPr>
                  <w:tcW w:w="1231" w:type="dxa"/>
                  <w:vAlign w:val="center"/>
                </w:tcPr>
                <w:p w14:paraId="27446675">
                  <w:pPr>
                    <w:spacing w:line="276" w:lineRule="auto"/>
                    <w:jc w:val="center"/>
                    <w:rPr>
                      <w:bCs/>
                      <w:szCs w:val="21"/>
                    </w:rPr>
                  </w:pPr>
                  <w:r>
                    <w:rPr>
                      <w:rFonts w:hint="eastAsia"/>
                      <w:bCs/>
                      <w:szCs w:val="21"/>
                    </w:rPr>
                    <w:t>1</w:t>
                  </w:r>
                  <w:r>
                    <w:rPr>
                      <w:bCs/>
                      <w:szCs w:val="21"/>
                    </w:rPr>
                    <w:t>500</w:t>
                  </w:r>
                </w:p>
              </w:tc>
              <w:tc>
                <w:tcPr>
                  <w:tcW w:w="1236" w:type="dxa"/>
                  <w:vAlign w:val="center"/>
                </w:tcPr>
                <w:p w14:paraId="0F402B41">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0451C746">
                  <w:pPr>
                    <w:spacing w:line="276" w:lineRule="auto"/>
                    <w:jc w:val="center"/>
                    <w:rPr>
                      <w:bCs/>
                      <w:szCs w:val="21"/>
                    </w:rPr>
                  </w:pPr>
                  <w:r>
                    <w:rPr>
                      <w:rFonts w:hint="eastAsia"/>
                      <w:bCs/>
                      <w:szCs w:val="21"/>
                    </w:rPr>
                    <w:t>5</w:t>
                  </w:r>
                  <w:r>
                    <w:rPr>
                      <w:bCs/>
                      <w:szCs w:val="21"/>
                    </w:rPr>
                    <w:t>0</w:t>
                  </w:r>
                </w:p>
              </w:tc>
              <w:tc>
                <w:tcPr>
                  <w:tcW w:w="1138" w:type="dxa"/>
                  <w:vAlign w:val="center"/>
                </w:tcPr>
                <w:p w14:paraId="53A5C5D1">
                  <w:pPr>
                    <w:spacing w:line="276" w:lineRule="auto"/>
                    <w:jc w:val="center"/>
                    <w:rPr>
                      <w:bCs/>
                      <w:szCs w:val="21"/>
                    </w:rPr>
                  </w:pPr>
                  <w:r>
                    <w:rPr>
                      <w:rFonts w:hint="eastAsia"/>
                      <w:bCs/>
                      <w:szCs w:val="21"/>
                    </w:rPr>
                    <w:t>N</w:t>
                  </w:r>
                  <w:r>
                    <w:rPr>
                      <w:bCs/>
                      <w:szCs w:val="21"/>
                    </w:rPr>
                    <w:t>D</w:t>
                  </w:r>
                </w:p>
              </w:tc>
              <w:tc>
                <w:tcPr>
                  <w:tcW w:w="1009" w:type="dxa"/>
                  <w:vAlign w:val="center"/>
                </w:tcPr>
                <w:p w14:paraId="4A35F421">
                  <w:pPr>
                    <w:spacing w:line="276" w:lineRule="auto"/>
                    <w:jc w:val="center"/>
                    <w:rPr>
                      <w:bCs/>
                      <w:szCs w:val="21"/>
                    </w:rPr>
                  </w:pPr>
                  <w:r>
                    <w:rPr>
                      <w:rFonts w:hint="eastAsia"/>
                      <w:bCs/>
                      <w:szCs w:val="21"/>
                    </w:rPr>
                    <w:t>N</w:t>
                  </w:r>
                  <w:r>
                    <w:rPr>
                      <w:bCs/>
                      <w:szCs w:val="21"/>
                    </w:rPr>
                    <w:t>D</w:t>
                  </w:r>
                </w:p>
              </w:tc>
              <w:tc>
                <w:tcPr>
                  <w:tcW w:w="1058" w:type="dxa"/>
                  <w:vAlign w:val="center"/>
                </w:tcPr>
                <w:p w14:paraId="37D03F3F">
                  <w:pPr>
                    <w:spacing w:line="276" w:lineRule="auto"/>
                    <w:jc w:val="center"/>
                    <w:rPr>
                      <w:bCs/>
                      <w:szCs w:val="21"/>
                    </w:rPr>
                  </w:pPr>
                  <w:r>
                    <w:rPr>
                      <w:rFonts w:hint="eastAsia"/>
                      <w:bCs/>
                      <w:szCs w:val="21"/>
                    </w:rPr>
                    <w:t>N</w:t>
                  </w:r>
                  <w:r>
                    <w:rPr>
                      <w:bCs/>
                      <w:szCs w:val="21"/>
                    </w:rPr>
                    <w:t>D</w:t>
                  </w:r>
                </w:p>
              </w:tc>
            </w:tr>
            <w:tr w14:paraId="1B9C725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0EAC4917">
                  <w:pPr>
                    <w:spacing w:line="276" w:lineRule="auto"/>
                    <w:jc w:val="center"/>
                    <w:rPr>
                      <w:bCs/>
                      <w:szCs w:val="21"/>
                    </w:rPr>
                  </w:pPr>
                  <w:r>
                    <w:rPr>
                      <w:rFonts w:hint="eastAsia"/>
                      <w:bCs/>
                      <w:szCs w:val="21"/>
                    </w:rPr>
                    <w:t>可溶性镉（Cd）</w:t>
                  </w:r>
                </w:p>
              </w:tc>
              <w:tc>
                <w:tcPr>
                  <w:tcW w:w="1231" w:type="dxa"/>
                  <w:vAlign w:val="center"/>
                </w:tcPr>
                <w:p w14:paraId="2F3E117B">
                  <w:pPr>
                    <w:spacing w:line="276" w:lineRule="auto"/>
                    <w:jc w:val="center"/>
                    <w:rPr>
                      <w:bCs/>
                      <w:szCs w:val="21"/>
                    </w:rPr>
                  </w:pPr>
                  <w:r>
                    <w:rPr>
                      <w:rFonts w:hint="eastAsia"/>
                      <w:bCs/>
                      <w:szCs w:val="21"/>
                    </w:rPr>
                    <w:t>1</w:t>
                  </w:r>
                  <w:r>
                    <w:rPr>
                      <w:bCs/>
                      <w:szCs w:val="21"/>
                    </w:rPr>
                    <w:t>.3</w:t>
                  </w:r>
                </w:p>
              </w:tc>
              <w:tc>
                <w:tcPr>
                  <w:tcW w:w="1236" w:type="dxa"/>
                  <w:vAlign w:val="center"/>
                </w:tcPr>
                <w:p w14:paraId="172E52B7">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4E2D74AA">
                  <w:pPr>
                    <w:spacing w:line="276" w:lineRule="auto"/>
                    <w:jc w:val="center"/>
                    <w:rPr>
                      <w:bCs/>
                      <w:szCs w:val="21"/>
                    </w:rPr>
                  </w:pPr>
                  <w:r>
                    <w:rPr>
                      <w:rFonts w:hint="eastAsia"/>
                      <w:bCs/>
                      <w:szCs w:val="21"/>
                    </w:rPr>
                    <w:t>0</w:t>
                  </w:r>
                  <w:r>
                    <w:rPr>
                      <w:bCs/>
                      <w:szCs w:val="21"/>
                    </w:rPr>
                    <w:t>.1</w:t>
                  </w:r>
                </w:p>
              </w:tc>
              <w:tc>
                <w:tcPr>
                  <w:tcW w:w="1138" w:type="dxa"/>
                  <w:vAlign w:val="center"/>
                </w:tcPr>
                <w:p w14:paraId="18DB7CE1">
                  <w:pPr>
                    <w:spacing w:line="276" w:lineRule="auto"/>
                    <w:jc w:val="center"/>
                    <w:rPr>
                      <w:bCs/>
                      <w:szCs w:val="21"/>
                    </w:rPr>
                  </w:pPr>
                  <w:r>
                    <w:rPr>
                      <w:rFonts w:hint="eastAsia"/>
                      <w:bCs/>
                      <w:szCs w:val="21"/>
                    </w:rPr>
                    <w:t>N</w:t>
                  </w:r>
                  <w:r>
                    <w:rPr>
                      <w:bCs/>
                      <w:szCs w:val="21"/>
                    </w:rPr>
                    <w:t>D</w:t>
                  </w:r>
                </w:p>
              </w:tc>
              <w:tc>
                <w:tcPr>
                  <w:tcW w:w="1009" w:type="dxa"/>
                  <w:vAlign w:val="center"/>
                </w:tcPr>
                <w:p w14:paraId="1E45CA6F">
                  <w:pPr>
                    <w:spacing w:line="276" w:lineRule="auto"/>
                    <w:jc w:val="center"/>
                    <w:rPr>
                      <w:bCs/>
                      <w:szCs w:val="21"/>
                    </w:rPr>
                  </w:pPr>
                  <w:r>
                    <w:rPr>
                      <w:rFonts w:hint="eastAsia"/>
                      <w:bCs/>
                      <w:szCs w:val="21"/>
                    </w:rPr>
                    <w:t>N</w:t>
                  </w:r>
                  <w:r>
                    <w:rPr>
                      <w:bCs/>
                      <w:szCs w:val="21"/>
                    </w:rPr>
                    <w:t>D</w:t>
                  </w:r>
                </w:p>
              </w:tc>
              <w:tc>
                <w:tcPr>
                  <w:tcW w:w="1058" w:type="dxa"/>
                  <w:vAlign w:val="center"/>
                </w:tcPr>
                <w:p w14:paraId="4DA4FB90">
                  <w:pPr>
                    <w:spacing w:line="276" w:lineRule="auto"/>
                    <w:jc w:val="center"/>
                    <w:rPr>
                      <w:bCs/>
                      <w:szCs w:val="21"/>
                    </w:rPr>
                  </w:pPr>
                  <w:r>
                    <w:rPr>
                      <w:rFonts w:hint="eastAsia"/>
                      <w:bCs/>
                      <w:szCs w:val="21"/>
                    </w:rPr>
                    <w:t>N</w:t>
                  </w:r>
                  <w:r>
                    <w:rPr>
                      <w:bCs/>
                      <w:szCs w:val="21"/>
                    </w:rPr>
                    <w:t>D</w:t>
                  </w:r>
                </w:p>
              </w:tc>
            </w:tr>
            <w:tr w14:paraId="5CE93D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7FCDFB39">
                  <w:pPr>
                    <w:spacing w:line="276" w:lineRule="auto"/>
                    <w:jc w:val="center"/>
                    <w:rPr>
                      <w:bCs/>
                      <w:szCs w:val="21"/>
                    </w:rPr>
                  </w:pPr>
                  <w:r>
                    <w:rPr>
                      <w:rFonts w:hint="eastAsia"/>
                      <w:bCs/>
                      <w:szCs w:val="21"/>
                    </w:rPr>
                    <w:t>可溶性三价铬</w:t>
                  </w:r>
                </w:p>
              </w:tc>
              <w:tc>
                <w:tcPr>
                  <w:tcW w:w="1231" w:type="dxa"/>
                  <w:vAlign w:val="center"/>
                </w:tcPr>
                <w:p w14:paraId="7BD6D233">
                  <w:pPr>
                    <w:spacing w:line="276" w:lineRule="auto"/>
                    <w:jc w:val="center"/>
                    <w:rPr>
                      <w:bCs/>
                      <w:szCs w:val="21"/>
                    </w:rPr>
                  </w:pPr>
                  <w:r>
                    <w:rPr>
                      <w:rFonts w:hint="eastAsia"/>
                      <w:bCs/>
                      <w:szCs w:val="21"/>
                    </w:rPr>
                    <w:t>3</w:t>
                  </w:r>
                  <w:r>
                    <w:rPr>
                      <w:bCs/>
                      <w:szCs w:val="21"/>
                    </w:rPr>
                    <w:t>7.5</w:t>
                  </w:r>
                </w:p>
              </w:tc>
              <w:tc>
                <w:tcPr>
                  <w:tcW w:w="1236" w:type="dxa"/>
                  <w:vAlign w:val="center"/>
                </w:tcPr>
                <w:p w14:paraId="5146D5B0">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1F470F6F">
                  <w:pPr>
                    <w:spacing w:line="276" w:lineRule="auto"/>
                    <w:jc w:val="center"/>
                    <w:rPr>
                      <w:bCs/>
                      <w:szCs w:val="21"/>
                    </w:rPr>
                  </w:pPr>
                  <w:r>
                    <w:rPr>
                      <w:rFonts w:hint="eastAsia"/>
                      <w:bCs/>
                      <w:szCs w:val="21"/>
                    </w:rPr>
                    <w:t>5</w:t>
                  </w:r>
                </w:p>
              </w:tc>
              <w:tc>
                <w:tcPr>
                  <w:tcW w:w="1138" w:type="dxa"/>
                  <w:vAlign w:val="center"/>
                </w:tcPr>
                <w:p w14:paraId="7957D7A0">
                  <w:pPr>
                    <w:spacing w:line="276" w:lineRule="auto"/>
                    <w:jc w:val="center"/>
                    <w:rPr>
                      <w:bCs/>
                      <w:szCs w:val="21"/>
                    </w:rPr>
                  </w:pPr>
                  <w:r>
                    <w:rPr>
                      <w:rFonts w:hint="eastAsia"/>
                      <w:bCs/>
                      <w:szCs w:val="21"/>
                    </w:rPr>
                    <w:t>N</w:t>
                  </w:r>
                  <w:r>
                    <w:rPr>
                      <w:bCs/>
                      <w:szCs w:val="21"/>
                    </w:rPr>
                    <w:t>D</w:t>
                  </w:r>
                </w:p>
              </w:tc>
              <w:tc>
                <w:tcPr>
                  <w:tcW w:w="1009" w:type="dxa"/>
                  <w:vAlign w:val="center"/>
                </w:tcPr>
                <w:p w14:paraId="4B5282DD">
                  <w:pPr>
                    <w:spacing w:line="276" w:lineRule="auto"/>
                    <w:jc w:val="center"/>
                    <w:rPr>
                      <w:bCs/>
                      <w:szCs w:val="21"/>
                    </w:rPr>
                  </w:pPr>
                  <w:r>
                    <w:rPr>
                      <w:rFonts w:hint="eastAsia"/>
                      <w:bCs/>
                      <w:szCs w:val="21"/>
                    </w:rPr>
                    <w:t>N</w:t>
                  </w:r>
                  <w:r>
                    <w:rPr>
                      <w:bCs/>
                      <w:szCs w:val="21"/>
                    </w:rPr>
                    <w:t>D</w:t>
                  </w:r>
                </w:p>
              </w:tc>
              <w:tc>
                <w:tcPr>
                  <w:tcW w:w="1058" w:type="dxa"/>
                  <w:vAlign w:val="center"/>
                </w:tcPr>
                <w:p w14:paraId="6E199177">
                  <w:pPr>
                    <w:spacing w:line="276" w:lineRule="auto"/>
                    <w:jc w:val="center"/>
                    <w:rPr>
                      <w:bCs/>
                      <w:szCs w:val="21"/>
                    </w:rPr>
                  </w:pPr>
                  <w:r>
                    <w:rPr>
                      <w:rFonts w:hint="eastAsia"/>
                      <w:bCs/>
                      <w:szCs w:val="21"/>
                    </w:rPr>
                    <w:t>N</w:t>
                  </w:r>
                  <w:r>
                    <w:rPr>
                      <w:bCs/>
                      <w:szCs w:val="21"/>
                    </w:rPr>
                    <w:t>D</w:t>
                  </w:r>
                </w:p>
              </w:tc>
            </w:tr>
            <w:tr w14:paraId="6018F6A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78F0E3B2">
                  <w:pPr>
                    <w:spacing w:line="276" w:lineRule="auto"/>
                    <w:jc w:val="center"/>
                    <w:rPr>
                      <w:bCs/>
                      <w:szCs w:val="21"/>
                    </w:rPr>
                  </w:pPr>
                  <w:r>
                    <w:rPr>
                      <w:rFonts w:hint="eastAsia"/>
                      <w:bCs/>
                      <w:szCs w:val="21"/>
                    </w:rPr>
                    <w:t>可溶性汞（Hg）</w:t>
                  </w:r>
                </w:p>
              </w:tc>
              <w:tc>
                <w:tcPr>
                  <w:tcW w:w="1231" w:type="dxa"/>
                  <w:vAlign w:val="center"/>
                </w:tcPr>
                <w:p w14:paraId="6D7BA86E">
                  <w:pPr>
                    <w:spacing w:line="276" w:lineRule="auto"/>
                    <w:jc w:val="center"/>
                    <w:rPr>
                      <w:bCs/>
                      <w:szCs w:val="21"/>
                    </w:rPr>
                  </w:pPr>
                  <w:r>
                    <w:rPr>
                      <w:rFonts w:hint="eastAsia"/>
                      <w:bCs/>
                      <w:szCs w:val="21"/>
                    </w:rPr>
                    <w:t>7</w:t>
                  </w:r>
                  <w:r>
                    <w:rPr>
                      <w:bCs/>
                      <w:szCs w:val="21"/>
                    </w:rPr>
                    <w:t>.5</w:t>
                  </w:r>
                </w:p>
              </w:tc>
              <w:tc>
                <w:tcPr>
                  <w:tcW w:w="1236" w:type="dxa"/>
                  <w:vAlign w:val="center"/>
                </w:tcPr>
                <w:p w14:paraId="15D95819">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7EE179C8">
                  <w:pPr>
                    <w:spacing w:line="276" w:lineRule="auto"/>
                    <w:jc w:val="center"/>
                    <w:rPr>
                      <w:bCs/>
                      <w:szCs w:val="21"/>
                    </w:rPr>
                  </w:pPr>
                  <w:r>
                    <w:rPr>
                      <w:rFonts w:hint="eastAsia"/>
                      <w:bCs/>
                      <w:szCs w:val="21"/>
                    </w:rPr>
                    <w:t>0</w:t>
                  </w:r>
                  <w:r>
                    <w:rPr>
                      <w:bCs/>
                      <w:szCs w:val="21"/>
                    </w:rPr>
                    <w:t>.5</w:t>
                  </w:r>
                </w:p>
              </w:tc>
              <w:tc>
                <w:tcPr>
                  <w:tcW w:w="1138" w:type="dxa"/>
                  <w:vAlign w:val="center"/>
                </w:tcPr>
                <w:p w14:paraId="4CDDC4B5">
                  <w:pPr>
                    <w:spacing w:line="276" w:lineRule="auto"/>
                    <w:jc w:val="center"/>
                    <w:rPr>
                      <w:bCs/>
                      <w:szCs w:val="21"/>
                    </w:rPr>
                  </w:pPr>
                  <w:r>
                    <w:rPr>
                      <w:rFonts w:hint="eastAsia"/>
                      <w:bCs/>
                      <w:szCs w:val="21"/>
                    </w:rPr>
                    <w:t>N</w:t>
                  </w:r>
                  <w:r>
                    <w:rPr>
                      <w:bCs/>
                      <w:szCs w:val="21"/>
                    </w:rPr>
                    <w:t>D</w:t>
                  </w:r>
                </w:p>
              </w:tc>
              <w:tc>
                <w:tcPr>
                  <w:tcW w:w="1009" w:type="dxa"/>
                  <w:vAlign w:val="center"/>
                </w:tcPr>
                <w:p w14:paraId="7A3E3AFD">
                  <w:pPr>
                    <w:spacing w:line="276" w:lineRule="auto"/>
                    <w:jc w:val="center"/>
                    <w:rPr>
                      <w:bCs/>
                      <w:szCs w:val="21"/>
                    </w:rPr>
                  </w:pPr>
                  <w:r>
                    <w:rPr>
                      <w:rFonts w:hint="eastAsia"/>
                      <w:bCs/>
                      <w:szCs w:val="21"/>
                    </w:rPr>
                    <w:t>N</w:t>
                  </w:r>
                  <w:r>
                    <w:rPr>
                      <w:bCs/>
                      <w:szCs w:val="21"/>
                    </w:rPr>
                    <w:t>D</w:t>
                  </w:r>
                </w:p>
              </w:tc>
              <w:tc>
                <w:tcPr>
                  <w:tcW w:w="1058" w:type="dxa"/>
                  <w:vAlign w:val="center"/>
                </w:tcPr>
                <w:p w14:paraId="696C1178">
                  <w:pPr>
                    <w:spacing w:line="276" w:lineRule="auto"/>
                    <w:jc w:val="center"/>
                    <w:rPr>
                      <w:bCs/>
                      <w:szCs w:val="21"/>
                    </w:rPr>
                  </w:pPr>
                  <w:r>
                    <w:rPr>
                      <w:rFonts w:hint="eastAsia"/>
                      <w:bCs/>
                      <w:szCs w:val="21"/>
                    </w:rPr>
                    <w:t>N</w:t>
                  </w:r>
                  <w:r>
                    <w:rPr>
                      <w:bCs/>
                      <w:szCs w:val="21"/>
                    </w:rPr>
                    <w:t>D</w:t>
                  </w:r>
                </w:p>
              </w:tc>
            </w:tr>
            <w:tr w14:paraId="06E8CF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33EC6C4E">
                  <w:pPr>
                    <w:spacing w:line="276" w:lineRule="auto"/>
                    <w:jc w:val="center"/>
                    <w:rPr>
                      <w:bCs/>
                      <w:szCs w:val="21"/>
                    </w:rPr>
                  </w:pPr>
                  <w:r>
                    <w:rPr>
                      <w:rFonts w:hint="eastAsia"/>
                      <w:bCs/>
                      <w:szCs w:val="21"/>
                    </w:rPr>
                    <w:t>可溶性硒（Se）</w:t>
                  </w:r>
                </w:p>
              </w:tc>
              <w:tc>
                <w:tcPr>
                  <w:tcW w:w="1231" w:type="dxa"/>
                  <w:vAlign w:val="center"/>
                </w:tcPr>
                <w:p w14:paraId="222D4B53">
                  <w:pPr>
                    <w:spacing w:line="276" w:lineRule="auto"/>
                    <w:jc w:val="center"/>
                    <w:rPr>
                      <w:bCs/>
                      <w:szCs w:val="21"/>
                    </w:rPr>
                  </w:pPr>
                  <w:r>
                    <w:rPr>
                      <w:rFonts w:hint="eastAsia"/>
                      <w:bCs/>
                      <w:szCs w:val="21"/>
                    </w:rPr>
                    <w:t>3</w:t>
                  </w:r>
                  <w:r>
                    <w:rPr>
                      <w:bCs/>
                      <w:szCs w:val="21"/>
                    </w:rPr>
                    <w:t>7.5</w:t>
                  </w:r>
                </w:p>
              </w:tc>
              <w:tc>
                <w:tcPr>
                  <w:tcW w:w="1236" w:type="dxa"/>
                  <w:vAlign w:val="center"/>
                </w:tcPr>
                <w:p w14:paraId="0CB47109">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2C0F581D">
                  <w:pPr>
                    <w:spacing w:line="276" w:lineRule="auto"/>
                    <w:jc w:val="center"/>
                    <w:rPr>
                      <w:bCs/>
                      <w:szCs w:val="21"/>
                    </w:rPr>
                  </w:pPr>
                  <w:r>
                    <w:rPr>
                      <w:rFonts w:hint="eastAsia"/>
                      <w:bCs/>
                      <w:szCs w:val="21"/>
                    </w:rPr>
                    <w:t>5</w:t>
                  </w:r>
                </w:p>
              </w:tc>
              <w:tc>
                <w:tcPr>
                  <w:tcW w:w="1138" w:type="dxa"/>
                  <w:vAlign w:val="center"/>
                </w:tcPr>
                <w:p w14:paraId="6FA5BB58">
                  <w:pPr>
                    <w:spacing w:line="276" w:lineRule="auto"/>
                    <w:jc w:val="center"/>
                    <w:rPr>
                      <w:bCs/>
                      <w:szCs w:val="21"/>
                    </w:rPr>
                  </w:pPr>
                  <w:r>
                    <w:rPr>
                      <w:rFonts w:hint="eastAsia"/>
                      <w:bCs/>
                      <w:szCs w:val="21"/>
                    </w:rPr>
                    <w:t>N</w:t>
                  </w:r>
                  <w:r>
                    <w:rPr>
                      <w:bCs/>
                      <w:szCs w:val="21"/>
                    </w:rPr>
                    <w:t>D</w:t>
                  </w:r>
                </w:p>
              </w:tc>
              <w:tc>
                <w:tcPr>
                  <w:tcW w:w="1009" w:type="dxa"/>
                  <w:vAlign w:val="center"/>
                </w:tcPr>
                <w:p w14:paraId="7AF56726">
                  <w:pPr>
                    <w:spacing w:line="276" w:lineRule="auto"/>
                    <w:jc w:val="center"/>
                    <w:rPr>
                      <w:bCs/>
                      <w:szCs w:val="21"/>
                    </w:rPr>
                  </w:pPr>
                  <w:r>
                    <w:rPr>
                      <w:rFonts w:hint="eastAsia"/>
                      <w:bCs/>
                      <w:szCs w:val="21"/>
                    </w:rPr>
                    <w:t>N</w:t>
                  </w:r>
                  <w:r>
                    <w:rPr>
                      <w:bCs/>
                      <w:szCs w:val="21"/>
                    </w:rPr>
                    <w:t>D</w:t>
                  </w:r>
                </w:p>
              </w:tc>
              <w:tc>
                <w:tcPr>
                  <w:tcW w:w="1058" w:type="dxa"/>
                  <w:vAlign w:val="center"/>
                </w:tcPr>
                <w:p w14:paraId="70C20F7C">
                  <w:pPr>
                    <w:spacing w:line="276" w:lineRule="auto"/>
                    <w:jc w:val="center"/>
                    <w:rPr>
                      <w:bCs/>
                      <w:szCs w:val="21"/>
                    </w:rPr>
                  </w:pPr>
                  <w:r>
                    <w:rPr>
                      <w:rFonts w:hint="eastAsia"/>
                      <w:bCs/>
                      <w:szCs w:val="21"/>
                    </w:rPr>
                    <w:t>N</w:t>
                  </w:r>
                  <w:r>
                    <w:rPr>
                      <w:bCs/>
                      <w:szCs w:val="21"/>
                    </w:rPr>
                    <w:t>D</w:t>
                  </w:r>
                </w:p>
              </w:tc>
            </w:tr>
            <w:tr w14:paraId="1B12CAD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78946C8F">
                  <w:pPr>
                    <w:spacing w:line="276" w:lineRule="auto"/>
                    <w:jc w:val="center"/>
                    <w:rPr>
                      <w:bCs/>
                      <w:szCs w:val="21"/>
                    </w:rPr>
                  </w:pPr>
                  <w:r>
                    <w:rPr>
                      <w:rFonts w:hint="eastAsia"/>
                      <w:bCs/>
                      <w:szCs w:val="21"/>
                    </w:rPr>
                    <w:t>可溶性硼（B）</w:t>
                  </w:r>
                </w:p>
              </w:tc>
              <w:tc>
                <w:tcPr>
                  <w:tcW w:w="1231" w:type="dxa"/>
                  <w:vAlign w:val="center"/>
                </w:tcPr>
                <w:p w14:paraId="14940286">
                  <w:pPr>
                    <w:spacing w:line="276" w:lineRule="auto"/>
                    <w:jc w:val="center"/>
                    <w:rPr>
                      <w:bCs/>
                      <w:szCs w:val="21"/>
                    </w:rPr>
                  </w:pPr>
                  <w:r>
                    <w:rPr>
                      <w:rFonts w:hint="eastAsia"/>
                      <w:bCs/>
                      <w:szCs w:val="21"/>
                    </w:rPr>
                    <w:t>1</w:t>
                  </w:r>
                  <w:r>
                    <w:rPr>
                      <w:bCs/>
                      <w:szCs w:val="21"/>
                    </w:rPr>
                    <w:t>200</w:t>
                  </w:r>
                </w:p>
              </w:tc>
              <w:tc>
                <w:tcPr>
                  <w:tcW w:w="1236" w:type="dxa"/>
                  <w:vAlign w:val="center"/>
                </w:tcPr>
                <w:p w14:paraId="69D453E5">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7F40B87D">
                  <w:pPr>
                    <w:spacing w:line="276" w:lineRule="auto"/>
                    <w:jc w:val="center"/>
                    <w:rPr>
                      <w:bCs/>
                      <w:szCs w:val="21"/>
                    </w:rPr>
                  </w:pPr>
                  <w:r>
                    <w:rPr>
                      <w:rFonts w:hint="eastAsia"/>
                      <w:bCs/>
                      <w:szCs w:val="21"/>
                    </w:rPr>
                    <w:t>5</w:t>
                  </w:r>
                  <w:r>
                    <w:rPr>
                      <w:bCs/>
                      <w:szCs w:val="21"/>
                    </w:rPr>
                    <w:t>0</w:t>
                  </w:r>
                </w:p>
              </w:tc>
              <w:tc>
                <w:tcPr>
                  <w:tcW w:w="1138" w:type="dxa"/>
                  <w:vAlign w:val="center"/>
                </w:tcPr>
                <w:p w14:paraId="642CF9BD">
                  <w:pPr>
                    <w:spacing w:line="276" w:lineRule="auto"/>
                    <w:jc w:val="center"/>
                    <w:rPr>
                      <w:bCs/>
                      <w:szCs w:val="21"/>
                    </w:rPr>
                  </w:pPr>
                  <w:r>
                    <w:rPr>
                      <w:rFonts w:hint="eastAsia"/>
                      <w:bCs/>
                      <w:szCs w:val="21"/>
                    </w:rPr>
                    <w:t>N</w:t>
                  </w:r>
                  <w:r>
                    <w:rPr>
                      <w:bCs/>
                      <w:szCs w:val="21"/>
                    </w:rPr>
                    <w:t>D</w:t>
                  </w:r>
                </w:p>
              </w:tc>
              <w:tc>
                <w:tcPr>
                  <w:tcW w:w="1009" w:type="dxa"/>
                  <w:vAlign w:val="center"/>
                </w:tcPr>
                <w:p w14:paraId="7426CA2F">
                  <w:pPr>
                    <w:spacing w:line="276" w:lineRule="auto"/>
                    <w:jc w:val="center"/>
                    <w:rPr>
                      <w:bCs/>
                      <w:szCs w:val="21"/>
                    </w:rPr>
                  </w:pPr>
                  <w:r>
                    <w:rPr>
                      <w:rFonts w:hint="eastAsia"/>
                      <w:bCs/>
                      <w:szCs w:val="21"/>
                    </w:rPr>
                    <w:t>N</w:t>
                  </w:r>
                  <w:r>
                    <w:rPr>
                      <w:bCs/>
                      <w:szCs w:val="21"/>
                    </w:rPr>
                    <w:t>D</w:t>
                  </w:r>
                </w:p>
              </w:tc>
              <w:tc>
                <w:tcPr>
                  <w:tcW w:w="1058" w:type="dxa"/>
                  <w:vAlign w:val="center"/>
                </w:tcPr>
                <w:p w14:paraId="1D75D34C">
                  <w:pPr>
                    <w:spacing w:line="276" w:lineRule="auto"/>
                    <w:jc w:val="center"/>
                    <w:rPr>
                      <w:bCs/>
                      <w:szCs w:val="21"/>
                    </w:rPr>
                  </w:pPr>
                  <w:r>
                    <w:rPr>
                      <w:rFonts w:hint="eastAsia"/>
                      <w:bCs/>
                      <w:szCs w:val="21"/>
                    </w:rPr>
                    <w:t>N</w:t>
                  </w:r>
                  <w:r>
                    <w:rPr>
                      <w:bCs/>
                      <w:szCs w:val="21"/>
                    </w:rPr>
                    <w:t>D</w:t>
                  </w:r>
                </w:p>
              </w:tc>
            </w:tr>
            <w:tr w14:paraId="4B60A7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635519EC">
                  <w:pPr>
                    <w:spacing w:line="276" w:lineRule="auto"/>
                    <w:jc w:val="center"/>
                    <w:rPr>
                      <w:bCs/>
                      <w:szCs w:val="21"/>
                    </w:rPr>
                  </w:pPr>
                  <w:r>
                    <w:rPr>
                      <w:rFonts w:hint="eastAsia"/>
                      <w:bCs/>
                      <w:szCs w:val="21"/>
                    </w:rPr>
                    <w:t>可溶性钴（Co）</w:t>
                  </w:r>
                </w:p>
              </w:tc>
              <w:tc>
                <w:tcPr>
                  <w:tcW w:w="1231" w:type="dxa"/>
                  <w:vAlign w:val="center"/>
                </w:tcPr>
                <w:p w14:paraId="32ACADD8">
                  <w:pPr>
                    <w:spacing w:line="276" w:lineRule="auto"/>
                    <w:jc w:val="center"/>
                    <w:rPr>
                      <w:bCs/>
                      <w:szCs w:val="21"/>
                    </w:rPr>
                  </w:pPr>
                  <w:r>
                    <w:rPr>
                      <w:rFonts w:hint="eastAsia"/>
                      <w:bCs/>
                      <w:szCs w:val="21"/>
                    </w:rPr>
                    <w:t>1</w:t>
                  </w:r>
                  <w:r>
                    <w:rPr>
                      <w:bCs/>
                      <w:szCs w:val="21"/>
                    </w:rPr>
                    <w:t>0.5</w:t>
                  </w:r>
                </w:p>
              </w:tc>
              <w:tc>
                <w:tcPr>
                  <w:tcW w:w="1236" w:type="dxa"/>
                  <w:vAlign w:val="center"/>
                </w:tcPr>
                <w:p w14:paraId="568FD4C0">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65498040">
                  <w:pPr>
                    <w:spacing w:line="276" w:lineRule="auto"/>
                    <w:jc w:val="center"/>
                    <w:rPr>
                      <w:bCs/>
                      <w:szCs w:val="21"/>
                    </w:rPr>
                  </w:pPr>
                  <w:r>
                    <w:rPr>
                      <w:rFonts w:hint="eastAsia"/>
                      <w:bCs/>
                      <w:szCs w:val="21"/>
                    </w:rPr>
                    <w:t>0</w:t>
                  </w:r>
                  <w:r>
                    <w:rPr>
                      <w:bCs/>
                      <w:szCs w:val="21"/>
                    </w:rPr>
                    <w:t>.5</w:t>
                  </w:r>
                </w:p>
              </w:tc>
              <w:tc>
                <w:tcPr>
                  <w:tcW w:w="1138" w:type="dxa"/>
                  <w:vAlign w:val="center"/>
                </w:tcPr>
                <w:p w14:paraId="69E0C6C1">
                  <w:pPr>
                    <w:spacing w:line="276" w:lineRule="auto"/>
                    <w:jc w:val="center"/>
                    <w:rPr>
                      <w:bCs/>
                      <w:szCs w:val="21"/>
                    </w:rPr>
                  </w:pPr>
                  <w:r>
                    <w:rPr>
                      <w:rFonts w:hint="eastAsia"/>
                      <w:bCs/>
                      <w:szCs w:val="21"/>
                    </w:rPr>
                    <w:t>N</w:t>
                  </w:r>
                  <w:r>
                    <w:rPr>
                      <w:bCs/>
                      <w:szCs w:val="21"/>
                    </w:rPr>
                    <w:t>D</w:t>
                  </w:r>
                </w:p>
              </w:tc>
              <w:tc>
                <w:tcPr>
                  <w:tcW w:w="1009" w:type="dxa"/>
                  <w:vAlign w:val="center"/>
                </w:tcPr>
                <w:p w14:paraId="5A31211D">
                  <w:pPr>
                    <w:spacing w:line="276" w:lineRule="auto"/>
                    <w:jc w:val="center"/>
                    <w:rPr>
                      <w:bCs/>
                      <w:szCs w:val="21"/>
                    </w:rPr>
                  </w:pPr>
                  <w:r>
                    <w:rPr>
                      <w:rFonts w:hint="eastAsia"/>
                      <w:bCs/>
                      <w:szCs w:val="21"/>
                    </w:rPr>
                    <w:t>N</w:t>
                  </w:r>
                  <w:r>
                    <w:rPr>
                      <w:bCs/>
                      <w:szCs w:val="21"/>
                    </w:rPr>
                    <w:t>D</w:t>
                  </w:r>
                </w:p>
              </w:tc>
              <w:tc>
                <w:tcPr>
                  <w:tcW w:w="1058" w:type="dxa"/>
                  <w:vAlign w:val="center"/>
                </w:tcPr>
                <w:p w14:paraId="6A9986EE">
                  <w:pPr>
                    <w:spacing w:line="276" w:lineRule="auto"/>
                    <w:jc w:val="center"/>
                    <w:rPr>
                      <w:bCs/>
                      <w:szCs w:val="21"/>
                    </w:rPr>
                  </w:pPr>
                  <w:r>
                    <w:rPr>
                      <w:rFonts w:hint="eastAsia"/>
                      <w:bCs/>
                      <w:szCs w:val="21"/>
                    </w:rPr>
                    <w:t>N</w:t>
                  </w:r>
                  <w:r>
                    <w:rPr>
                      <w:bCs/>
                      <w:szCs w:val="21"/>
                    </w:rPr>
                    <w:t>D</w:t>
                  </w:r>
                </w:p>
              </w:tc>
            </w:tr>
            <w:tr w14:paraId="5990CE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6606B4DF">
                  <w:pPr>
                    <w:spacing w:line="276" w:lineRule="auto"/>
                    <w:jc w:val="center"/>
                    <w:rPr>
                      <w:bCs/>
                      <w:szCs w:val="21"/>
                    </w:rPr>
                  </w:pPr>
                  <w:r>
                    <w:rPr>
                      <w:rFonts w:hint="eastAsia"/>
                      <w:bCs/>
                      <w:szCs w:val="21"/>
                    </w:rPr>
                    <w:t>可溶性锰（Mn）</w:t>
                  </w:r>
                </w:p>
              </w:tc>
              <w:tc>
                <w:tcPr>
                  <w:tcW w:w="1231" w:type="dxa"/>
                  <w:vAlign w:val="center"/>
                </w:tcPr>
                <w:p w14:paraId="5C9F2E58">
                  <w:pPr>
                    <w:spacing w:line="276" w:lineRule="auto"/>
                    <w:jc w:val="center"/>
                    <w:rPr>
                      <w:bCs/>
                      <w:szCs w:val="21"/>
                    </w:rPr>
                  </w:pPr>
                  <w:r>
                    <w:rPr>
                      <w:rFonts w:hint="eastAsia"/>
                      <w:bCs/>
                      <w:szCs w:val="21"/>
                    </w:rPr>
                    <w:t>1</w:t>
                  </w:r>
                  <w:r>
                    <w:rPr>
                      <w:bCs/>
                      <w:szCs w:val="21"/>
                    </w:rPr>
                    <w:t>200</w:t>
                  </w:r>
                </w:p>
              </w:tc>
              <w:tc>
                <w:tcPr>
                  <w:tcW w:w="1236" w:type="dxa"/>
                  <w:vAlign w:val="center"/>
                </w:tcPr>
                <w:p w14:paraId="774C31B9">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36F9CF50">
                  <w:pPr>
                    <w:spacing w:line="276" w:lineRule="auto"/>
                    <w:jc w:val="center"/>
                    <w:rPr>
                      <w:bCs/>
                      <w:szCs w:val="21"/>
                    </w:rPr>
                  </w:pPr>
                  <w:r>
                    <w:rPr>
                      <w:rFonts w:hint="eastAsia"/>
                      <w:bCs/>
                      <w:szCs w:val="21"/>
                    </w:rPr>
                    <w:t>5</w:t>
                  </w:r>
                  <w:r>
                    <w:rPr>
                      <w:bCs/>
                      <w:szCs w:val="21"/>
                    </w:rPr>
                    <w:t>0</w:t>
                  </w:r>
                </w:p>
              </w:tc>
              <w:tc>
                <w:tcPr>
                  <w:tcW w:w="1138" w:type="dxa"/>
                  <w:vAlign w:val="center"/>
                </w:tcPr>
                <w:p w14:paraId="2F65915F">
                  <w:pPr>
                    <w:spacing w:line="276" w:lineRule="auto"/>
                    <w:jc w:val="center"/>
                    <w:rPr>
                      <w:bCs/>
                      <w:szCs w:val="21"/>
                    </w:rPr>
                  </w:pPr>
                  <w:r>
                    <w:rPr>
                      <w:rFonts w:hint="eastAsia"/>
                      <w:bCs/>
                      <w:szCs w:val="21"/>
                    </w:rPr>
                    <w:t>N</w:t>
                  </w:r>
                  <w:r>
                    <w:rPr>
                      <w:bCs/>
                      <w:szCs w:val="21"/>
                    </w:rPr>
                    <w:t>D</w:t>
                  </w:r>
                </w:p>
              </w:tc>
              <w:tc>
                <w:tcPr>
                  <w:tcW w:w="1009" w:type="dxa"/>
                  <w:vAlign w:val="center"/>
                </w:tcPr>
                <w:p w14:paraId="6115C93B">
                  <w:pPr>
                    <w:spacing w:line="276" w:lineRule="auto"/>
                    <w:jc w:val="center"/>
                    <w:rPr>
                      <w:bCs/>
                      <w:szCs w:val="21"/>
                    </w:rPr>
                  </w:pPr>
                  <w:r>
                    <w:rPr>
                      <w:rFonts w:hint="eastAsia"/>
                      <w:bCs/>
                      <w:szCs w:val="21"/>
                    </w:rPr>
                    <w:t>N</w:t>
                  </w:r>
                  <w:r>
                    <w:rPr>
                      <w:bCs/>
                      <w:szCs w:val="21"/>
                    </w:rPr>
                    <w:t>D</w:t>
                  </w:r>
                </w:p>
              </w:tc>
              <w:tc>
                <w:tcPr>
                  <w:tcW w:w="1058" w:type="dxa"/>
                  <w:vAlign w:val="center"/>
                </w:tcPr>
                <w:p w14:paraId="7B40F93C">
                  <w:pPr>
                    <w:spacing w:line="276" w:lineRule="auto"/>
                    <w:jc w:val="center"/>
                    <w:rPr>
                      <w:bCs/>
                      <w:szCs w:val="21"/>
                    </w:rPr>
                  </w:pPr>
                  <w:r>
                    <w:rPr>
                      <w:rFonts w:hint="eastAsia"/>
                      <w:bCs/>
                      <w:szCs w:val="21"/>
                    </w:rPr>
                    <w:t>N</w:t>
                  </w:r>
                  <w:r>
                    <w:rPr>
                      <w:bCs/>
                      <w:szCs w:val="21"/>
                    </w:rPr>
                    <w:t>D</w:t>
                  </w:r>
                </w:p>
              </w:tc>
            </w:tr>
            <w:tr w14:paraId="278BB0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4DD4FE9D">
                  <w:pPr>
                    <w:spacing w:line="276" w:lineRule="auto"/>
                    <w:jc w:val="center"/>
                    <w:rPr>
                      <w:bCs/>
                      <w:szCs w:val="21"/>
                    </w:rPr>
                  </w:pPr>
                  <w:r>
                    <w:rPr>
                      <w:rFonts w:hint="eastAsia"/>
                      <w:bCs/>
                      <w:szCs w:val="21"/>
                    </w:rPr>
                    <w:t>可溶性锶（Sr）</w:t>
                  </w:r>
                </w:p>
              </w:tc>
              <w:tc>
                <w:tcPr>
                  <w:tcW w:w="1231" w:type="dxa"/>
                  <w:vAlign w:val="center"/>
                </w:tcPr>
                <w:p w14:paraId="77F61C16">
                  <w:pPr>
                    <w:spacing w:line="276" w:lineRule="auto"/>
                    <w:jc w:val="center"/>
                    <w:rPr>
                      <w:bCs/>
                      <w:szCs w:val="21"/>
                    </w:rPr>
                  </w:pPr>
                  <w:r>
                    <w:rPr>
                      <w:rFonts w:hint="eastAsia"/>
                      <w:bCs/>
                      <w:szCs w:val="21"/>
                    </w:rPr>
                    <w:t>4</w:t>
                  </w:r>
                  <w:r>
                    <w:rPr>
                      <w:bCs/>
                      <w:szCs w:val="21"/>
                    </w:rPr>
                    <w:t>500</w:t>
                  </w:r>
                </w:p>
              </w:tc>
              <w:tc>
                <w:tcPr>
                  <w:tcW w:w="1236" w:type="dxa"/>
                  <w:vAlign w:val="center"/>
                </w:tcPr>
                <w:p w14:paraId="633ED82D">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2650E9E3">
                  <w:pPr>
                    <w:spacing w:line="276" w:lineRule="auto"/>
                    <w:jc w:val="center"/>
                    <w:rPr>
                      <w:bCs/>
                      <w:szCs w:val="21"/>
                    </w:rPr>
                  </w:pPr>
                  <w:r>
                    <w:rPr>
                      <w:rFonts w:hint="eastAsia"/>
                      <w:bCs/>
                      <w:szCs w:val="21"/>
                    </w:rPr>
                    <w:t>5</w:t>
                  </w:r>
                  <w:r>
                    <w:rPr>
                      <w:bCs/>
                      <w:szCs w:val="21"/>
                    </w:rPr>
                    <w:t>0</w:t>
                  </w:r>
                </w:p>
              </w:tc>
              <w:tc>
                <w:tcPr>
                  <w:tcW w:w="1138" w:type="dxa"/>
                  <w:vAlign w:val="center"/>
                </w:tcPr>
                <w:p w14:paraId="26799ED2">
                  <w:pPr>
                    <w:spacing w:line="276" w:lineRule="auto"/>
                    <w:jc w:val="center"/>
                    <w:rPr>
                      <w:bCs/>
                      <w:szCs w:val="21"/>
                    </w:rPr>
                  </w:pPr>
                  <w:r>
                    <w:rPr>
                      <w:rFonts w:hint="eastAsia"/>
                      <w:bCs/>
                      <w:szCs w:val="21"/>
                    </w:rPr>
                    <w:t>N</w:t>
                  </w:r>
                  <w:r>
                    <w:rPr>
                      <w:bCs/>
                      <w:szCs w:val="21"/>
                    </w:rPr>
                    <w:t>D</w:t>
                  </w:r>
                </w:p>
              </w:tc>
              <w:tc>
                <w:tcPr>
                  <w:tcW w:w="1009" w:type="dxa"/>
                  <w:vAlign w:val="center"/>
                </w:tcPr>
                <w:p w14:paraId="4A2D9687">
                  <w:pPr>
                    <w:spacing w:line="276" w:lineRule="auto"/>
                    <w:jc w:val="center"/>
                    <w:rPr>
                      <w:bCs/>
                      <w:szCs w:val="21"/>
                    </w:rPr>
                  </w:pPr>
                  <w:r>
                    <w:rPr>
                      <w:rFonts w:hint="eastAsia"/>
                      <w:bCs/>
                      <w:szCs w:val="21"/>
                    </w:rPr>
                    <w:t>N</w:t>
                  </w:r>
                  <w:r>
                    <w:rPr>
                      <w:bCs/>
                      <w:szCs w:val="21"/>
                    </w:rPr>
                    <w:t>D</w:t>
                  </w:r>
                </w:p>
              </w:tc>
              <w:tc>
                <w:tcPr>
                  <w:tcW w:w="1058" w:type="dxa"/>
                  <w:vAlign w:val="center"/>
                </w:tcPr>
                <w:p w14:paraId="3B6E8750">
                  <w:pPr>
                    <w:spacing w:line="276" w:lineRule="auto"/>
                    <w:jc w:val="center"/>
                    <w:rPr>
                      <w:bCs/>
                      <w:szCs w:val="21"/>
                    </w:rPr>
                  </w:pPr>
                  <w:r>
                    <w:rPr>
                      <w:rFonts w:hint="eastAsia"/>
                      <w:bCs/>
                      <w:szCs w:val="21"/>
                    </w:rPr>
                    <w:t>N</w:t>
                  </w:r>
                  <w:r>
                    <w:rPr>
                      <w:bCs/>
                      <w:szCs w:val="21"/>
                    </w:rPr>
                    <w:t>D</w:t>
                  </w:r>
                </w:p>
              </w:tc>
            </w:tr>
            <w:tr w14:paraId="03C510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13B90108">
                  <w:pPr>
                    <w:spacing w:line="276" w:lineRule="auto"/>
                    <w:jc w:val="center"/>
                    <w:rPr>
                      <w:bCs/>
                      <w:szCs w:val="21"/>
                    </w:rPr>
                  </w:pPr>
                  <w:r>
                    <w:rPr>
                      <w:rFonts w:hint="eastAsia"/>
                      <w:bCs/>
                      <w:szCs w:val="21"/>
                    </w:rPr>
                    <w:t>可溶性锌（Zn）</w:t>
                  </w:r>
                </w:p>
              </w:tc>
              <w:tc>
                <w:tcPr>
                  <w:tcW w:w="1231" w:type="dxa"/>
                  <w:vAlign w:val="center"/>
                </w:tcPr>
                <w:p w14:paraId="770B67CB">
                  <w:pPr>
                    <w:spacing w:line="276" w:lineRule="auto"/>
                    <w:jc w:val="center"/>
                    <w:rPr>
                      <w:bCs/>
                      <w:szCs w:val="21"/>
                    </w:rPr>
                  </w:pPr>
                  <w:r>
                    <w:rPr>
                      <w:rFonts w:hint="eastAsia"/>
                      <w:bCs/>
                      <w:szCs w:val="21"/>
                    </w:rPr>
                    <w:t>3</w:t>
                  </w:r>
                  <w:r>
                    <w:rPr>
                      <w:bCs/>
                      <w:szCs w:val="21"/>
                    </w:rPr>
                    <w:t>750</w:t>
                  </w:r>
                </w:p>
              </w:tc>
              <w:tc>
                <w:tcPr>
                  <w:tcW w:w="1236" w:type="dxa"/>
                  <w:vAlign w:val="center"/>
                </w:tcPr>
                <w:p w14:paraId="3AEC10E9">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7A682FC7">
                  <w:pPr>
                    <w:spacing w:line="276" w:lineRule="auto"/>
                    <w:jc w:val="center"/>
                    <w:rPr>
                      <w:bCs/>
                      <w:szCs w:val="21"/>
                    </w:rPr>
                  </w:pPr>
                  <w:r>
                    <w:rPr>
                      <w:rFonts w:hint="eastAsia"/>
                      <w:bCs/>
                      <w:szCs w:val="21"/>
                    </w:rPr>
                    <w:t>5</w:t>
                  </w:r>
                  <w:r>
                    <w:rPr>
                      <w:bCs/>
                      <w:szCs w:val="21"/>
                    </w:rPr>
                    <w:t>0</w:t>
                  </w:r>
                </w:p>
              </w:tc>
              <w:tc>
                <w:tcPr>
                  <w:tcW w:w="1138" w:type="dxa"/>
                  <w:vAlign w:val="center"/>
                </w:tcPr>
                <w:p w14:paraId="77A75456">
                  <w:pPr>
                    <w:spacing w:line="276" w:lineRule="auto"/>
                    <w:jc w:val="center"/>
                    <w:rPr>
                      <w:bCs/>
                      <w:szCs w:val="21"/>
                    </w:rPr>
                  </w:pPr>
                  <w:r>
                    <w:rPr>
                      <w:rFonts w:hint="eastAsia"/>
                      <w:bCs/>
                      <w:szCs w:val="21"/>
                    </w:rPr>
                    <w:t>N</w:t>
                  </w:r>
                  <w:r>
                    <w:rPr>
                      <w:bCs/>
                      <w:szCs w:val="21"/>
                    </w:rPr>
                    <w:t>D</w:t>
                  </w:r>
                </w:p>
              </w:tc>
              <w:tc>
                <w:tcPr>
                  <w:tcW w:w="1009" w:type="dxa"/>
                  <w:vAlign w:val="center"/>
                </w:tcPr>
                <w:p w14:paraId="7EA45731">
                  <w:pPr>
                    <w:spacing w:line="276" w:lineRule="auto"/>
                    <w:jc w:val="center"/>
                    <w:rPr>
                      <w:bCs/>
                      <w:szCs w:val="21"/>
                    </w:rPr>
                  </w:pPr>
                  <w:r>
                    <w:rPr>
                      <w:rFonts w:hint="eastAsia"/>
                      <w:bCs/>
                      <w:szCs w:val="21"/>
                    </w:rPr>
                    <w:t>N</w:t>
                  </w:r>
                  <w:r>
                    <w:rPr>
                      <w:bCs/>
                      <w:szCs w:val="21"/>
                    </w:rPr>
                    <w:t>D</w:t>
                  </w:r>
                </w:p>
              </w:tc>
              <w:tc>
                <w:tcPr>
                  <w:tcW w:w="1058" w:type="dxa"/>
                  <w:vAlign w:val="center"/>
                </w:tcPr>
                <w:p w14:paraId="05CF428D">
                  <w:pPr>
                    <w:spacing w:line="276" w:lineRule="auto"/>
                    <w:jc w:val="center"/>
                    <w:rPr>
                      <w:bCs/>
                      <w:szCs w:val="21"/>
                    </w:rPr>
                  </w:pPr>
                  <w:r>
                    <w:rPr>
                      <w:rFonts w:hint="eastAsia"/>
                      <w:bCs/>
                      <w:szCs w:val="21"/>
                    </w:rPr>
                    <w:t>N</w:t>
                  </w:r>
                  <w:r>
                    <w:rPr>
                      <w:bCs/>
                      <w:szCs w:val="21"/>
                    </w:rPr>
                    <w:t>D</w:t>
                  </w:r>
                </w:p>
              </w:tc>
            </w:tr>
            <w:tr w14:paraId="4E89F9B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3B891A63">
                  <w:pPr>
                    <w:spacing w:line="276" w:lineRule="auto"/>
                    <w:jc w:val="center"/>
                    <w:rPr>
                      <w:bCs/>
                      <w:szCs w:val="21"/>
                    </w:rPr>
                  </w:pPr>
                  <w:r>
                    <w:rPr>
                      <w:rFonts w:hint="eastAsia"/>
                      <w:bCs/>
                      <w:szCs w:val="21"/>
                    </w:rPr>
                    <w:t>可溶性铜（Cu）</w:t>
                  </w:r>
                </w:p>
              </w:tc>
              <w:tc>
                <w:tcPr>
                  <w:tcW w:w="1231" w:type="dxa"/>
                  <w:vAlign w:val="center"/>
                </w:tcPr>
                <w:p w14:paraId="004C12A8">
                  <w:pPr>
                    <w:spacing w:line="276" w:lineRule="auto"/>
                    <w:jc w:val="center"/>
                    <w:rPr>
                      <w:bCs/>
                      <w:szCs w:val="21"/>
                    </w:rPr>
                  </w:pPr>
                  <w:r>
                    <w:rPr>
                      <w:rFonts w:hint="eastAsia"/>
                      <w:bCs/>
                      <w:szCs w:val="21"/>
                    </w:rPr>
                    <w:t>6</w:t>
                  </w:r>
                  <w:r>
                    <w:rPr>
                      <w:bCs/>
                      <w:szCs w:val="21"/>
                    </w:rPr>
                    <w:t>22.5</w:t>
                  </w:r>
                </w:p>
              </w:tc>
              <w:tc>
                <w:tcPr>
                  <w:tcW w:w="1236" w:type="dxa"/>
                  <w:vAlign w:val="center"/>
                </w:tcPr>
                <w:p w14:paraId="5FE760FE">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5AE00853">
                  <w:pPr>
                    <w:spacing w:line="276" w:lineRule="auto"/>
                    <w:jc w:val="center"/>
                    <w:rPr>
                      <w:bCs/>
                      <w:szCs w:val="21"/>
                    </w:rPr>
                  </w:pPr>
                  <w:r>
                    <w:rPr>
                      <w:rFonts w:hint="eastAsia"/>
                      <w:bCs/>
                      <w:szCs w:val="21"/>
                    </w:rPr>
                    <w:t>5</w:t>
                  </w:r>
                  <w:r>
                    <w:rPr>
                      <w:bCs/>
                      <w:szCs w:val="21"/>
                    </w:rPr>
                    <w:t>0</w:t>
                  </w:r>
                </w:p>
              </w:tc>
              <w:tc>
                <w:tcPr>
                  <w:tcW w:w="1138" w:type="dxa"/>
                  <w:vAlign w:val="center"/>
                </w:tcPr>
                <w:p w14:paraId="0057787B">
                  <w:pPr>
                    <w:spacing w:line="276" w:lineRule="auto"/>
                    <w:jc w:val="center"/>
                    <w:rPr>
                      <w:bCs/>
                      <w:szCs w:val="21"/>
                    </w:rPr>
                  </w:pPr>
                  <w:r>
                    <w:rPr>
                      <w:rFonts w:hint="eastAsia"/>
                      <w:bCs/>
                      <w:szCs w:val="21"/>
                    </w:rPr>
                    <w:t>N</w:t>
                  </w:r>
                  <w:r>
                    <w:rPr>
                      <w:bCs/>
                      <w:szCs w:val="21"/>
                    </w:rPr>
                    <w:t>D</w:t>
                  </w:r>
                </w:p>
              </w:tc>
              <w:tc>
                <w:tcPr>
                  <w:tcW w:w="1009" w:type="dxa"/>
                  <w:vAlign w:val="center"/>
                </w:tcPr>
                <w:p w14:paraId="6175FFE1">
                  <w:pPr>
                    <w:spacing w:line="276" w:lineRule="auto"/>
                    <w:jc w:val="center"/>
                    <w:rPr>
                      <w:bCs/>
                      <w:szCs w:val="21"/>
                    </w:rPr>
                  </w:pPr>
                  <w:r>
                    <w:rPr>
                      <w:rFonts w:hint="eastAsia"/>
                      <w:bCs/>
                      <w:szCs w:val="21"/>
                    </w:rPr>
                    <w:t>268</w:t>
                  </w:r>
                </w:p>
              </w:tc>
              <w:tc>
                <w:tcPr>
                  <w:tcW w:w="1058" w:type="dxa"/>
                  <w:vAlign w:val="center"/>
                </w:tcPr>
                <w:p w14:paraId="68FD9D84">
                  <w:pPr>
                    <w:spacing w:line="276" w:lineRule="auto"/>
                    <w:jc w:val="center"/>
                    <w:rPr>
                      <w:bCs/>
                      <w:szCs w:val="21"/>
                    </w:rPr>
                  </w:pPr>
                  <w:r>
                    <w:rPr>
                      <w:rFonts w:hint="eastAsia"/>
                      <w:bCs/>
                      <w:szCs w:val="21"/>
                    </w:rPr>
                    <w:t>177</w:t>
                  </w:r>
                </w:p>
              </w:tc>
            </w:tr>
            <w:tr w14:paraId="02DFB75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18DCE0FB">
                  <w:pPr>
                    <w:spacing w:line="276" w:lineRule="auto"/>
                    <w:jc w:val="center"/>
                    <w:rPr>
                      <w:bCs/>
                      <w:szCs w:val="21"/>
                    </w:rPr>
                  </w:pPr>
                  <w:r>
                    <w:rPr>
                      <w:rFonts w:hint="eastAsia"/>
                      <w:bCs/>
                      <w:szCs w:val="21"/>
                    </w:rPr>
                    <w:t>可溶性铝（Al）</w:t>
                  </w:r>
                </w:p>
              </w:tc>
              <w:tc>
                <w:tcPr>
                  <w:tcW w:w="1231" w:type="dxa"/>
                  <w:vAlign w:val="center"/>
                </w:tcPr>
                <w:p w14:paraId="04AA9555">
                  <w:pPr>
                    <w:spacing w:line="276" w:lineRule="auto"/>
                    <w:jc w:val="center"/>
                    <w:rPr>
                      <w:bCs/>
                      <w:szCs w:val="21"/>
                    </w:rPr>
                  </w:pPr>
                  <w:r>
                    <w:rPr>
                      <w:rFonts w:hint="eastAsia"/>
                      <w:bCs/>
                      <w:szCs w:val="21"/>
                    </w:rPr>
                    <w:t>2</w:t>
                  </w:r>
                  <w:r>
                    <w:rPr>
                      <w:bCs/>
                      <w:szCs w:val="21"/>
                    </w:rPr>
                    <w:t>250</w:t>
                  </w:r>
                </w:p>
              </w:tc>
              <w:tc>
                <w:tcPr>
                  <w:tcW w:w="1236" w:type="dxa"/>
                  <w:vAlign w:val="center"/>
                </w:tcPr>
                <w:p w14:paraId="4192305F">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27D1C561">
                  <w:pPr>
                    <w:spacing w:line="276" w:lineRule="auto"/>
                    <w:jc w:val="center"/>
                    <w:rPr>
                      <w:bCs/>
                      <w:szCs w:val="21"/>
                    </w:rPr>
                  </w:pPr>
                  <w:r>
                    <w:rPr>
                      <w:rFonts w:hint="eastAsia"/>
                      <w:bCs/>
                      <w:szCs w:val="21"/>
                    </w:rPr>
                    <w:t>5</w:t>
                  </w:r>
                  <w:r>
                    <w:rPr>
                      <w:bCs/>
                      <w:szCs w:val="21"/>
                    </w:rPr>
                    <w:t>0</w:t>
                  </w:r>
                </w:p>
              </w:tc>
              <w:tc>
                <w:tcPr>
                  <w:tcW w:w="1138" w:type="dxa"/>
                  <w:vAlign w:val="center"/>
                </w:tcPr>
                <w:p w14:paraId="3352FD9B">
                  <w:pPr>
                    <w:spacing w:line="276" w:lineRule="auto"/>
                    <w:jc w:val="center"/>
                    <w:rPr>
                      <w:bCs/>
                      <w:szCs w:val="21"/>
                    </w:rPr>
                  </w:pPr>
                  <w:r>
                    <w:rPr>
                      <w:rFonts w:hint="eastAsia"/>
                      <w:bCs/>
                      <w:szCs w:val="21"/>
                    </w:rPr>
                    <w:t>5</w:t>
                  </w:r>
                  <w:r>
                    <w:rPr>
                      <w:bCs/>
                      <w:szCs w:val="21"/>
                    </w:rPr>
                    <w:t>16</w:t>
                  </w:r>
                </w:p>
              </w:tc>
              <w:tc>
                <w:tcPr>
                  <w:tcW w:w="1009" w:type="dxa"/>
                  <w:vAlign w:val="center"/>
                </w:tcPr>
                <w:p w14:paraId="0C01F83C">
                  <w:pPr>
                    <w:spacing w:line="276" w:lineRule="auto"/>
                    <w:jc w:val="center"/>
                    <w:rPr>
                      <w:bCs/>
                      <w:szCs w:val="21"/>
                    </w:rPr>
                  </w:pPr>
                  <w:r>
                    <w:rPr>
                      <w:rFonts w:hint="eastAsia"/>
                      <w:bCs/>
                      <w:szCs w:val="21"/>
                    </w:rPr>
                    <w:t>241</w:t>
                  </w:r>
                </w:p>
              </w:tc>
              <w:tc>
                <w:tcPr>
                  <w:tcW w:w="1058" w:type="dxa"/>
                  <w:vAlign w:val="center"/>
                </w:tcPr>
                <w:p w14:paraId="27BA4EF4">
                  <w:pPr>
                    <w:spacing w:line="276" w:lineRule="auto"/>
                    <w:jc w:val="center"/>
                    <w:rPr>
                      <w:bCs/>
                      <w:szCs w:val="21"/>
                    </w:rPr>
                  </w:pPr>
                  <w:r>
                    <w:rPr>
                      <w:rFonts w:hint="eastAsia"/>
                      <w:bCs/>
                      <w:szCs w:val="21"/>
                    </w:rPr>
                    <w:t>N</w:t>
                  </w:r>
                  <w:r>
                    <w:rPr>
                      <w:bCs/>
                      <w:szCs w:val="21"/>
                    </w:rPr>
                    <w:t>D</w:t>
                  </w:r>
                </w:p>
              </w:tc>
            </w:tr>
            <w:tr w14:paraId="0B518B6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3ADE4E6D">
                  <w:pPr>
                    <w:spacing w:line="276" w:lineRule="auto"/>
                    <w:jc w:val="center"/>
                    <w:rPr>
                      <w:bCs/>
                      <w:szCs w:val="21"/>
                    </w:rPr>
                  </w:pPr>
                  <w:r>
                    <w:rPr>
                      <w:rFonts w:hint="eastAsia"/>
                      <w:bCs/>
                      <w:szCs w:val="21"/>
                    </w:rPr>
                    <w:t>可溶性镍（Ni）</w:t>
                  </w:r>
                </w:p>
              </w:tc>
              <w:tc>
                <w:tcPr>
                  <w:tcW w:w="1231" w:type="dxa"/>
                  <w:vAlign w:val="center"/>
                </w:tcPr>
                <w:p w14:paraId="46BDD031">
                  <w:pPr>
                    <w:spacing w:line="276" w:lineRule="auto"/>
                    <w:jc w:val="center"/>
                    <w:rPr>
                      <w:bCs/>
                      <w:szCs w:val="21"/>
                    </w:rPr>
                  </w:pPr>
                  <w:r>
                    <w:rPr>
                      <w:rFonts w:hint="eastAsia"/>
                      <w:bCs/>
                      <w:szCs w:val="21"/>
                    </w:rPr>
                    <w:t>7</w:t>
                  </w:r>
                  <w:r>
                    <w:rPr>
                      <w:bCs/>
                      <w:szCs w:val="21"/>
                    </w:rPr>
                    <w:t>5</w:t>
                  </w:r>
                </w:p>
              </w:tc>
              <w:tc>
                <w:tcPr>
                  <w:tcW w:w="1236" w:type="dxa"/>
                  <w:vAlign w:val="center"/>
                </w:tcPr>
                <w:p w14:paraId="0BD5FFF1">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0A4C7181">
                  <w:pPr>
                    <w:spacing w:line="276" w:lineRule="auto"/>
                    <w:jc w:val="center"/>
                    <w:rPr>
                      <w:bCs/>
                      <w:szCs w:val="21"/>
                    </w:rPr>
                  </w:pPr>
                  <w:r>
                    <w:rPr>
                      <w:rFonts w:hint="eastAsia"/>
                      <w:bCs/>
                      <w:szCs w:val="21"/>
                    </w:rPr>
                    <w:t>1</w:t>
                  </w:r>
                  <w:r>
                    <w:rPr>
                      <w:bCs/>
                      <w:szCs w:val="21"/>
                    </w:rPr>
                    <w:t>0</w:t>
                  </w:r>
                </w:p>
              </w:tc>
              <w:tc>
                <w:tcPr>
                  <w:tcW w:w="1138" w:type="dxa"/>
                  <w:vAlign w:val="center"/>
                </w:tcPr>
                <w:p w14:paraId="7ACB97A0">
                  <w:pPr>
                    <w:spacing w:line="276" w:lineRule="auto"/>
                    <w:jc w:val="center"/>
                    <w:rPr>
                      <w:bCs/>
                      <w:szCs w:val="21"/>
                    </w:rPr>
                  </w:pPr>
                  <w:r>
                    <w:rPr>
                      <w:rFonts w:hint="eastAsia"/>
                      <w:bCs/>
                      <w:szCs w:val="21"/>
                    </w:rPr>
                    <w:t>N</w:t>
                  </w:r>
                  <w:r>
                    <w:rPr>
                      <w:bCs/>
                      <w:szCs w:val="21"/>
                    </w:rPr>
                    <w:t>D</w:t>
                  </w:r>
                </w:p>
              </w:tc>
              <w:tc>
                <w:tcPr>
                  <w:tcW w:w="1009" w:type="dxa"/>
                  <w:vAlign w:val="center"/>
                </w:tcPr>
                <w:p w14:paraId="0F74B107">
                  <w:pPr>
                    <w:spacing w:line="276" w:lineRule="auto"/>
                    <w:jc w:val="center"/>
                    <w:rPr>
                      <w:bCs/>
                      <w:szCs w:val="21"/>
                    </w:rPr>
                  </w:pPr>
                  <w:r>
                    <w:rPr>
                      <w:rFonts w:hint="eastAsia"/>
                      <w:bCs/>
                      <w:szCs w:val="21"/>
                    </w:rPr>
                    <w:t>N</w:t>
                  </w:r>
                  <w:r>
                    <w:rPr>
                      <w:bCs/>
                      <w:szCs w:val="21"/>
                    </w:rPr>
                    <w:t>D</w:t>
                  </w:r>
                </w:p>
              </w:tc>
              <w:tc>
                <w:tcPr>
                  <w:tcW w:w="1058" w:type="dxa"/>
                  <w:vAlign w:val="center"/>
                </w:tcPr>
                <w:p w14:paraId="525951EC">
                  <w:pPr>
                    <w:spacing w:line="276" w:lineRule="auto"/>
                    <w:jc w:val="center"/>
                    <w:rPr>
                      <w:b/>
                      <w:bCs/>
                      <w:szCs w:val="21"/>
                    </w:rPr>
                  </w:pPr>
                  <w:r>
                    <w:rPr>
                      <w:rFonts w:hint="eastAsia"/>
                      <w:bCs/>
                      <w:szCs w:val="21"/>
                    </w:rPr>
                    <w:t>N</w:t>
                  </w:r>
                  <w:r>
                    <w:rPr>
                      <w:bCs/>
                      <w:szCs w:val="21"/>
                    </w:rPr>
                    <w:t>D</w:t>
                  </w:r>
                </w:p>
              </w:tc>
            </w:tr>
            <w:tr w14:paraId="6730A1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746FEE8D">
                  <w:pPr>
                    <w:spacing w:line="276" w:lineRule="auto"/>
                    <w:jc w:val="center"/>
                    <w:rPr>
                      <w:bCs/>
                      <w:szCs w:val="21"/>
                    </w:rPr>
                  </w:pPr>
                  <w:r>
                    <w:rPr>
                      <w:rFonts w:hint="eastAsia"/>
                      <w:bCs/>
                      <w:szCs w:val="21"/>
                    </w:rPr>
                    <w:t>可溶性锡（Sn）</w:t>
                  </w:r>
                </w:p>
              </w:tc>
              <w:tc>
                <w:tcPr>
                  <w:tcW w:w="1231" w:type="dxa"/>
                  <w:vAlign w:val="center"/>
                </w:tcPr>
                <w:p w14:paraId="29380511">
                  <w:pPr>
                    <w:spacing w:line="276" w:lineRule="auto"/>
                    <w:jc w:val="center"/>
                    <w:rPr>
                      <w:bCs/>
                      <w:szCs w:val="21"/>
                    </w:rPr>
                  </w:pPr>
                  <w:r>
                    <w:rPr>
                      <w:rFonts w:hint="eastAsia"/>
                      <w:bCs/>
                      <w:szCs w:val="21"/>
                    </w:rPr>
                    <w:t>1</w:t>
                  </w:r>
                  <w:r>
                    <w:rPr>
                      <w:bCs/>
                      <w:szCs w:val="21"/>
                    </w:rPr>
                    <w:t>5000</w:t>
                  </w:r>
                </w:p>
              </w:tc>
              <w:tc>
                <w:tcPr>
                  <w:tcW w:w="1236" w:type="dxa"/>
                  <w:vAlign w:val="center"/>
                </w:tcPr>
                <w:p w14:paraId="0D788C1A">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568A03FF">
                  <w:pPr>
                    <w:spacing w:line="276" w:lineRule="auto"/>
                    <w:jc w:val="center"/>
                    <w:rPr>
                      <w:bCs/>
                      <w:szCs w:val="21"/>
                    </w:rPr>
                  </w:pPr>
                  <w:r>
                    <w:rPr>
                      <w:rFonts w:hint="eastAsia"/>
                      <w:bCs/>
                      <w:szCs w:val="21"/>
                    </w:rPr>
                    <w:t>0</w:t>
                  </w:r>
                  <w:r>
                    <w:rPr>
                      <w:bCs/>
                      <w:szCs w:val="21"/>
                    </w:rPr>
                    <w:t>.15</w:t>
                  </w:r>
                </w:p>
              </w:tc>
              <w:tc>
                <w:tcPr>
                  <w:tcW w:w="1138" w:type="dxa"/>
                  <w:vAlign w:val="center"/>
                </w:tcPr>
                <w:p w14:paraId="58593A83">
                  <w:pPr>
                    <w:spacing w:line="276" w:lineRule="auto"/>
                    <w:jc w:val="center"/>
                    <w:rPr>
                      <w:bCs/>
                      <w:szCs w:val="21"/>
                    </w:rPr>
                  </w:pPr>
                  <w:r>
                    <w:rPr>
                      <w:rFonts w:hint="eastAsia"/>
                      <w:bCs/>
                      <w:szCs w:val="21"/>
                    </w:rPr>
                    <w:t>N</w:t>
                  </w:r>
                  <w:r>
                    <w:rPr>
                      <w:bCs/>
                      <w:szCs w:val="21"/>
                    </w:rPr>
                    <w:t>D</w:t>
                  </w:r>
                </w:p>
              </w:tc>
              <w:tc>
                <w:tcPr>
                  <w:tcW w:w="1009" w:type="dxa"/>
                  <w:vAlign w:val="center"/>
                </w:tcPr>
                <w:p w14:paraId="6043241D">
                  <w:pPr>
                    <w:spacing w:line="276" w:lineRule="auto"/>
                    <w:jc w:val="center"/>
                    <w:rPr>
                      <w:bCs/>
                      <w:szCs w:val="21"/>
                    </w:rPr>
                  </w:pPr>
                  <w:r>
                    <w:rPr>
                      <w:rFonts w:hint="eastAsia"/>
                      <w:bCs/>
                      <w:szCs w:val="21"/>
                    </w:rPr>
                    <w:t>N</w:t>
                  </w:r>
                  <w:r>
                    <w:rPr>
                      <w:bCs/>
                      <w:szCs w:val="21"/>
                    </w:rPr>
                    <w:t>D</w:t>
                  </w:r>
                </w:p>
              </w:tc>
              <w:tc>
                <w:tcPr>
                  <w:tcW w:w="1058" w:type="dxa"/>
                  <w:vAlign w:val="center"/>
                </w:tcPr>
                <w:p w14:paraId="424C3F68">
                  <w:pPr>
                    <w:spacing w:line="276" w:lineRule="auto"/>
                    <w:jc w:val="center"/>
                    <w:rPr>
                      <w:b/>
                      <w:bCs/>
                      <w:szCs w:val="21"/>
                    </w:rPr>
                  </w:pPr>
                  <w:r>
                    <w:rPr>
                      <w:rFonts w:hint="eastAsia"/>
                      <w:bCs/>
                      <w:szCs w:val="21"/>
                    </w:rPr>
                    <w:t>N</w:t>
                  </w:r>
                  <w:r>
                    <w:rPr>
                      <w:bCs/>
                      <w:szCs w:val="21"/>
                    </w:rPr>
                    <w:t>D</w:t>
                  </w:r>
                </w:p>
              </w:tc>
            </w:tr>
            <w:tr w14:paraId="600828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313" w:type="dxa"/>
                  <w:vAlign w:val="center"/>
                </w:tcPr>
                <w:p w14:paraId="263C5876">
                  <w:pPr>
                    <w:spacing w:line="276" w:lineRule="auto"/>
                    <w:jc w:val="center"/>
                    <w:rPr>
                      <w:bCs/>
                      <w:szCs w:val="21"/>
                    </w:rPr>
                  </w:pPr>
                  <w:r>
                    <w:rPr>
                      <w:rFonts w:hint="eastAsia"/>
                      <w:bCs/>
                      <w:szCs w:val="21"/>
                    </w:rPr>
                    <w:t>可溶性有机锡</w:t>
                  </w:r>
                </w:p>
              </w:tc>
              <w:tc>
                <w:tcPr>
                  <w:tcW w:w="1231" w:type="dxa"/>
                  <w:vAlign w:val="center"/>
                </w:tcPr>
                <w:p w14:paraId="14FFC1EB">
                  <w:pPr>
                    <w:spacing w:line="276" w:lineRule="auto"/>
                    <w:jc w:val="center"/>
                    <w:rPr>
                      <w:bCs/>
                      <w:szCs w:val="21"/>
                    </w:rPr>
                  </w:pPr>
                  <w:r>
                    <w:rPr>
                      <w:rFonts w:hint="eastAsia"/>
                      <w:bCs/>
                      <w:szCs w:val="21"/>
                    </w:rPr>
                    <w:t>0</w:t>
                  </w:r>
                  <w:r>
                    <w:rPr>
                      <w:bCs/>
                      <w:szCs w:val="21"/>
                    </w:rPr>
                    <w:t>.9</w:t>
                  </w:r>
                </w:p>
              </w:tc>
              <w:tc>
                <w:tcPr>
                  <w:tcW w:w="1236" w:type="dxa"/>
                  <w:vAlign w:val="center"/>
                </w:tcPr>
                <w:p w14:paraId="2C84C1A2">
                  <w:pPr>
                    <w:spacing w:line="276" w:lineRule="auto"/>
                    <w:jc w:val="center"/>
                    <w:rPr>
                      <w:bCs/>
                      <w:szCs w:val="21"/>
                    </w:rPr>
                  </w:pPr>
                  <w:r>
                    <w:rPr>
                      <w:rFonts w:hint="eastAsia"/>
                      <w:bCs/>
                      <w:szCs w:val="21"/>
                    </w:rPr>
                    <w:t>mg</w:t>
                  </w:r>
                  <w:r>
                    <w:rPr>
                      <w:bCs/>
                      <w:szCs w:val="21"/>
                    </w:rPr>
                    <w:t>/</w:t>
                  </w:r>
                  <w:r>
                    <w:rPr>
                      <w:rFonts w:hint="eastAsia"/>
                      <w:bCs/>
                      <w:szCs w:val="21"/>
                    </w:rPr>
                    <w:t>kg</w:t>
                  </w:r>
                </w:p>
              </w:tc>
              <w:tc>
                <w:tcPr>
                  <w:tcW w:w="1162" w:type="dxa"/>
                  <w:vAlign w:val="center"/>
                </w:tcPr>
                <w:p w14:paraId="18817445">
                  <w:pPr>
                    <w:spacing w:line="276" w:lineRule="auto"/>
                    <w:jc w:val="center"/>
                    <w:rPr>
                      <w:bCs/>
                      <w:szCs w:val="21"/>
                    </w:rPr>
                  </w:pPr>
                  <w:r>
                    <w:rPr>
                      <w:rFonts w:hint="eastAsia"/>
                      <w:bCs/>
                      <w:szCs w:val="21"/>
                    </w:rPr>
                    <w:t>-</w:t>
                  </w:r>
                </w:p>
              </w:tc>
              <w:tc>
                <w:tcPr>
                  <w:tcW w:w="1138" w:type="dxa"/>
                  <w:vAlign w:val="center"/>
                </w:tcPr>
                <w:p w14:paraId="27C60ECF">
                  <w:pPr>
                    <w:spacing w:line="276" w:lineRule="auto"/>
                    <w:jc w:val="center"/>
                    <w:rPr>
                      <w:bCs/>
                      <w:szCs w:val="21"/>
                    </w:rPr>
                  </w:pPr>
                  <w:r>
                    <w:rPr>
                      <w:rFonts w:hint="eastAsia"/>
                      <w:bCs/>
                      <w:szCs w:val="21"/>
                    </w:rPr>
                    <w:t>N</w:t>
                  </w:r>
                  <w:r>
                    <w:rPr>
                      <w:bCs/>
                      <w:szCs w:val="21"/>
                    </w:rPr>
                    <w:t>D</w:t>
                  </w:r>
                </w:p>
              </w:tc>
              <w:tc>
                <w:tcPr>
                  <w:tcW w:w="1009" w:type="dxa"/>
                  <w:vAlign w:val="center"/>
                </w:tcPr>
                <w:p w14:paraId="291E98FD">
                  <w:pPr>
                    <w:spacing w:line="276" w:lineRule="auto"/>
                    <w:jc w:val="center"/>
                    <w:rPr>
                      <w:bCs/>
                      <w:szCs w:val="21"/>
                    </w:rPr>
                  </w:pPr>
                  <w:r>
                    <w:rPr>
                      <w:rFonts w:hint="eastAsia"/>
                      <w:bCs/>
                      <w:szCs w:val="21"/>
                    </w:rPr>
                    <w:t>N</w:t>
                  </w:r>
                  <w:r>
                    <w:rPr>
                      <w:bCs/>
                      <w:szCs w:val="21"/>
                    </w:rPr>
                    <w:t>D</w:t>
                  </w:r>
                </w:p>
              </w:tc>
              <w:tc>
                <w:tcPr>
                  <w:tcW w:w="1058" w:type="dxa"/>
                  <w:vAlign w:val="center"/>
                </w:tcPr>
                <w:p w14:paraId="655A7137">
                  <w:pPr>
                    <w:spacing w:line="276" w:lineRule="auto"/>
                    <w:jc w:val="center"/>
                    <w:rPr>
                      <w:bCs/>
                      <w:szCs w:val="21"/>
                    </w:rPr>
                  </w:pPr>
                  <w:r>
                    <w:rPr>
                      <w:rFonts w:hint="eastAsia"/>
                      <w:bCs/>
                      <w:szCs w:val="21"/>
                    </w:rPr>
                    <w:t>N</w:t>
                  </w:r>
                  <w:r>
                    <w:rPr>
                      <w:bCs/>
                      <w:szCs w:val="21"/>
                    </w:rPr>
                    <w:t>D</w:t>
                  </w:r>
                </w:p>
              </w:tc>
            </w:tr>
          </w:tbl>
          <w:p w14:paraId="0010E996">
            <w:pPr>
              <w:spacing w:line="360" w:lineRule="auto"/>
              <w:ind w:firstLine="482" w:firstLineChars="200"/>
              <w:rPr>
                <w:b/>
                <w:sz w:val="24"/>
              </w:rPr>
            </w:pPr>
            <w:r>
              <w:rPr>
                <w:rFonts w:hint="eastAsia"/>
                <w:b/>
                <w:sz w:val="24"/>
              </w:rPr>
              <w:t>7</w:t>
            </w:r>
            <w:r>
              <w:rPr>
                <w:b/>
                <w:sz w:val="24"/>
              </w:rPr>
              <w:t>、</w:t>
            </w:r>
            <w:r>
              <w:rPr>
                <w:rFonts w:hint="eastAsia"/>
                <w:b/>
                <w:sz w:val="24"/>
              </w:rPr>
              <w:t>公用工程</w:t>
            </w:r>
          </w:p>
          <w:p w14:paraId="75B79137">
            <w:pPr>
              <w:pStyle w:val="108"/>
              <w:adjustRightInd/>
              <w:spacing w:line="360" w:lineRule="auto"/>
              <w:ind w:firstLine="480" w:firstLineChars="200"/>
              <w:rPr>
                <w:color w:val="auto"/>
              </w:rPr>
            </w:pPr>
            <w:r>
              <w:rPr>
                <w:rFonts w:hint="eastAsia"/>
                <w:color w:val="auto"/>
              </w:rPr>
              <w:t>（1）给排水</w:t>
            </w:r>
          </w:p>
          <w:p w14:paraId="5A2B58FD">
            <w:pPr>
              <w:pStyle w:val="108"/>
              <w:adjustRightInd/>
              <w:spacing w:line="360" w:lineRule="auto"/>
              <w:ind w:firstLine="480" w:firstLineChars="200"/>
              <w:jc w:val="both"/>
              <w:rPr>
                <w:color w:val="auto"/>
              </w:rPr>
            </w:pPr>
            <w:r>
              <w:rPr>
                <w:rFonts w:hint="eastAsia"/>
                <w:color w:val="auto"/>
              </w:rPr>
              <w:t>本项目用水由市政供水管网供给。本项目年用水量</w:t>
            </w:r>
            <w:r>
              <w:rPr>
                <w:rFonts w:hint="eastAsia"/>
                <w:color w:val="auto"/>
                <w:szCs w:val="21"/>
              </w:rPr>
              <w:t>1.8m</w:t>
            </w:r>
            <w:r>
              <w:rPr>
                <w:rFonts w:hint="eastAsia"/>
                <w:color w:val="auto"/>
                <w:szCs w:val="21"/>
                <w:vertAlign w:val="superscript"/>
              </w:rPr>
              <w:t>3</w:t>
            </w:r>
            <w:r>
              <w:rPr>
                <w:rFonts w:hint="eastAsia"/>
                <w:color w:val="auto"/>
                <w:szCs w:val="21"/>
              </w:rPr>
              <w:t>/d（594m</w:t>
            </w:r>
            <w:r>
              <w:rPr>
                <w:rFonts w:hint="eastAsia"/>
                <w:color w:val="auto"/>
                <w:szCs w:val="21"/>
                <w:vertAlign w:val="superscript"/>
              </w:rPr>
              <w:t>3</w:t>
            </w:r>
            <w:r>
              <w:rPr>
                <w:rFonts w:hint="eastAsia"/>
                <w:color w:val="auto"/>
                <w:szCs w:val="21"/>
              </w:rPr>
              <w:t>/a）</w:t>
            </w:r>
            <w:r>
              <w:rPr>
                <w:rFonts w:hint="eastAsia"/>
                <w:color w:val="auto"/>
              </w:rPr>
              <w:t>，主要为生活用水。</w:t>
            </w:r>
          </w:p>
          <w:p w14:paraId="47AD687A">
            <w:pPr>
              <w:pStyle w:val="108"/>
              <w:adjustRightInd/>
              <w:spacing w:line="360" w:lineRule="auto"/>
              <w:ind w:firstLine="480" w:firstLineChars="200"/>
              <w:rPr>
                <w:color w:val="auto"/>
                <w:kern w:val="2"/>
              </w:rPr>
            </w:pPr>
            <w:r>
              <w:rPr>
                <w:rFonts w:hint="eastAsia"/>
                <w:color w:val="auto"/>
                <w:kern w:val="2"/>
              </w:rPr>
              <w:t>本项目雨污分流。雨水由厂区雨水管网收集经雨水总排口汇入园区雨水管网。</w:t>
            </w:r>
            <w:r>
              <w:rPr>
                <w:rFonts w:hint="eastAsia"/>
                <w:color w:val="auto"/>
                <w:szCs w:val="21"/>
              </w:rPr>
              <w:t>生活污水依托厂区内化粪池处理，达到</w:t>
            </w:r>
            <w:r>
              <w:rPr>
                <w:rFonts w:hint="eastAsia" w:hAnsi="宋体"/>
                <w:bCs/>
                <w:color w:val="auto"/>
                <w:spacing w:val="-1"/>
              </w:rPr>
              <w:t>毛集实验区污水处理厂接管限值后</w:t>
            </w:r>
            <w:r>
              <w:rPr>
                <w:rFonts w:hint="eastAsia"/>
                <w:color w:val="auto"/>
                <w:szCs w:val="21"/>
              </w:rPr>
              <w:t>进入毛集实验区污水处理厂处理。毛集实验区污水处理厂处理的尾水达</w:t>
            </w:r>
            <w:r>
              <w:rPr>
                <w:rFonts w:hint="eastAsia" w:hAnsi="宋体"/>
                <w:color w:val="auto"/>
              </w:rPr>
              <w:t>《城镇污水处理厂污染物排放标准》（GB18918-2002）一级A标准</w:t>
            </w:r>
            <w:r>
              <w:rPr>
                <w:color w:val="auto"/>
                <w:kern w:val="2"/>
              </w:rPr>
              <w:t>后</w:t>
            </w:r>
            <w:r>
              <w:rPr>
                <w:rFonts w:hint="eastAsia"/>
                <w:color w:val="auto"/>
              </w:rPr>
              <w:t>排入丁家沟</w:t>
            </w:r>
            <w:r>
              <w:rPr>
                <w:rFonts w:hint="eastAsia"/>
                <w:color w:val="auto"/>
                <w:kern w:val="2"/>
              </w:rPr>
              <w:t>。水平衡图见下图：</w:t>
            </w:r>
          </w:p>
          <w:p w14:paraId="6FE40842">
            <w:pPr>
              <w:pStyle w:val="108"/>
              <w:jc w:val="center"/>
              <w:rPr>
                <w:rFonts w:ascii="黑体" w:hAnsi="黑体" w:eastAsia="黑体"/>
                <w:bCs/>
                <w:color w:val="auto"/>
              </w:rPr>
            </w:pPr>
            <w:r>
              <w:rPr>
                <w:rFonts w:ascii="黑体" w:hAnsi="黑体" w:eastAsia="黑体"/>
                <w:bCs/>
                <w:color w:val="auto"/>
              </w:rPr>
              <w:pict>
                <v:group id="_x0000_s7552" o:spid="_x0000_s7552" o:spt="203" style="height:98.9pt;width:400.55pt;" coordorigin="812,12066" coordsize="8011,1978" editas="canvas">
                  <o:lock v:ext="edit"/>
                  <v:shape id="_x0000_s7553" o:spid="_x0000_s7553" o:spt="75" type="#_x0000_t75" style="position:absolute;left:812;top:12066;height:1978;width:8011;" filled="f" o:preferrelative="f" stroked="f" coordsize="21600,21600">
                    <v:path/>
                    <v:fill on="f" focussize="0,0"/>
                    <v:stroke on="f" joinstyle="miter"/>
                    <v:imagedata o:title=""/>
                    <o:lock v:ext="edit" text="t" aspectratio="t"/>
                  </v:shape>
                  <v:shape id="_x0000_s7554" o:spid="_x0000_s7554" o:spt="202" type="#_x0000_t202" style="position:absolute;left:1585;top:13139;height:456;width:577;" filled="f" stroked="f" coordsize="21600,21600">
                    <v:path/>
                    <v:fill on="f" focussize="0,0"/>
                    <v:stroke on="f" joinstyle="miter"/>
                    <v:imagedata o:title=""/>
                    <o:lock v:ext="edit"/>
                    <v:textbox style="mso-fit-shape-to-text:t;">
                      <w:txbxContent>
                        <w:p w14:paraId="73C4140B">
                          <w:pPr>
                            <w:rPr>
                              <w:szCs w:val="18"/>
                            </w:rPr>
                          </w:pPr>
                          <w:r>
                            <w:rPr>
                              <w:rFonts w:hint="eastAsia"/>
                              <w:szCs w:val="18"/>
                            </w:rPr>
                            <w:t>1.8</w:t>
                          </w:r>
                        </w:p>
                      </w:txbxContent>
                    </v:textbox>
                  </v:shape>
                  <v:shape id="_x0000_s7555" o:spid="_x0000_s7555" o:spt="202" type="#_x0000_t202" style="position:absolute;left:3987;top:12901;height:456;width:644;" filled="f" stroked="f" coordsize="21600,21600">
                    <v:path/>
                    <v:fill on="f" focussize="0,0"/>
                    <v:stroke on="f" joinstyle="miter"/>
                    <v:imagedata o:title=""/>
                    <o:lock v:ext="edit"/>
                    <v:textbox style="mso-fit-shape-to-text:t;">
                      <w:txbxContent>
                        <w:p w14:paraId="7D14710B">
                          <w:pPr>
                            <w:rPr>
                              <w:rFonts w:eastAsia="黑体"/>
                              <w:sz w:val="18"/>
                              <w:szCs w:val="18"/>
                            </w:rPr>
                          </w:pPr>
                          <w:r>
                            <w:rPr>
                              <w:rFonts w:hint="eastAsia" w:eastAsia="黑体"/>
                              <w:sz w:val="18"/>
                              <w:szCs w:val="18"/>
                            </w:rPr>
                            <w:t>1.44</w:t>
                          </w:r>
                        </w:p>
                      </w:txbxContent>
                    </v:textbox>
                  </v:shape>
                  <v:rect id="_x0000_s7557" o:spid="_x0000_s7557" o:spt="1" style="position:absolute;left:2671;top:13139;height:449;width:1417;" coordsize="21600,21600">
                    <v:path/>
                    <v:fill focussize="0,0"/>
                    <v:stroke/>
                    <v:imagedata o:title=""/>
                    <o:lock v:ext="edit"/>
                    <v:textbox>
                      <w:txbxContent>
                        <w:p w14:paraId="08954E0C">
                          <w:pPr>
                            <w:jc w:val="center"/>
                            <w:rPr>
                              <w:rFonts w:eastAsia="黑体"/>
                              <w:sz w:val="18"/>
                              <w:szCs w:val="18"/>
                            </w:rPr>
                          </w:pPr>
                          <w:r>
                            <w:rPr>
                              <w:rFonts w:hint="eastAsia" w:hAnsi="黑体" w:eastAsia="黑体"/>
                              <w:sz w:val="18"/>
                              <w:szCs w:val="18"/>
                            </w:rPr>
                            <w:t>生活</w:t>
                          </w:r>
                          <w:r>
                            <w:rPr>
                              <w:rFonts w:hAnsi="黑体" w:eastAsia="黑体"/>
                              <w:sz w:val="18"/>
                              <w:szCs w:val="18"/>
                            </w:rPr>
                            <w:t>用水</w:t>
                          </w:r>
                        </w:p>
                      </w:txbxContent>
                    </v:textbox>
                  </v:rect>
                  <v:shape id="_x0000_s7558" o:spid="_x0000_s7558" o:spt="32" type="#_x0000_t32" style="position:absolute;left:4088;top:13357;height:1;width:466;" o:connectortype="straight" filled="f" coordsize="21600,21600">
                    <v:path arrowok="t"/>
                    <v:fill on="f" focussize="0,0"/>
                    <v:stroke endarrow="block" endarrowwidth="narrow"/>
                    <v:imagedata o:title=""/>
                    <o:lock v:ext="edit"/>
                  </v:shape>
                  <v:shape id="_x0000_s7559" o:spid="_x0000_s7559" o:spt="202" type="#_x0000_t202" style="position:absolute;left:6335;top:13132;height:456;width:2350;" filled="f" stroked="f" coordsize="21600,21600">
                    <v:path/>
                    <v:fill on="f" focussize="0,0"/>
                    <v:stroke on="f" joinstyle="miter"/>
                    <v:imagedata o:title=""/>
                    <o:lock v:ext="edit"/>
                    <v:textbox>
                      <w:txbxContent>
                        <w:p w14:paraId="1955F8E0">
                          <w:pPr>
                            <w:jc w:val="center"/>
                            <w:rPr>
                              <w:rFonts w:eastAsia="黑体"/>
                              <w:sz w:val="18"/>
                              <w:szCs w:val="18"/>
                            </w:rPr>
                          </w:pPr>
                          <w:r>
                            <w:rPr>
                              <w:rFonts w:hAnsi="黑体" w:eastAsia="黑体"/>
                              <w:sz w:val="18"/>
                              <w:szCs w:val="18"/>
                            </w:rPr>
                            <w:t>毛集实验区污水处理厂</w:t>
                          </w:r>
                        </w:p>
                      </w:txbxContent>
                    </v:textbox>
                  </v:shape>
                  <v:shape id="_x0000_s7560" o:spid="_x0000_s7560" o:spt="202" type="#_x0000_t202" style="position:absolute;left:3424;top:12289;height:456;width:664;" filled="f" stroked="f" coordsize="21600,21600">
                    <v:path/>
                    <v:fill on="f" focussize="0,0"/>
                    <v:stroke on="f" joinstyle="miter"/>
                    <v:imagedata o:title=""/>
                    <o:lock v:ext="edit"/>
                    <v:textbox style="mso-fit-shape-to-text:t;">
                      <w:txbxContent>
                        <w:p w14:paraId="0008742B">
                          <w:pPr>
                            <w:rPr>
                              <w:rFonts w:eastAsia="黑体"/>
                              <w:sz w:val="18"/>
                              <w:szCs w:val="18"/>
                            </w:rPr>
                          </w:pPr>
                          <w:r>
                            <w:rPr>
                              <w:rFonts w:hint="eastAsia" w:eastAsia="黑体"/>
                              <w:sz w:val="18"/>
                              <w:szCs w:val="18"/>
                            </w:rPr>
                            <w:t>0.36</w:t>
                          </w:r>
                        </w:p>
                      </w:txbxContent>
                    </v:textbox>
                  </v:shape>
                  <v:shape id="_x0000_s7561" o:spid="_x0000_s7561" style="position:absolute;left:3424;top:12745;height:394;width:332;" filled="f" coordsize="591,516" path="m0,516c97,330,194,145,252,122c310,99,291,398,347,378c403,358,546,63,591,0e">
                    <v:path arrowok="t"/>
                    <v:fill on="f" focussize="0,0"/>
                    <v:stroke dashstyle="dash" endarrow="block" endarrowwidth="narrow"/>
                    <v:imagedata o:title=""/>
                    <o:lock v:ext="edit"/>
                  </v:shape>
                  <v:rect id="_x0000_s7562" o:spid="_x0000_s7562" o:spt="1" style="position:absolute;left:4554;top:13139;height:449;width:1304;" coordsize="21600,21600">
                    <v:path/>
                    <v:fill focussize="0,0"/>
                    <v:stroke/>
                    <v:imagedata o:title=""/>
                    <o:lock v:ext="edit"/>
                    <v:textbox>
                      <w:txbxContent>
                        <w:p w14:paraId="7257104E">
                          <w:pPr>
                            <w:jc w:val="center"/>
                            <w:rPr>
                              <w:rFonts w:eastAsia="黑体"/>
                              <w:sz w:val="18"/>
                              <w:szCs w:val="18"/>
                            </w:rPr>
                          </w:pPr>
                          <w:r>
                            <w:rPr>
                              <w:rFonts w:hint="eastAsia" w:hAnsi="黑体" w:eastAsia="黑体"/>
                              <w:sz w:val="18"/>
                              <w:szCs w:val="18"/>
                            </w:rPr>
                            <w:t>化粪池</w:t>
                          </w:r>
                        </w:p>
                      </w:txbxContent>
                    </v:textbox>
                  </v:rect>
                  <v:shape id="_x0000_s7563" o:spid="_x0000_s7563" o:spt="202" type="#_x0000_t202" style="position:absolute;left:5791;top:12907;height:456;width:620;" filled="f" stroked="f" coordsize="21600,21600">
                    <v:path/>
                    <v:fill on="f" focussize="0,0"/>
                    <v:stroke on="f" joinstyle="miter"/>
                    <v:imagedata o:title=""/>
                    <o:lock v:ext="edit"/>
                    <v:textbox style="mso-fit-shape-to-text:t;">
                      <w:txbxContent>
                        <w:p w14:paraId="6B02E525">
                          <w:pPr>
                            <w:rPr>
                              <w:rFonts w:eastAsia="黑体"/>
                              <w:sz w:val="18"/>
                              <w:szCs w:val="18"/>
                            </w:rPr>
                          </w:pPr>
                          <w:r>
                            <w:rPr>
                              <w:rFonts w:hint="eastAsia" w:eastAsia="黑体"/>
                              <w:sz w:val="18"/>
                              <w:szCs w:val="18"/>
                            </w:rPr>
                            <w:t>1.44</w:t>
                          </w:r>
                        </w:p>
                      </w:txbxContent>
                    </v:textbox>
                  </v:shape>
                  <v:shape id="_x0000_s7565" o:spid="_x0000_s7565" o:spt="32" type="#_x0000_t32" style="position:absolute;left:5858;top:13362;height:1;width:477;" o:connectortype="straight" filled="f" coordsize="21600,21600">
                    <v:path arrowok="t"/>
                    <v:fill on="f" focussize="0,0"/>
                    <v:stroke endarrow="block" endarrowwidth="narrow"/>
                    <v:imagedata o:title=""/>
                    <o:lock v:ext="edit"/>
                  </v:shape>
                  <v:shape id="_x0000_s7566" o:spid="_x0000_s7566" o:spt="32" type="#_x0000_t32" style="position:absolute;left:2162;top:13361;height:1;width:509;" o:connectortype="elbow" filled="f" coordsize="21600,21600" adj="-155698,-1,-155698">
                    <v:path arrowok="t"/>
                    <v:fill on="f" focussize="0,0"/>
                    <v:stroke endarrow="block" endarrowwidth="narrow"/>
                    <v:imagedata o:title=""/>
                    <o:lock v:ext="edit"/>
                  </v:shape>
                  <w10:wrap type="none"/>
                  <w10:anchorlock/>
                </v:group>
              </w:pict>
            </w:r>
          </w:p>
          <w:p w14:paraId="6DC7C797">
            <w:pPr>
              <w:autoSpaceDE w:val="0"/>
              <w:autoSpaceDN w:val="0"/>
              <w:adjustRightInd w:val="0"/>
              <w:snapToGrid w:val="0"/>
              <w:jc w:val="center"/>
              <w:rPr>
                <w:szCs w:val="21"/>
              </w:rPr>
            </w:pPr>
            <w:r>
              <w:rPr>
                <w:rFonts w:hAnsi="黑体" w:eastAsia="黑体"/>
                <w:sz w:val="24"/>
                <w:szCs w:val="24"/>
              </w:rPr>
              <w:t>图</w:t>
            </w:r>
            <w:r>
              <w:rPr>
                <w:rFonts w:hint="eastAsia" w:hAnsi="黑体" w:eastAsia="黑体"/>
                <w:sz w:val="24"/>
                <w:szCs w:val="24"/>
              </w:rPr>
              <w:t>2</w:t>
            </w:r>
            <w:r>
              <w:rPr>
                <w:rFonts w:hAnsi="黑体" w:eastAsia="黑体"/>
                <w:sz w:val="24"/>
                <w:szCs w:val="24"/>
              </w:rPr>
              <w:t xml:space="preserve">  项目运营期水平衡图   单位：m</w:t>
            </w:r>
            <w:r>
              <w:rPr>
                <w:rFonts w:hAnsi="黑体" w:eastAsia="黑体"/>
                <w:sz w:val="24"/>
                <w:szCs w:val="24"/>
                <w:vertAlign w:val="superscript"/>
              </w:rPr>
              <w:t>3</w:t>
            </w:r>
            <w:r>
              <w:rPr>
                <w:rFonts w:hAnsi="黑体" w:eastAsia="黑体"/>
                <w:sz w:val="24"/>
                <w:szCs w:val="24"/>
              </w:rPr>
              <w:t>/d</w:t>
            </w:r>
          </w:p>
          <w:p w14:paraId="20C5C7CD">
            <w:pPr>
              <w:spacing w:line="360" w:lineRule="auto"/>
              <w:ind w:firstLine="480" w:firstLineChars="200"/>
              <w:rPr>
                <w:sz w:val="24"/>
                <w:szCs w:val="28"/>
              </w:rPr>
            </w:pPr>
            <w:r>
              <w:rPr>
                <w:sz w:val="24"/>
                <w:szCs w:val="28"/>
              </w:rPr>
              <w:t>（</w:t>
            </w:r>
            <w:r>
              <w:rPr>
                <w:rFonts w:hint="eastAsia"/>
                <w:sz w:val="24"/>
                <w:szCs w:val="28"/>
              </w:rPr>
              <w:t>2</w:t>
            </w:r>
            <w:r>
              <w:rPr>
                <w:sz w:val="24"/>
                <w:szCs w:val="28"/>
              </w:rPr>
              <w:t>）供电</w:t>
            </w:r>
          </w:p>
          <w:p w14:paraId="26769182">
            <w:pPr>
              <w:spacing w:line="360" w:lineRule="auto"/>
              <w:ind w:firstLine="480" w:firstLineChars="200"/>
              <w:rPr>
                <w:rFonts w:hAnsi="宋体"/>
                <w:sz w:val="24"/>
              </w:rPr>
            </w:pPr>
            <w:r>
              <w:rPr>
                <w:rFonts w:hAnsi="宋体"/>
                <w:bCs/>
                <w:sz w:val="24"/>
              </w:rPr>
              <w:t>来自市政供电管网，本项目用电量</w:t>
            </w:r>
            <w:r>
              <w:rPr>
                <w:rFonts w:hint="eastAsia" w:hAnsi="宋体"/>
                <w:bCs/>
                <w:sz w:val="24"/>
              </w:rPr>
              <w:t>10</w:t>
            </w:r>
            <w:r>
              <w:rPr>
                <w:rFonts w:hAnsi="宋体"/>
                <w:bCs/>
                <w:sz w:val="24"/>
              </w:rPr>
              <w:t>万</w:t>
            </w:r>
            <w:r>
              <w:rPr>
                <w:sz w:val="24"/>
              </w:rPr>
              <w:t>kW·h/a</w:t>
            </w:r>
            <w:r>
              <w:rPr>
                <w:rFonts w:hAnsi="宋体"/>
                <w:sz w:val="24"/>
              </w:rPr>
              <w:t>。</w:t>
            </w:r>
          </w:p>
          <w:p w14:paraId="3842B1DD">
            <w:pPr>
              <w:spacing w:line="360" w:lineRule="auto"/>
              <w:ind w:firstLine="482" w:firstLineChars="200"/>
              <w:rPr>
                <w:b/>
                <w:sz w:val="24"/>
              </w:rPr>
            </w:pPr>
            <w:r>
              <w:rPr>
                <w:rFonts w:hint="eastAsia"/>
                <w:b/>
                <w:sz w:val="24"/>
              </w:rPr>
              <w:t>8</w:t>
            </w:r>
            <w:r>
              <w:rPr>
                <w:b/>
                <w:sz w:val="24"/>
              </w:rPr>
              <w:t>、</w:t>
            </w:r>
            <w:r>
              <w:rPr>
                <w:rFonts w:hint="eastAsia"/>
                <w:b/>
                <w:sz w:val="24"/>
              </w:rPr>
              <w:t>劳动定员</w:t>
            </w:r>
          </w:p>
          <w:p w14:paraId="7483E95D">
            <w:pPr>
              <w:pStyle w:val="108"/>
              <w:adjustRightInd/>
              <w:spacing w:line="360" w:lineRule="auto"/>
              <w:ind w:firstLine="480" w:firstLineChars="200"/>
              <w:rPr>
                <w:color w:val="auto"/>
              </w:rPr>
            </w:pPr>
            <w:r>
              <w:rPr>
                <w:color w:val="auto"/>
                <w:szCs w:val="28"/>
              </w:rPr>
              <w:t>本项目新增劳动定员为</w:t>
            </w:r>
            <w:r>
              <w:rPr>
                <w:rFonts w:hint="eastAsia"/>
                <w:color w:val="auto"/>
                <w:szCs w:val="28"/>
              </w:rPr>
              <w:t>18</w:t>
            </w:r>
            <w:r>
              <w:rPr>
                <w:color w:val="auto"/>
                <w:szCs w:val="28"/>
              </w:rPr>
              <w:t>人，</w:t>
            </w:r>
            <w:r>
              <w:rPr>
                <w:rFonts w:hint="eastAsia"/>
                <w:color w:val="auto"/>
                <w:szCs w:val="28"/>
              </w:rPr>
              <w:t>单班</w:t>
            </w:r>
            <w:r>
              <w:rPr>
                <w:color w:val="auto"/>
                <w:szCs w:val="28"/>
              </w:rPr>
              <w:t>制</w:t>
            </w:r>
            <w:r>
              <w:rPr>
                <w:rFonts w:hint="eastAsia"/>
                <w:color w:val="auto"/>
                <w:szCs w:val="28"/>
              </w:rPr>
              <w:t>，每天工作10小时，</w:t>
            </w:r>
            <w:r>
              <w:rPr>
                <w:color w:val="auto"/>
                <w:szCs w:val="28"/>
              </w:rPr>
              <w:t>年</w:t>
            </w:r>
            <w:r>
              <w:rPr>
                <w:rFonts w:hint="eastAsia"/>
                <w:color w:val="auto"/>
                <w:szCs w:val="28"/>
              </w:rPr>
              <w:t>工作</w:t>
            </w:r>
            <w:r>
              <w:rPr>
                <w:color w:val="auto"/>
                <w:szCs w:val="28"/>
              </w:rPr>
              <w:t>时间</w:t>
            </w:r>
            <w:r>
              <w:rPr>
                <w:rFonts w:hint="eastAsia"/>
                <w:color w:val="auto"/>
                <w:szCs w:val="28"/>
              </w:rPr>
              <w:t>约</w:t>
            </w:r>
            <w:r>
              <w:rPr>
                <w:color w:val="auto"/>
                <w:szCs w:val="28"/>
              </w:rPr>
              <w:t>3</w:t>
            </w:r>
            <w:r>
              <w:rPr>
                <w:rFonts w:hint="eastAsia"/>
                <w:color w:val="auto"/>
                <w:szCs w:val="28"/>
              </w:rPr>
              <w:t>00</w:t>
            </w:r>
            <w:r>
              <w:rPr>
                <w:color w:val="auto"/>
                <w:szCs w:val="28"/>
              </w:rPr>
              <w:t>天。</w:t>
            </w:r>
          </w:p>
          <w:p w14:paraId="03716FBF">
            <w:pPr>
              <w:spacing w:line="360" w:lineRule="auto"/>
              <w:ind w:firstLine="482" w:firstLineChars="200"/>
              <w:rPr>
                <w:b/>
                <w:sz w:val="24"/>
              </w:rPr>
            </w:pPr>
            <w:r>
              <w:rPr>
                <w:rFonts w:hint="eastAsia"/>
                <w:b/>
                <w:sz w:val="24"/>
              </w:rPr>
              <w:t>9</w:t>
            </w:r>
            <w:r>
              <w:rPr>
                <w:b/>
                <w:sz w:val="24"/>
              </w:rPr>
              <w:t>、</w:t>
            </w:r>
            <w:r>
              <w:rPr>
                <w:rFonts w:hint="eastAsia"/>
                <w:b/>
                <w:sz w:val="24"/>
              </w:rPr>
              <w:t>总平面布置</w:t>
            </w:r>
          </w:p>
          <w:p w14:paraId="58202F0A">
            <w:pPr>
              <w:spacing w:line="360" w:lineRule="auto"/>
              <w:ind w:firstLine="480" w:firstLineChars="200"/>
              <w:rPr>
                <w:snapToGrid w:val="0"/>
                <w:kern w:val="0"/>
                <w:sz w:val="24"/>
                <w:szCs w:val="24"/>
              </w:rPr>
            </w:pPr>
            <w:r>
              <w:rPr>
                <w:rFonts w:hint="eastAsia"/>
                <w:sz w:val="24"/>
              </w:rPr>
              <w:t>本项目租赁安徽焦岗湖产业发展有限公司工业城2号楼1层、3层建设生产，厂房呈矩形。根据方位进行分区，生产厂房3层西部从北向南分别布置玻璃管灌装、加工车间、组合、封口车间、塑料管灌装车间、化学品库，厂房西南角布置一般工业固废间及危废暂存间；生产厂房3层东部由北向南分别布置原材料仓库、包装区等；厂房1层主要用于成品存放。生产厂房</w:t>
            </w:r>
            <w:r>
              <w:rPr>
                <w:rFonts w:hint="eastAsia"/>
                <w:snapToGrid w:val="0"/>
                <w:kern w:val="0"/>
                <w:sz w:val="24"/>
                <w:szCs w:val="24"/>
              </w:rPr>
              <w:t>各功能单元衔接顺畅，操作效率稳定。具体详见附图7。</w:t>
            </w:r>
          </w:p>
          <w:p w14:paraId="7A51BD97">
            <w:pPr>
              <w:spacing w:line="360" w:lineRule="auto"/>
              <w:rPr>
                <w:snapToGrid w:val="0"/>
                <w:kern w:val="0"/>
                <w:sz w:val="24"/>
                <w:szCs w:val="24"/>
              </w:rPr>
            </w:pPr>
          </w:p>
          <w:p w14:paraId="58AB2760">
            <w:pPr>
              <w:spacing w:line="360" w:lineRule="auto"/>
              <w:rPr>
                <w:snapToGrid w:val="0"/>
                <w:kern w:val="0"/>
                <w:sz w:val="24"/>
                <w:szCs w:val="24"/>
              </w:rPr>
            </w:pPr>
          </w:p>
          <w:p w14:paraId="62A18141">
            <w:pPr>
              <w:spacing w:line="360" w:lineRule="auto"/>
              <w:rPr>
                <w:snapToGrid w:val="0"/>
                <w:kern w:val="0"/>
                <w:sz w:val="24"/>
                <w:szCs w:val="24"/>
              </w:rPr>
            </w:pPr>
          </w:p>
          <w:p w14:paraId="0AEC10B2">
            <w:pPr>
              <w:spacing w:line="360" w:lineRule="auto"/>
              <w:rPr>
                <w:snapToGrid w:val="0"/>
                <w:kern w:val="0"/>
                <w:sz w:val="24"/>
                <w:szCs w:val="24"/>
              </w:rPr>
            </w:pPr>
          </w:p>
        </w:tc>
      </w:tr>
      <w:tr w14:paraId="0A670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877" w:hRule="atLeast"/>
        </w:trPr>
        <w:tc>
          <w:tcPr>
            <w:tcW w:w="454" w:type="dxa"/>
            <w:vAlign w:val="center"/>
          </w:tcPr>
          <w:p w14:paraId="6DABAF79">
            <w:pPr>
              <w:widowControl/>
              <w:spacing w:line="360" w:lineRule="auto"/>
              <w:jc w:val="center"/>
              <w:rPr>
                <w:rFonts w:hAnsi="宋体"/>
                <w:kern w:val="0"/>
                <w:sz w:val="24"/>
              </w:rPr>
            </w:pPr>
            <w:r>
              <w:rPr>
                <w:rFonts w:hAnsi="宋体"/>
                <w:kern w:val="0"/>
                <w:sz w:val="24"/>
              </w:rPr>
              <w:t>工艺流程和产污环节</w:t>
            </w:r>
          </w:p>
        </w:tc>
        <w:tc>
          <w:tcPr>
            <w:tcW w:w="8363" w:type="dxa"/>
          </w:tcPr>
          <w:p w14:paraId="5B297890">
            <w:pPr>
              <w:spacing w:line="360" w:lineRule="auto"/>
              <w:ind w:firstLine="482" w:firstLineChars="200"/>
              <w:rPr>
                <w:b/>
                <w:sz w:val="24"/>
              </w:rPr>
            </w:pPr>
            <w:r>
              <w:rPr>
                <w:rFonts w:hint="eastAsia"/>
                <w:b/>
                <w:sz w:val="24"/>
              </w:rPr>
              <w:t>1、施工期工艺流程</w:t>
            </w:r>
          </w:p>
          <w:p w14:paraId="2C9D3959">
            <w:pPr>
              <w:spacing w:line="360" w:lineRule="auto"/>
              <w:ind w:firstLine="480" w:firstLineChars="200"/>
              <w:rPr>
                <w:sz w:val="24"/>
              </w:rPr>
            </w:pPr>
            <w:r>
              <w:rPr>
                <w:rFonts w:hint="eastAsia"/>
                <w:sz w:val="24"/>
              </w:rPr>
              <w:t>本项目租赁安徽焦岗湖产业发展有限公司工业城2号楼1层和3层。</w:t>
            </w:r>
            <w:r>
              <w:rPr>
                <w:rFonts w:hint="eastAsia"/>
                <w:snapToGrid w:val="0"/>
                <w:sz w:val="24"/>
                <w:szCs w:val="24"/>
              </w:rPr>
              <w:t>施工期主</w:t>
            </w:r>
            <w:r>
              <w:rPr>
                <w:rFonts w:hint="eastAsia"/>
                <w:snapToGrid w:val="0"/>
                <w:sz w:val="24"/>
              </w:rPr>
              <w:t>要对厂房进行分隔装修、设备安装和附属设施建设等，不涉及土建施工活动。施工期对环境的主要影响为设备安装引起的噪声及装修过程中产生的废气。施工的时间较短，且施工区域集中在现有车间内部，对区域环境影响效果不显著。</w:t>
            </w:r>
          </w:p>
          <w:p w14:paraId="05DD1FA8">
            <w:pPr>
              <w:spacing w:line="360" w:lineRule="auto"/>
              <w:ind w:firstLine="482" w:firstLineChars="200"/>
              <w:rPr>
                <w:b/>
                <w:sz w:val="24"/>
              </w:rPr>
            </w:pPr>
            <w:r>
              <w:rPr>
                <w:rFonts w:hint="eastAsia"/>
                <w:b/>
                <w:sz w:val="24"/>
              </w:rPr>
              <w:t>2、运营期工艺流程</w:t>
            </w:r>
          </w:p>
          <w:p w14:paraId="0893CD58">
            <w:pPr>
              <w:pStyle w:val="108"/>
              <w:adjustRightInd/>
              <w:spacing w:line="360" w:lineRule="auto"/>
              <w:ind w:firstLine="480" w:firstLineChars="200"/>
              <w:rPr>
                <w:color w:val="auto"/>
              </w:rPr>
            </w:pPr>
            <w:r>
              <w:rPr>
                <w:rFonts w:hint="eastAsia"/>
                <w:color w:val="auto"/>
              </w:rPr>
              <w:t>本项目产品为荧光棒。</w:t>
            </w:r>
          </w:p>
          <w:p w14:paraId="3AA79CFB">
            <w:pPr>
              <w:pStyle w:val="108"/>
              <w:adjustRightInd/>
              <w:spacing w:line="360" w:lineRule="auto"/>
              <w:ind w:firstLine="480" w:firstLineChars="200"/>
              <w:rPr>
                <w:color w:val="auto"/>
              </w:rPr>
            </w:pPr>
            <w:r>
              <w:rPr>
                <w:rFonts w:hint="eastAsia"/>
                <w:color w:val="auto"/>
              </w:rPr>
              <w:t>（1）荧光棒生产工艺流程及产污情况</w:t>
            </w:r>
          </w:p>
          <w:p w14:paraId="6EEC1A23">
            <w:pPr>
              <w:pStyle w:val="108"/>
              <w:adjustRightInd/>
              <w:spacing w:line="360" w:lineRule="auto"/>
              <w:ind w:firstLine="480" w:firstLineChars="200"/>
              <w:rPr>
                <w:color w:val="auto"/>
              </w:rPr>
            </w:pPr>
            <w:r>
              <w:rPr>
                <w:rFonts w:hint="eastAsia"/>
                <w:color w:val="auto"/>
              </w:rPr>
              <w:t>荧光棒由装有发光液的玻璃管和活化剂的塑料管两部分组成，发光液主要成分为邻苯二甲酸二甲酯、双草酸酯、染料，活化剂主要成分为邻苯二甲酸二甲酯、双氧水。</w:t>
            </w:r>
          </w:p>
          <w:p w14:paraId="6C35D106">
            <w:pPr>
              <w:pStyle w:val="108"/>
              <w:adjustRightInd/>
              <w:spacing w:line="360" w:lineRule="auto"/>
              <w:ind w:firstLine="480" w:firstLineChars="200"/>
              <w:rPr>
                <w:color w:val="auto"/>
              </w:rPr>
            </w:pPr>
            <w:r>
              <w:rPr>
                <w:rFonts w:hint="eastAsia"/>
                <w:color w:val="auto"/>
              </w:rPr>
              <w:t>荧光棒发光原理：可折的塑料管中套入玻璃细管，在使用过程中玻璃细管折断，玻璃细管内染料及双草酸酯溶液流出迅速与塑料管中的双氧水溶液相混合，发生化学反应，在化学反应中放出的能量传递给荧光染料分子，染料以可见光的形式释放能量，从而把化学能转换成光能。这种光是由化学反应而产生，称为化学发光即冷光。</w:t>
            </w:r>
          </w:p>
          <w:p w14:paraId="16B63870">
            <w:pPr>
              <w:pStyle w:val="108"/>
              <w:adjustRightInd/>
              <w:spacing w:line="360" w:lineRule="auto"/>
              <w:ind w:firstLine="480" w:firstLineChars="200"/>
              <w:rPr>
                <w:color w:val="auto"/>
              </w:rPr>
            </w:pPr>
            <w:r>
              <w:rPr>
                <w:rFonts w:hint="eastAsia"/>
                <w:color w:val="auto"/>
              </w:rPr>
              <w:t>荧光棒的生产涉及原料配制、灌装、离心、热熔封口、组合、组合封口、清洗等工序。</w:t>
            </w:r>
            <w:r>
              <w:rPr>
                <w:rFonts w:hint="eastAsia"/>
                <w:b/>
                <w:bCs/>
                <w:color w:val="auto"/>
                <w:u w:val="single"/>
              </w:rPr>
              <w:t>本项目生产过程均为物料过程，不涉及化学反应。</w:t>
            </w:r>
          </w:p>
          <w:p w14:paraId="4E8D4C1A">
            <w:pPr>
              <w:adjustRightInd w:val="0"/>
              <w:spacing w:line="360" w:lineRule="auto"/>
              <w:ind w:firstLine="480" w:firstLineChars="200"/>
              <w:rPr>
                <w:rFonts w:hAnsi="宋体"/>
                <w:sz w:val="24"/>
              </w:rPr>
            </w:pPr>
            <w:r>
              <w:rPr>
                <w:rFonts w:hint="eastAsia" w:hAnsi="宋体"/>
                <w:sz w:val="24"/>
              </w:rPr>
              <w:t>发光液配制、玻璃管灌装发光液、离心、玻璃管热熔封口工序是在玻璃管灌装、加工车间。将邻苯二甲酸二甲酯和双草酸酯及染料按比例混合配制成发光液；一侧已封实的玻璃管于真空抽液机内抽真空后，将已配制好的发光液灌装进玻璃管中；再由半敞口离心机甩干玻璃管半成品外侧沾染的发光液，发光液由离心机底部废液桶收集；再热熔封闭玻璃管口的另一侧。</w:t>
            </w:r>
          </w:p>
          <w:p w14:paraId="72CB52F5">
            <w:pPr>
              <w:adjustRightInd w:val="0"/>
              <w:spacing w:line="360" w:lineRule="auto"/>
              <w:ind w:firstLine="480" w:firstLineChars="200"/>
              <w:rPr>
                <w:rFonts w:hAnsi="宋体"/>
                <w:sz w:val="24"/>
              </w:rPr>
            </w:pPr>
            <w:r>
              <w:rPr>
                <w:rFonts w:hint="eastAsia" w:hAnsi="宋体"/>
                <w:sz w:val="24"/>
              </w:rPr>
              <w:t>活化剂配制、塑料管灌装活化剂、塑料管离心工序在塑料管灌装车间进行。将邻苯二甲酸二甲酯和双氧水按比例混合配制成活化剂；一侧已封实的塑料管于真空抽液机内抽真空后，将已配制好的活化剂灌装进塑料管中；再由半敞口离心机甩干塑料管半成品外侧沾染的活化剂，活化剂由离心机底部废液桶收集。</w:t>
            </w:r>
          </w:p>
          <w:p w14:paraId="6DCAECF7">
            <w:pPr>
              <w:adjustRightInd w:val="0"/>
              <w:spacing w:line="360" w:lineRule="auto"/>
              <w:ind w:firstLine="480" w:firstLineChars="200"/>
              <w:rPr>
                <w:rFonts w:hAnsi="宋体"/>
                <w:sz w:val="24"/>
              </w:rPr>
            </w:pPr>
            <w:r>
              <w:rPr>
                <w:rFonts w:hint="eastAsia" w:hAnsi="宋体"/>
                <w:sz w:val="24"/>
              </w:rPr>
              <w:t>加工后的玻璃管与塑料管的组合工序、组合管封口工序、清洗工序、离心工序均在组合、封口车间进行。玻璃管与塑料管完成套装组合后，再于塑料压封机进行封口；封实的组装管进入人工清洗工序，清洗完离心甩干；最后于包装区进行抽检包装工序，包装好后，最终成品放置于成品区。</w:t>
            </w:r>
          </w:p>
          <w:p w14:paraId="160BA75B">
            <w:pPr>
              <w:adjustRightInd w:val="0"/>
              <w:spacing w:line="360" w:lineRule="auto"/>
              <w:rPr>
                <w:rFonts w:hAnsi="黑体" w:eastAsia="黑体"/>
                <w:bCs/>
                <w:sz w:val="24"/>
              </w:rPr>
            </w:pPr>
            <w:r>
              <w:rPr>
                <w:rFonts w:hAnsi="黑体" w:eastAsia="黑体"/>
                <w:bCs/>
                <w:sz w:val="24"/>
              </w:rPr>
              <w:pict>
                <v:group id="_x0000_s7346" o:spid="_x0000_s7346" o:spt="203" style="height:452.55pt;width:409.85pt;" coordorigin="2252,3482" coordsize="8197,9051" editas="canvas">
                  <o:lock v:ext="edit"/>
                  <v:shape id="_x0000_s7347" o:spid="_x0000_s7347" o:spt="75" type="#_x0000_t75" style="position:absolute;left:2252;top:3482;height:9051;width:8197;" filled="f" o:preferrelative="f" stroked="f" coordsize="21600,21600">
                    <v:path/>
                    <v:fill on="f" focussize="0,0"/>
                    <v:stroke on="f" joinstyle="miter"/>
                    <v:imagedata o:title=""/>
                    <o:lock v:ext="edit" text="t" aspectratio="t"/>
                  </v:shape>
                  <v:shape id="_x0000_s7349" o:spid="_x0000_s7349" o:spt="202" type="#_x0000_t202" style="position:absolute;left:4373;top:4852;height:446;width:1468;" coordsize="21600,21600">
                    <v:path/>
                    <v:fill focussize="0,0"/>
                    <v:stroke joinstyle="miter"/>
                    <v:imagedata o:title=""/>
                    <o:lock v:ext="edit"/>
                    <v:textbox>
                      <w:txbxContent>
                        <w:p w14:paraId="43DEA258">
                          <w:pPr>
                            <w:jc w:val="center"/>
                            <w:rPr>
                              <w:rFonts w:ascii="黑体" w:hAnsi="黑体" w:eastAsia="黑体"/>
                              <w:sz w:val="18"/>
                              <w:szCs w:val="18"/>
                            </w:rPr>
                          </w:pPr>
                          <w:r>
                            <w:rPr>
                              <w:rFonts w:ascii="黑体" w:hAnsi="黑体" w:eastAsia="黑体"/>
                              <w:sz w:val="18"/>
                              <w:szCs w:val="18"/>
                            </w:rPr>
                            <w:t>发光液配制</w:t>
                          </w:r>
                        </w:p>
                      </w:txbxContent>
                    </v:textbox>
                  </v:shape>
                  <v:shape id="_x0000_s7350" o:spid="_x0000_s7350" o:spt="202" type="#_x0000_t202" style="position:absolute;left:4369;top:5534;height:447;width:1469;" coordsize="21600,21600">
                    <v:path/>
                    <v:fill focussize="0,0"/>
                    <v:stroke joinstyle="miter"/>
                    <v:imagedata o:title=""/>
                    <o:lock v:ext="edit"/>
                    <v:textbox>
                      <w:txbxContent>
                        <w:p w14:paraId="39D374EB">
                          <w:pPr>
                            <w:jc w:val="center"/>
                            <w:rPr>
                              <w:rFonts w:ascii="黑体" w:hAnsi="黑体" w:eastAsia="黑体"/>
                              <w:sz w:val="18"/>
                              <w:szCs w:val="18"/>
                            </w:rPr>
                          </w:pPr>
                          <w:r>
                            <w:rPr>
                              <w:rFonts w:ascii="黑体" w:hAnsi="黑体" w:eastAsia="黑体"/>
                              <w:sz w:val="18"/>
                              <w:szCs w:val="18"/>
                            </w:rPr>
                            <w:t>灌装（玻璃管）</w:t>
                          </w:r>
                        </w:p>
                      </w:txbxContent>
                    </v:textbox>
                  </v:shape>
                  <v:shape id="_x0000_s7351" o:spid="_x0000_s7351" o:spt="202" type="#_x0000_t202" style="position:absolute;left:4369;top:6222;height:444;width:1469;" coordsize="21600,21600">
                    <v:path/>
                    <v:fill focussize="0,0"/>
                    <v:stroke joinstyle="miter"/>
                    <v:imagedata o:title=""/>
                    <o:lock v:ext="edit"/>
                    <v:textbox>
                      <w:txbxContent>
                        <w:p w14:paraId="4084D05B">
                          <w:pPr>
                            <w:jc w:val="center"/>
                            <w:rPr>
                              <w:rFonts w:ascii="黑体" w:hAnsi="黑体" w:eastAsia="黑体"/>
                              <w:sz w:val="18"/>
                              <w:szCs w:val="18"/>
                            </w:rPr>
                          </w:pPr>
                          <w:r>
                            <w:rPr>
                              <w:rFonts w:ascii="黑体" w:hAnsi="黑体" w:eastAsia="黑体"/>
                              <w:sz w:val="18"/>
                              <w:szCs w:val="18"/>
                            </w:rPr>
                            <w:t>离心</w:t>
                          </w:r>
                          <w:r>
                            <w:rPr>
                              <w:rFonts w:hint="eastAsia" w:ascii="黑体" w:hAnsi="黑体" w:eastAsia="黑体"/>
                              <w:sz w:val="18"/>
                              <w:szCs w:val="18"/>
                            </w:rPr>
                            <w:t>1</w:t>
                          </w:r>
                        </w:p>
                      </w:txbxContent>
                    </v:textbox>
                  </v:shape>
                  <v:shape id="_x0000_s7352" o:spid="_x0000_s7352" o:spt="202" type="#_x0000_t202" style="position:absolute;left:4369;top:6974;height:446;width:1469;" coordsize="21600,21600">
                    <v:path/>
                    <v:fill focussize="0,0"/>
                    <v:stroke joinstyle="miter"/>
                    <v:imagedata o:title=""/>
                    <o:lock v:ext="edit"/>
                    <v:textbox>
                      <w:txbxContent>
                        <w:p w14:paraId="1D619C11">
                          <w:pPr>
                            <w:jc w:val="center"/>
                            <w:rPr>
                              <w:rFonts w:ascii="黑体" w:hAnsi="黑体" w:eastAsia="黑体"/>
                              <w:sz w:val="18"/>
                              <w:szCs w:val="18"/>
                            </w:rPr>
                          </w:pPr>
                          <w:r>
                            <w:rPr>
                              <w:rFonts w:ascii="黑体" w:hAnsi="黑体" w:eastAsia="黑体"/>
                              <w:sz w:val="18"/>
                              <w:szCs w:val="18"/>
                            </w:rPr>
                            <w:t>热熔封口</w:t>
                          </w:r>
                        </w:p>
                      </w:txbxContent>
                    </v:textbox>
                  </v:shape>
                  <v:shape id="_x0000_s7354" o:spid="_x0000_s7354" o:spt="202" type="#_x0000_t202" style="position:absolute;left:6952;top:4852;height:446;width:1457;" coordsize="21600,21600">
                    <v:path/>
                    <v:fill focussize="0,0"/>
                    <v:stroke joinstyle="miter"/>
                    <v:imagedata o:title=""/>
                    <o:lock v:ext="edit"/>
                    <v:textbox>
                      <w:txbxContent>
                        <w:p w14:paraId="20E1DA70">
                          <w:pPr>
                            <w:jc w:val="center"/>
                            <w:rPr>
                              <w:rFonts w:ascii="黑体" w:hAnsi="黑体" w:eastAsia="黑体"/>
                              <w:sz w:val="18"/>
                              <w:szCs w:val="18"/>
                            </w:rPr>
                          </w:pPr>
                          <w:r>
                            <w:rPr>
                              <w:rFonts w:ascii="黑体" w:hAnsi="黑体" w:eastAsia="黑体"/>
                              <w:sz w:val="18"/>
                              <w:szCs w:val="18"/>
                            </w:rPr>
                            <w:t>活化剂配制</w:t>
                          </w:r>
                        </w:p>
                      </w:txbxContent>
                    </v:textbox>
                  </v:shape>
                  <v:shape id="_x0000_s7355" o:spid="_x0000_s7355" o:spt="202" type="#_x0000_t202" style="position:absolute;left:6944;top:5534;height:447;width:1457;" coordsize="21600,21600">
                    <v:path/>
                    <v:fill focussize="0,0"/>
                    <v:stroke joinstyle="miter"/>
                    <v:imagedata o:title=""/>
                    <o:lock v:ext="edit"/>
                    <v:textbox>
                      <w:txbxContent>
                        <w:p w14:paraId="563F3F5C">
                          <w:pPr>
                            <w:jc w:val="center"/>
                            <w:rPr>
                              <w:rFonts w:ascii="黑体" w:hAnsi="黑体" w:eastAsia="黑体"/>
                              <w:sz w:val="18"/>
                              <w:szCs w:val="18"/>
                            </w:rPr>
                          </w:pPr>
                          <w:r>
                            <w:rPr>
                              <w:rFonts w:ascii="黑体" w:hAnsi="黑体" w:eastAsia="黑体"/>
                              <w:sz w:val="18"/>
                              <w:szCs w:val="18"/>
                            </w:rPr>
                            <w:t>灌装（塑料管）</w:t>
                          </w:r>
                        </w:p>
                      </w:txbxContent>
                    </v:textbox>
                  </v:shape>
                  <v:shape id="_x0000_s7356" o:spid="_x0000_s7356" o:spt="202" type="#_x0000_t202" style="position:absolute;left:6946;top:6222;height:444;width:1458;" coordsize="21600,21600">
                    <v:path/>
                    <v:fill focussize="0,0"/>
                    <v:stroke joinstyle="miter"/>
                    <v:imagedata o:title=""/>
                    <o:lock v:ext="edit"/>
                    <v:textbox>
                      <w:txbxContent>
                        <w:p w14:paraId="6DDA0897">
                          <w:pPr>
                            <w:jc w:val="center"/>
                            <w:rPr>
                              <w:rFonts w:ascii="黑体" w:hAnsi="黑体" w:eastAsia="黑体"/>
                              <w:sz w:val="18"/>
                              <w:szCs w:val="18"/>
                            </w:rPr>
                          </w:pPr>
                          <w:r>
                            <w:rPr>
                              <w:rFonts w:ascii="黑体" w:hAnsi="黑体" w:eastAsia="黑体"/>
                              <w:sz w:val="18"/>
                              <w:szCs w:val="18"/>
                            </w:rPr>
                            <w:t>离心</w:t>
                          </w:r>
                          <w:r>
                            <w:rPr>
                              <w:rFonts w:hint="eastAsia" w:ascii="黑体" w:hAnsi="黑体" w:eastAsia="黑体"/>
                              <w:sz w:val="18"/>
                              <w:szCs w:val="18"/>
                            </w:rPr>
                            <w:t>1</w:t>
                          </w:r>
                        </w:p>
                      </w:txbxContent>
                    </v:textbox>
                  </v:shape>
                  <v:shape id="_x0000_s7357" o:spid="_x0000_s7357" o:spt="202" type="#_x0000_t202" style="position:absolute;left:5570;top:7818;height:446;width:1393;" coordsize="21600,21600">
                    <v:path/>
                    <v:fill focussize="0,0"/>
                    <v:stroke joinstyle="miter"/>
                    <v:imagedata o:title=""/>
                    <o:lock v:ext="edit"/>
                    <v:textbox>
                      <w:txbxContent>
                        <w:p w14:paraId="77DC9962">
                          <w:pPr>
                            <w:jc w:val="center"/>
                            <w:rPr>
                              <w:rFonts w:ascii="黑体" w:hAnsi="黑体" w:eastAsia="黑体"/>
                              <w:sz w:val="18"/>
                              <w:szCs w:val="18"/>
                            </w:rPr>
                          </w:pPr>
                          <w:r>
                            <w:rPr>
                              <w:rFonts w:ascii="黑体" w:hAnsi="黑体" w:eastAsia="黑体"/>
                              <w:sz w:val="18"/>
                              <w:szCs w:val="18"/>
                            </w:rPr>
                            <w:t>组合管组装</w:t>
                          </w:r>
                        </w:p>
                      </w:txbxContent>
                    </v:textbox>
                  </v:shape>
                  <v:shape id="_x0000_s7358" o:spid="_x0000_s7358" o:spt="202" type="#_x0000_t202" style="position:absolute;left:5589;top:8593;height:446;width:1376;" coordsize="21600,21600">
                    <v:path/>
                    <v:fill focussize="0,0"/>
                    <v:stroke joinstyle="miter"/>
                    <v:imagedata o:title=""/>
                    <o:lock v:ext="edit"/>
                    <v:textbox>
                      <w:txbxContent>
                        <w:p w14:paraId="5F4AC6AC">
                          <w:pPr>
                            <w:jc w:val="center"/>
                            <w:rPr>
                              <w:rFonts w:ascii="黑体" w:hAnsi="黑体" w:eastAsia="黑体"/>
                              <w:sz w:val="18"/>
                              <w:szCs w:val="18"/>
                            </w:rPr>
                          </w:pPr>
                          <w:r>
                            <w:rPr>
                              <w:rFonts w:hint="eastAsia" w:ascii="黑体" w:hAnsi="黑体" w:eastAsia="黑体"/>
                              <w:sz w:val="18"/>
                              <w:szCs w:val="18"/>
                            </w:rPr>
                            <w:t>组合管</w:t>
                          </w:r>
                          <w:r>
                            <w:rPr>
                              <w:rFonts w:ascii="黑体" w:hAnsi="黑体" w:eastAsia="黑体"/>
                              <w:sz w:val="18"/>
                              <w:szCs w:val="18"/>
                            </w:rPr>
                            <w:t>封口</w:t>
                          </w:r>
                        </w:p>
                      </w:txbxContent>
                    </v:textbox>
                  </v:shape>
                  <v:shape id="_x0000_s7359" o:spid="_x0000_s7359" o:spt="202" type="#_x0000_t202" style="position:absolute;left:5591;top:9367;height:445;width:1374;" coordsize="21600,21600">
                    <v:path/>
                    <v:fill focussize="0,0"/>
                    <v:stroke joinstyle="miter"/>
                    <v:imagedata o:title=""/>
                    <o:lock v:ext="edit"/>
                    <v:textbox>
                      <w:txbxContent>
                        <w:p w14:paraId="21C34A1E">
                          <w:pPr>
                            <w:jc w:val="center"/>
                            <w:rPr>
                              <w:rFonts w:ascii="黑体" w:hAnsi="黑体" w:eastAsia="黑体"/>
                              <w:sz w:val="18"/>
                              <w:szCs w:val="18"/>
                            </w:rPr>
                          </w:pPr>
                          <w:r>
                            <w:rPr>
                              <w:rFonts w:ascii="黑体" w:hAnsi="黑体" w:eastAsia="黑体"/>
                              <w:sz w:val="18"/>
                              <w:szCs w:val="18"/>
                            </w:rPr>
                            <w:t>清洗</w:t>
                          </w:r>
                        </w:p>
                      </w:txbxContent>
                    </v:textbox>
                  </v:shape>
                  <v:shape id="_x0000_s7360" o:spid="_x0000_s7360" o:spt="202" type="#_x0000_t202" style="position:absolute;left:5591;top:10060;height:445;width:1375;" coordsize="21600,21600">
                    <v:path/>
                    <v:fill focussize="0,0"/>
                    <v:stroke joinstyle="miter"/>
                    <v:imagedata o:title=""/>
                    <o:lock v:ext="edit"/>
                    <v:textbox>
                      <w:txbxContent>
                        <w:p w14:paraId="65058A22">
                          <w:pPr>
                            <w:jc w:val="center"/>
                            <w:rPr>
                              <w:rFonts w:ascii="黑体" w:hAnsi="黑体" w:eastAsia="黑体"/>
                              <w:sz w:val="18"/>
                              <w:szCs w:val="18"/>
                            </w:rPr>
                          </w:pPr>
                          <w:r>
                            <w:rPr>
                              <w:rFonts w:ascii="黑体" w:hAnsi="黑体" w:eastAsia="黑体"/>
                              <w:sz w:val="18"/>
                              <w:szCs w:val="18"/>
                            </w:rPr>
                            <w:t>离心</w:t>
                          </w:r>
                          <w:r>
                            <w:rPr>
                              <w:rFonts w:hint="eastAsia" w:ascii="黑体" w:hAnsi="黑体" w:eastAsia="黑体"/>
                              <w:sz w:val="18"/>
                              <w:szCs w:val="18"/>
                            </w:rPr>
                            <w:t>2</w:t>
                          </w:r>
                        </w:p>
                      </w:txbxContent>
                    </v:textbox>
                  </v:shape>
                  <v:shape id="_x0000_s7361" o:spid="_x0000_s7361" o:spt="202" type="#_x0000_t202" style="position:absolute;left:5591;top:10807;height:444;width:1375;" coordsize="21600,21600">
                    <v:path/>
                    <v:fill focussize="0,0"/>
                    <v:stroke joinstyle="miter"/>
                    <v:imagedata o:title=""/>
                    <o:lock v:ext="edit"/>
                    <v:textbox>
                      <w:txbxContent>
                        <w:p w14:paraId="5A391961">
                          <w:pPr>
                            <w:jc w:val="center"/>
                            <w:rPr>
                              <w:rFonts w:ascii="黑体" w:hAnsi="黑体" w:eastAsia="黑体"/>
                              <w:sz w:val="18"/>
                              <w:szCs w:val="18"/>
                            </w:rPr>
                          </w:pPr>
                          <w:r>
                            <w:rPr>
                              <w:rFonts w:ascii="黑体" w:hAnsi="黑体" w:eastAsia="黑体"/>
                              <w:sz w:val="18"/>
                              <w:szCs w:val="18"/>
                            </w:rPr>
                            <w:t>检验包装</w:t>
                          </w:r>
                        </w:p>
                      </w:txbxContent>
                    </v:textbox>
                  </v:shape>
                  <v:shape id="_x0000_s7362" o:spid="_x0000_s7362" o:spt="202" type="#_x0000_t202" style="position:absolute;left:5593;top:11577;height:444;width:1373;" coordsize="21600,21600">
                    <v:path/>
                    <v:fill focussize="0,0"/>
                    <v:stroke joinstyle="miter"/>
                    <v:imagedata o:title=""/>
                    <o:lock v:ext="edit"/>
                    <v:textbox>
                      <w:txbxContent>
                        <w:p w14:paraId="13A23E68">
                          <w:pPr>
                            <w:jc w:val="center"/>
                            <w:rPr>
                              <w:rFonts w:ascii="黑体" w:hAnsi="黑体" w:eastAsia="黑体"/>
                              <w:sz w:val="18"/>
                              <w:szCs w:val="18"/>
                            </w:rPr>
                          </w:pPr>
                          <w:r>
                            <w:rPr>
                              <w:rFonts w:ascii="黑体" w:hAnsi="黑体" w:eastAsia="黑体"/>
                              <w:sz w:val="18"/>
                              <w:szCs w:val="18"/>
                            </w:rPr>
                            <w:t>成品入库</w:t>
                          </w:r>
                        </w:p>
                      </w:txbxContent>
                    </v:textbox>
                  </v:shape>
                  <v:shape id="_x0000_s7363" o:spid="_x0000_s7363" o:spt="32" type="#_x0000_t32" style="position:absolute;left:5106;top:4425;height:427;width:1;" o:connectortype="straight" filled="f" coordsize="21600,21600">
                    <v:path arrowok="t"/>
                    <v:fill on="f" focussize="0,0"/>
                    <v:stroke endarrow="block" endarrowwidth="narrow"/>
                    <v:imagedata o:title=""/>
                    <o:lock v:ext="edit"/>
                  </v:shape>
                  <v:shape id="_x0000_s7364" o:spid="_x0000_s7364" o:spt="32" type="#_x0000_t32" style="position:absolute;left:5104;top:5298;flip:x;height:236;width:3;" o:connectortype="straight" filled="f" coordsize="21600,21600">
                    <v:path arrowok="t"/>
                    <v:fill on="f" focussize="0,0"/>
                    <v:stroke endarrow="block" endarrowwidth="narrow"/>
                    <v:imagedata o:title=""/>
                    <o:lock v:ext="edit"/>
                  </v:shape>
                  <v:shape id="_x0000_s7365" o:spid="_x0000_s7365" o:spt="32" type="#_x0000_t32" style="position:absolute;left:5104;top:5981;height:241;width:1;" o:connectortype="straight" filled="f" coordsize="21600,21600">
                    <v:path arrowok="t"/>
                    <v:fill on="f" focussize="0,0"/>
                    <v:stroke endarrow="block" endarrowwidth="narrow"/>
                    <v:imagedata o:title=""/>
                    <o:lock v:ext="edit"/>
                  </v:shape>
                  <v:shape id="_x0000_s7366" o:spid="_x0000_s7366" o:spt="32" type="#_x0000_t32" style="position:absolute;left:5104;top:6666;height:308;width:1;" o:connectortype="straight" filled="f" coordsize="21600,21600">
                    <v:path arrowok="t"/>
                    <v:fill on="f" focussize="0,0"/>
                    <v:stroke endarrow="block" endarrowwidth="narrow"/>
                    <v:imagedata o:title=""/>
                    <o:lock v:ext="edit"/>
                  </v:shape>
                  <v:shape id="_x0000_s7367" o:spid="_x0000_s7367" o:spt="33" type="#_x0000_t33" style="position:absolute;left:5026;top:7498;flip:x;height:466;width:621;rotation:5898240f;" o:connectortype="elbow" filled="f" coordsize="21600,21600" adj="-177496,339667,-177496">
                    <v:path arrowok="t"/>
                    <v:fill on="f" focussize="0,0"/>
                    <v:stroke endarrow="block" endarrowwidth="narrow"/>
                    <v:imagedata o:title=""/>
                    <o:lock v:ext="edit"/>
                  </v:shape>
                  <v:shape id="_x0000_s7369" o:spid="_x0000_s7369" o:spt="32" type="#_x0000_t32" style="position:absolute;left:7673;top:5298;flip:x;height:236;width:8;" o:connectortype="straight" filled="f" coordsize="21600,21600">
                    <v:path arrowok="t"/>
                    <v:fill on="f" focussize="0,0"/>
                    <v:stroke endarrow="block" endarrowwidth="narrow"/>
                    <v:imagedata o:title=""/>
                    <o:lock v:ext="edit"/>
                  </v:shape>
                  <v:shape id="_x0000_s7370" o:spid="_x0000_s7370" o:spt="32" type="#_x0000_t32" style="position:absolute;left:7673;top:5981;height:241;width:2;" o:connectortype="straight" filled="f" coordsize="21600,21600">
                    <v:path arrowok="t"/>
                    <v:fill on="f" focussize="0,0"/>
                    <v:stroke endarrow="block" endarrowwidth="narrow"/>
                    <v:imagedata o:title=""/>
                    <o:lock v:ext="edit"/>
                  </v:shape>
                  <v:shape id="_x0000_s7371" o:spid="_x0000_s7371" o:spt="32" type="#_x0000_t32" style="position:absolute;left:6267;top:8264;height:329;width:10;" o:connectortype="straight" filled="f" coordsize="21600,21600">
                    <v:path arrowok="t"/>
                    <v:fill on="f" focussize="0,0"/>
                    <v:stroke endarrow="block" endarrowwidth="narrow"/>
                    <v:imagedata o:title=""/>
                    <o:lock v:ext="edit"/>
                  </v:shape>
                  <v:shape id="_x0000_s7372" o:spid="_x0000_s7372" o:spt="32" type="#_x0000_t32" style="position:absolute;left:6277;top:9039;height:328;width:1;" o:connectortype="straight" filled="f" coordsize="21600,21600">
                    <v:path arrowok="t"/>
                    <v:fill on="f" focussize="0,0"/>
                    <v:stroke endarrow="block" endarrowwidth="narrow"/>
                    <v:imagedata o:title=""/>
                    <o:lock v:ext="edit"/>
                  </v:shape>
                  <v:shape id="_x0000_s7373" o:spid="_x0000_s7373" o:spt="32" type="#_x0000_t32" style="position:absolute;left:6278;top:9812;height:248;width:1;" o:connectortype="straight" filled="f" coordsize="21600,21600">
                    <v:path arrowok="t"/>
                    <v:fill on="f" focussize="0,0"/>
                    <v:stroke endarrow="block" endarrowwidth="narrow"/>
                    <v:imagedata o:title=""/>
                    <o:lock v:ext="edit"/>
                  </v:shape>
                  <v:shape id="_x0000_s7374" o:spid="_x0000_s7374" o:spt="32" type="#_x0000_t32" style="position:absolute;left:6279;top:10505;height:302;width:1;" o:connectortype="straight" filled="f" coordsize="21600,21600">
                    <v:path arrowok="t"/>
                    <v:fill on="f" focussize="0,0"/>
                    <v:stroke endarrow="block" endarrowwidth="narrow"/>
                    <v:imagedata o:title=""/>
                    <o:lock v:ext="edit"/>
                  </v:shape>
                  <v:shape id="_x0000_s7375" o:spid="_x0000_s7375" o:spt="32" type="#_x0000_t32" style="position:absolute;left:6279;top:11251;height:326;width:1;" o:connectortype="straight" filled="f" coordsize="21600,21600">
                    <v:path arrowok="t"/>
                    <v:fill on="f" focussize="0,0"/>
                    <v:stroke endarrow="block" endarrowwidth="narrow"/>
                    <v:imagedata o:title=""/>
                    <o:lock v:ext="edit"/>
                  </v:shape>
                  <v:shape id="_x0000_s7376" o:spid="_x0000_s7376" o:spt="202" type="#_x0000_t202" style="position:absolute;left:4164;top:3628;height:797;width:1909;" stroked="f" coordsize="21600,21600">
                    <v:path/>
                    <v:fill focussize="0,0"/>
                    <v:stroke on="f" joinstyle="miter"/>
                    <v:imagedata o:title=""/>
                    <o:lock v:ext="edit"/>
                    <v:textbox>
                      <w:txbxContent>
                        <w:p w14:paraId="4A54B561">
                          <w:pPr>
                            <w:jc w:val="center"/>
                            <w:rPr>
                              <w:rFonts w:ascii="黑体" w:hAnsi="黑体" w:eastAsia="黑体"/>
                              <w:sz w:val="18"/>
                              <w:szCs w:val="18"/>
                            </w:rPr>
                          </w:pPr>
                          <w:r>
                            <w:rPr>
                              <w:rFonts w:ascii="黑体" w:hAnsi="黑体" w:eastAsia="黑体"/>
                              <w:sz w:val="18"/>
                              <w:szCs w:val="18"/>
                            </w:rPr>
                            <w:t>邻苯二甲酸二甲酯、</w:t>
                          </w:r>
                        </w:p>
                        <w:p w14:paraId="711984CA">
                          <w:pPr>
                            <w:jc w:val="center"/>
                            <w:rPr>
                              <w:rFonts w:ascii="黑体" w:hAnsi="黑体" w:eastAsia="黑体"/>
                              <w:sz w:val="18"/>
                              <w:szCs w:val="18"/>
                            </w:rPr>
                          </w:pPr>
                          <w:r>
                            <w:rPr>
                              <w:rFonts w:ascii="黑体" w:hAnsi="黑体" w:eastAsia="黑体"/>
                              <w:sz w:val="18"/>
                              <w:szCs w:val="18"/>
                            </w:rPr>
                            <w:t>双草酸酯、染料</w:t>
                          </w:r>
                        </w:p>
                      </w:txbxContent>
                    </v:textbox>
                  </v:shape>
                  <v:shape id="_x0000_s7377" o:spid="_x0000_s7377" o:spt="202" type="#_x0000_t202" style="position:absolute;left:6685;top:3687;height:738;width:1931;" stroked="f" coordsize="21600,21600">
                    <v:path/>
                    <v:fill focussize="0,0"/>
                    <v:stroke on="f" joinstyle="miter"/>
                    <v:imagedata o:title=""/>
                    <o:lock v:ext="edit"/>
                    <v:textbox>
                      <w:txbxContent>
                        <w:p w14:paraId="38ABD07C">
                          <w:pPr>
                            <w:jc w:val="center"/>
                            <w:rPr>
                              <w:rFonts w:ascii="黑体" w:hAnsi="黑体" w:eastAsia="黑体"/>
                              <w:sz w:val="18"/>
                              <w:szCs w:val="18"/>
                            </w:rPr>
                          </w:pPr>
                          <w:r>
                            <w:rPr>
                              <w:rFonts w:ascii="黑体" w:hAnsi="黑体" w:eastAsia="黑体"/>
                              <w:sz w:val="18"/>
                              <w:szCs w:val="18"/>
                            </w:rPr>
                            <w:t>邻苯二甲酸二甲酯、</w:t>
                          </w:r>
                        </w:p>
                        <w:p w14:paraId="6C8737B9">
                          <w:pPr>
                            <w:jc w:val="center"/>
                            <w:rPr>
                              <w:rFonts w:ascii="黑体" w:hAnsi="黑体" w:eastAsia="黑体"/>
                              <w:sz w:val="18"/>
                              <w:szCs w:val="18"/>
                            </w:rPr>
                          </w:pPr>
                          <w:r>
                            <w:rPr>
                              <w:rFonts w:ascii="黑体" w:hAnsi="黑体" w:eastAsia="黑体"/>
                              <w:sz w:val="18"/>
                              <w:szCs w:val="18"/>
                            </w:rPr>
                            <w:t>双氧水</w:t>
                          </w:r>
                        </w:p>
                      </w:txbxContent>
                    </v:textbox>
                  </v:shape>
                  <v:shape id="_x0000_s7378" o:spid="_x0000_s7378" o:spt="32" type="#_x0000_t32" style="position:absolute;left:7678;top:4425;height:427;width:3;" o:connectortype="straight" filled="f" coordsize="21600,21600">
                    <v:path arrowok="t"/>
                    <v:fill on="f" focussize="0,0"/>
                    <v:stroke endarrow="block" endarrowwidth="narrow"/>
                    <v:imagedata o:title=""/>
                    <o:lock v:ext="edit"/>
                  </v:shape>
                  <v:shape id="_x0000_s7379" o:spid="_x0000_s7379" o:spt="202" type="#_x0000_t202" style="position:absolute;left:4369;top:9367;height:445;width:875;" stroked="f" coordsize="21600,21600">
                    <v:path/>
                    <v:fill focussize="0,0"/>
                    <v:stroke on="f" joinstyle="miter"/>
                    <v:imagedata o:title=""/>
                    <o:lock v:ext="edit"/>
                    <v:textbox>
                      <w:txbxContent>
                        <w:p w14:paraId="1262A387">
                          <w:pPr>
                            <w:jc w:val="center"/>
                            <w:rPr>
                              <w:rFonts w:ascii="黑体" w:hAnsi="黑体" w:eastAsia="黑体"/>
                              <w:sz w:val="18"/>
                              <w:szCs w:val="18"/>
                            </w:rPr>
                          </w:pPr>
                          <w:r>
                            <w:rPr>
                              <w:rFonts w:ascii="黑体" w:hAnsi="黑体" w:eastAsia="黑体"/>
                              <w:sz w:val="18"/>
                              <w:szCs w:val="18"/>
                            </w:rPr>
                            <w:t>乙醇</w:t>
                          </w:r>
                        </w:p>
                      </w:txbxContent>
                    </v:textbox>
                  </v:shape>
                  <v:shape id="_x0000_s7380" o:spid="_x0000_s7380" o:spt="32" type="#_x0000_t32" style="position:absolute;left:5244;top:9590;flip:y;height:1;width:347;" o:connectortype="straight" filled="f" coordsize="21600,21600">
                    <v:path arrowok="t"/>
                    <v:fill on="f" focussize="0,0"/>
                    <v:stroke endarrow="block" endarrowwidth="narrow"/>
                    <v:imagedata o:title=""/>
                    <o:lock v:ext="edit"/>
                  </v:shape>
                  <v:shape id="_x0000_s7381" o:spid="_x0000_s7381" o:spt="202" type="#_x0000_t202" style="position:absolute;left:4102;top:10807;height:444;width:1142;" stroked="f" coordsize="21600,21600">
                    <v:path/>
                    <v:fill focussize="0,0"/>
                    <v:stroke on="f" joinstyle="miter"/>
                    <v:imagedata o:title=""/>
                    <o:lock v:ext="edit"/>
                    <v:textbox>
                      <w:txbxContent>
                        <w:p w14:paraId="420FC1B4">
                          <w:pPr>
                            <w:jc w:val="center"/>
                            <w:rPr>
                              <w:rFonts w:ascii="黑体" w:hAnsi="黑体" w:eastAsia="黑体"/>
                              <w:sz w:val="18"/>
                              <w:szCs w:val="18"/>
                            </w:rPr>
                          </w:pPr>
                          <w:r>
                            <w:rPr>
                              <w:rFonts w:ascii="黑体" w:hAnsi="黑体" w:eastAsia="黑体"/>
                              <w:sz w:val="18"/>
                              <w:szCs w:val="18"/>
                            </w:rPr>
                            <w:t>包装材料</w:t>
                          </w:r>
                        </w:p>
                      </w:txbxContent>
                    </v:textbox>
                  </v:shape>
                  <v:shape id="_x0000_s7382" o:spid="_x0000_s7382" o:spt="32" type="#_x0000_t32" style="position:absolute;left:5244;top:11028;flip:y;height:4;width:347;" o:connectortype="straight" filled="f" coordsize="21600,21600">
                    <v:path arrowok="t"/>
                    <v:fill on="f" focussize="0,0"/>
                    <v:stroke endarrow="block" endarrowwidth="narrow"/>
                    <v:imagedata o:title=""/>
                    <o:lock v:ext="edit"/>
                  </v:shape>
                  <v:rect id="矩形 3509" o:spid="_x0000_s7388" o:spt="1" style="position:absolute;left:2685;top:6841;height:579;width:1417;" fillcolor="#EAF1DD" filled="t" stroked="f" coordsize="21600,21600">
                    <v:path/>
                    <v:fill on="t" focussize="0,0"/>
                    <v:stroke on="f"/>
                    <v:imagedata o:title=""/>
                    <o:lock v:ext="edit"/>
                    <v:textbox inset="1.5mm,1.27mm,1.5mm,1.27mm">
                      <w:txbxContent>
                        <w:p w14:paraId="68CE6C3C">
                          <w:pPr>
                            <w:adjustRightInd w:val="0"/>
                            <w:snapToGrid w:val="0"/>
                            <w:jc w:val="center"/>
                            <w:rPr>
                              <w:rFonts w:eastAsia="黑体"/>
                              <w:color w:val="00B050"/>
                              <w:sz w:val="15"/>
                              <w:szCs w:val="15"/>
                            </w:rPr>
                          </w:pPr>
                          <w:r>
                            <w:rPr>
                              <w:rFonts w:eastAsia="黑体"/>
                              <w:color w:val="00B050"/>
                              <w:sz w:val="15"/>
                              <w:szCs w:val="15"/>
                            </w:rPr>
                            <w:t>G</w:t>
                          </w:r>
                          <w:r>
                            <w:rPr>
                              <w:rFonts w:hint="eastAsia" w:eastAsia="黑体"/>
                              <w:color w:val="00B050"/>
                              <w:sz w:val="15"/>
                              <w:szCs w:val="15"/>
                              <w:vertAlign w:val="subscript"/>
                            </w:rPr>
                            <w:t>1</w:t>
                          </w:r>
                          <w:r>
                            <w:rPr>
                              <w:rFonts w:hint="eastAsia" w:hAnsi="黑体" w:eastAsia="黑体"/>
                              <w:color w:val="00B050"/>
                              <w:sz w:val="15"/>
                              <w:szCs w:val="15"/>
                            </w:rPr>
                            <w:t>：玻璃管热熔封口废气</w:t>
                          </w:r>
                        </w:p>
                      </w:txbxContent>
                    </v:textbox>
                  </v:rect>
                  <v:rect id="矩形 3509" o:spid="_x0000_s7389" o:spt="1" style="position:absolute;left:7308;top:8342;height:362;width:1838;" fillcolor="#EAF1DD" filled="t" stroked="f" coordsize="21600,21600">
                    <v:path/>
                    <v:fill on="t" focussize="0,0"/>
                    <v:stroke on="f"/>
                    <v:imagedata o:title=""/>
                    <o:lock v:ext="edit"/>
                    <v:textbox inset="1.5mm,1.27mm,1.5mm,1.27mm">
                      <w:txbxContent>
                        <w:p w14:paraId="3473B836">
                          <w:pPr>
                            <w:adjustRightInd w:val="0"/>
                            <w:snapToGrid w:val="0"/>
                            <w:jc w:val="center"/>
                            <w:rPr>
                              <w:rFonts w:eastAsia="黑体"/>
                              <w:color w:val="00B050"/>
                              <w:sz w:val="15"/>
                              <w:szCs w:val="15"/>
                            </w:rPr>
                          </w:pPr>
                          <w:r>
                            <w:rPr>
                              <w:rFonts w:eastAsia="黑体"/>
                              <w:color w:val="00B050"/>
                              <w:sz w:val="15"/>
                              <w:szCs w:val="15"/>
                            </w:rPr>
                            <w:t>G</w:t>
                          </w:r>
                          <w:r>
                            <w:rPr>
                              <w:rFonts w:hint="eastAsia" w:eastAsia="黑体"/>
                              <w:color w:val="00B050"/>
                              <w:sz w:val="15"/>
                              <w:szCs w:val="15"/>
                              <w:vertAlign w:val="subscript"/>
                            </w:rPr>
                            <w:t>2</w:t>
                          </w:r>
                          <w:r>
                            <w:rPr>
                              <w:rFonts w:hint="eastAsia" w:hAnsi="黑体" w:eastAsia="黑体"/>
                              <w:color w:val="00B050"/>
                              <w:sz w:val="15"/>
                              <w:szCs w:val="15"/>
                            </w:rPr>
                            <w:t>：组合管封口废气</w:t>
                          </w:r>
                        </w:p>
                      </w:txbxContent>
                    </v:textbox>
                  </v:rect>
                  <v:shape id="_x0000_s7390" o:spid="_x0000_s7390" o:spt="33" type="#_x0000_t33" style="position:absolute;left:6631;top:6998;height:712;width:1375;rotation:5898240f;" o:connectortype="elbow" filled="f" coordsize="21600,21600" adj="-120552,-199436,-120552">
                    <v:path arrowok="t"/>
                    <v:fill on="f" focussize="0,0"/>
                    <v:stroke endarrow="block" endarrowwidth="narrow"/>
                    <v:imagedata o:title=""/>
                    <o:lock v:ext="edit"/>
                  </v:shape>
                  <v:rect id="矩形 3509" o:spid="_x0000_s7391" o:spt="1" style="position:absolute;left:7308;top:8815;height:362;width:1838;" fillcolor="#EAF1DD" filled="t" stroked="f" coordsize="21600,21600">
                    <v:path/>
                    <v:fill on="t" focussize="0,0"/>
                    <v:stroke on="f"/>
                    <v:imagedata o:title=""/>
                    <o:lock v:ext="edit"/>
                    <v:textbox inset="1.5mm,1.27mm,1.5mm,1.27mm">
                      <w:txbxContent>
                        <w:p w14:paraId="79D0D980">
                          <w:pPr>
                            <w:adjustRightInd w:val="0"/>
                            <w:snapToGrid w:val="0"/>
                            <w:jc w:val="center"/>
                            <w:rPr>
                              <w:rFonts w:eastAsia="黑体"/>
                              <w:color w:val="00B050"/>
                              <w:sz w:val="15"/>
                              <w:szCs w:val="15"/>
                            </w:rPr>
                          </w:pPr>
                          <w:r>
                            <w:rPr>
                              <w:rFonts w:eastAsia="黑体"/>
                              <w:color w:val="00B050"/>
                              <w:sz w:val="15"/>
                              <w:szCs w:val="15"/>
                            </w:rPr>
                            <w:t>G</w:t>
                          </w:r>
                          <w:r>
                            <w:rPr>
                              <w:rFonts w:eastAsia="黑体"/>
                              <w:color w:val="00B050"/>
                              <w:sz w:val="15"/>
                              <w:szCs w:val="15"/>
                              <w:vertAlign w:val="subscript"/>
                            </w:rPr>
                            <w:t>3</w:t>
                          </w:r>
                          <w:r>
                            <w:rPr>
                              <w:rFonts w:hint="eastAsia" w:hAnsi="黑体" w:eastAsia="黑体"/>
                              <w:color w:val="00B050"/>
                              <w:sz w:val="15"/>
                              <w:szCs w:val="15"/>
                            </w:rPr>
                            <w:t>：清洗废气</w:t>
                          </w:r>
                        </w:p>
                      </w:txbxContent>
                    </v:textbox>
                  </v:rect>
                  <v:rect id="矩形 3509" o:spid="_x0000_s7392" o:spt="1" style="position:absolute;left:2605;top:4809;height:340;width:1417;" fillcolor="#FDE9D9" filled="t" stroked="f" coordsize="21600,21600">
                    <v:path/>
                    <v:fill on="t" focussize="0,0"/>
                    <v:stroke on="f"/>
                    <v:imagedata o:title=""/>
                    <o:lock v:ext="edit"/>
                    <v:textbox inset="1.5mm,1.27mm,1.5mm,1.27mm">
                      <w:txbxContent>
                        <w:p w14:paraId="07C75299">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1</w:t>
                          </w:r>
                          <w:r>
                            <w:rPr>
                              <w:rFonts w:hint="eastAsia" w:hAnsi="黑体" w:eastAsia="黑体"/>
                              <w:color w:val="FF0000"/>
                              <w:sz w:val="15"/>
                              <w:szCs w:val="15"/>
                            </w:rPr>
                            <w:t>：废原料桶</w:t>
                          </w:r>
                        </w:p>
                      </w:txbxContent>
                    </v:textbox>
                  </v:rect>
                  <v:rect id="矩形 3509" o:spid="_x0000_s7393" o:spt="1" style="position:absolute;left:2685;top:6269;height:340;width:1417;" fillcolor="#FDE9D9" filled="t" stroked="f" coordsize="21600,21600">
                    <v:path/>
                    <v:fill on="t" focussize="0,0"/>
                    <v:stroke on="f"/>
                    <v:imagedata o:title=""/>
                    <o:lock v:ext="edit"/>
                    <v:textbox inset="1.5mm,1.27mm,1.5mm,1.27mm">
                      <w:txbxContent>
                        <w:p w14:paraId="784931B8">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3</w:t>
                          </w:r>
                          <w:r>
                            <w:rPr>
                              <w:rFonts w:hint="eastAsia" w:hAnsi="黑体" w:eastAsia="黑体"/>
                              <w:color w:val="FF0000"/>
                              <w:sz w:val="15"/>
                              <w:szCs w:val="15"/>
                            </w:rPr>
                            <w:t>：离心废液</w:t>
                          </w:r>
                        </w:p>
                      </w:txbxContent>
                    </v:textbox>
                  </v:rect>
                  <v:rect id="矩形 3509" o:spid="_x0000_s7394" o:spt="1" style="position:absolute;left:8737;top:6269;height:397;width:1524;" fillcolor="#FDE9D9" filled="t" stroked="f" coordsize="21600,21600">
                    <v:path/>
                    <v:fill on="t" focussize="0,0"/>
                    <v:stroke on="f"/>
                    <v:imagedata o:title=""/>
                    <o:lock v:ext="edit"/>
                    <v:textbox inset="1.5mm,1.27mm,1.5mm,1.27mm">
                      <w:txbxContent>
                        <w:p w14:paraId="4B8793C4">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5</w:t>
                          </w:r>
                          <w:r>
                            <w:rPr>
                              <w:rFonts w:hint="eastAsia" w:hAnsi="黑体" w:eastAsia="黑体"/>
                              <w:color w:val="FF0000"/>
                              <w:sz w:val="15"/>
                              <w:szCs w:val="15"/>
                            </w:rPr>
                            <w:t>：离心废液</w:t>
                          </w:r>
                        </w:p>
                      </w:txbxContent>
                    </v:textbox>
                  </v:rect>
                  <v:rect id="矩形 3509" o:spid="_x0000_s7395" o:spt="1" style="position:absolute;left:7286;top:9358;height:340;width:1417;" fillcolor="#FDE9D9" filled="t" stroked="f" coordsize="21600,21600">
                    <v:path/>
                    <v:fill on="t" focussize="0,0"/>
                    <v:stroke on="f"/>
                    <v:imagedata o:title=""/>
                    <o:lock v:ext="edit"/>
                    <v:textbox inset="1.5mm,1.27mm,1.5mm,1.27mm">
                      <w:txbxContent>
                        <w:p w14:paraId="277BDA1A">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6</w:t>
                          </w:r>
                          <w:r>
                            <w:rPr>
                              <w:rFonts w:hint="eastAsia" w:hAnsi="黑体" w:eastAsia="黑体"/>
                              <w:color w:val="FF0000"/>
                              <w:sz w:val="15"/>
                              <w:szCs w:val="15"/>
                            </w:rPr>
                            <w:t>：清洗废液</w:t>
                          </w:r>
                        </w:p>
                      </w:txbxContent>
                    </v:textbox>
                  </v:rect>
                  <v:rect id="矩形 3509" o:spid="_x0000_s7396" o:spt="1" style="position:absolute;left:7320;top:10230;height:340;width:1417;" fillcolor="#FDE9D9" filled="t" stroked="f" coordsize="21600,21600">
                    <v:path/>
                    <v:fill on="t" focussize="0,0"/>
                    <v:stroke on="f"/>
                    <v:imagedata o:title=""/>
                    <o:lock v:ext="edit"/>
                    <v:textbox inset="1.5mm,1.27mm,1.5mm,1.27mm">
                      <w:txbxContent>
                        <w:p w14:paraId="3A0FC6BA">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7</w:t>
                          </w:r>
                          <w:r>
                            <w:rPr>
                              <w:rFonts w:hint="eastAsia" w:hAnsi="黑体" w:eastAsia="黑体"/>
                              <w:color w:val="FF0000"/>
                              <w:sz w:val="15"/>
                              <w:szCs w:val="15"/>
                            </w:rPr>
                            <w:t>：离心废液</w:t>
                          </w:r>
                        </w:p>
                      </w:txbxContent>
                    </v:textbox>
                  </v:rect>
                  <v:rect id="矩形 3509" o:spid="_x0000_s7397" o:spt="1" style="position:absolute;left:7332;top:10688;height:340;width:1417;" fillcolor="#FDE9D9" filled="t" stroked="f" coordsize="21600,21600">
                    <v:path/>
                    <v:fill on="t" focussize="0,0"/>
                    <v:stroke on="f"/>
                    <v:imagedata o:title=""/>
                    <o:lock v:ext="edit"/>
                    <v:textbox inset="1.5mm,1.27mm,1.5mm,1.27mm">
                      <w:txbxContent>
                        <w:p w14:paraId="495A96E0">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8</w:t>
                          </w:r>
                          <w:r>
                            <w:rPr>
                              <w:rFonts w:hint="eastAsia" w:hAnsi="黑体" w:eastAsia="黑体"/>
                              <w:color w:val="FF0000"/>
                              <w:sz w:val="15"/>
                              <w:szCs w:val="15"/>
                            </w:rPr>
                            <w:t>：不合格品</w:t>
                          </w:r>
                        </w:p>
                      </w:txbxContent>
                    </v:textbox>
                  </v:rect>
                  <v:rect id="矩形 3509" o:spid="_x0000_s7399" o:spt="1" style="position:absolute;left:7332;top:11094;height:339;width:1429;" fillcolor="#FDE9D9" filled="t" stroked="f" coordsize="21600,21600">
                    <v:path/>
                    <v:fill on="t" focussize="0,0"/>
                    <v:stroke on="f"/>
                    <v:imagedata o:title=""/>
                    <o:lock v:ext="edit"/>
                    <v:textbox inset="1.5mm,1.27mm,1.5mm,1.27mm">
                      <w:txbxContent>
                        <w:p w14:paraId="32DA6EBD">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9</w:t>
                          </w:r>
                          <w:r>
                            <w:rPr>
                              <w:rFonts w:hint="eastAsia" w:hAnsi="黑体" w:eastAsia="黑体"/>
                              <w:color w:val="FF0000"/>
                              <w:sz w:val="15"/>
                              <w:szCs w:val="15"/>
                            </w:rPr>
                            <w:t>：废包材</w:t>
                          </w:r>
                        </w:p>
                      </w:txbxContent>
                    </v:textbox>
                  </v:rect>
                  <v:shape id="_x0000_s7402" o:spid="_x0000_s7402" style="position:absolute;left:4164;top:7028;height:318;width:205;" filled="f" stroked="t" coordsize="205,317" path="m205,317c180,211,155,106,134,79c113,52,102,169,80,156c58,143,29,71,0,0e">
                    <v:path arrowok="t"/>
                    <v:fill on="f" focussize="0,0"/>
                    <v:stroke color="#9BBB59" dashstyle="dash" endarrow="block" endarrowwidth="narrow"/>
                    <v:imagedata o:title=""/>
                    <o:lock v:ext="edit"/>
                  </v:shape>
                  <v:shape id="_x0000_s7405" o:spid="_x0000_s7405" style="position:absolute;left:6966;top:8425;height:279;width:342;" filled="f" stroked="t" coordsize="342,278" path="m0,278c53,182,106,87,142,69c178,51,184,178,217,167c250,156,321,28,342,0e">
                    <v:path arrowok="t"/>
                    <v:fill on="f" focussize="0,0"/>
                    <v:stroke color="#9BBB59" dashstyle="dash" endarrow="block" endarrowwidth="narrow"/>
                    <v:imagedata o:title=""/>
                    <o:lock v:ext="edit"/>
                  </v:shape>
                  <v:shape id="_x0000_s7406" o:spid="_x0000_s7406" style="position:absolute;left:6966;top:9080;height:437;width:320;" filled="f" stroked="t" coordsize="342,287" path="m0,287c56,195,112,103,148,75c184,47,184,128,216,116c248,104,295,52,342,0e">
                    <v:path arrowok="t"/>
                    <v:fill on="f" focussize="0,0"/>
                    <v:stroke color="#9BBB59" dashstyle="dash" endarrow="block" endarrowwidth="narrow"/>
                    <v:imagedata o:title=""/>
                    <o:lock v:ext="edit"/>
                  </v:shape>
                  <v:shape id="_x0000_s7415" o:spid="_x0000_s7415" o:spt="202" type="#_x0000_t202" style="position:absolute;left:3020;top:5534;height:447;width:933;" stroked="f" coordsize="21600,21600">
                    <v:path/>
                    <v:fill focussize="0,0"/>
                    <v:stroke on="f" joinstyle="miter"/>
                    <v:imagedata o:title=""/>
                    <o:lock v:ext="edit"/>
                    <v:textbox>
                      <w:txbxContent>
                        <w:p w14:paraId="1B848962">
                          <w:pPr>
                            <w:jc w:val="center"/>
                            <w:rPr>
                              <w:rFonts w:ascii="黑体" w:hAnsi="黑体" w:eastAsia="黑体"/>
                              <w:sz w:val="18"/>
                              <w:szCs w:val="18"/>
                            </w:rPr>
                          </w:pPr>
                          <w:r>
                            <w:rPr>
                              <w:rFonts w:ascii="黑体" w:hAnsi="黑体" w:eastAsia="黑体"/>
                              <w:sz w:val="18"/>
                              <w:szCs w:val="18"/>
                            </w:rPr>
                            <w:t>玻璃管</w:t>
                          </w:r>
                        </w:p>
                      </w:txbxContent>
                    </v:textbox>
                  </v:shape>
                  <v:shape id="_x0000_s7416" o:spid="_x0000_s7416" o:spt="32" type="#_x0000_t32" style="position:absolute;left:3953;top:5757;height:1;width:416;" o:connectortype="straight" filled="f" coordsize="21600,21600">
                    <v:path arrowok="t"/>
                    <v:fill on="f" focussize="0,0"/>
                    <v:stroke endarrow="block" endarrowwidth="narrow"/>
                    <v:imagedata o:title=""/>
                    <o:lock v:ext="edit"/>
                  </v:shape>
                  <v:shape id="_x0000_s7417" o:spid="_x0000_s7417" o:spt="202" type="#_x0000_t202" style="position:absolute;left:8761;top:5535;height:447;width:1000;" stroked="f" coordsize="21600,21600">
                    <v:path/>
                    <v:fill focussize="0,0"/>
                    <v:stroke on="f" joinstyle="miter"/>
                    <v:imagedata o:title=""/>
                    <o:lock v:ext="edit"/>
                    <v:textbox>
                      <w:txbxContent>
                        <w:p w14:paraId="2F969A3A">
                          <w:pPr>
                            <w:jc w:val="center"/>
                            <w:rPr>
                              <w:rFonts w:ascii="黑体" w:hAnsi="黑体" w:eastAsia="黑体"/>
                              <w:sz w:val="18"/>
                              <w:szCs w:val="18"/>
                            </w:rPr>
                          </w:pPr>
                          <w:r>
                            <w:rPr>
                              <w:rFonts w:ascii="黑体" w:hAnsi="黑体" w:eastAsia="黑体"/>
                              <w:sz w:val="18"/>
                              <w:szCs w:val="18"/>
                            </w:rPr>
                            <w:t>塑料管</w:t>
                          </w:r>
                        </w:p>
                      </w:txbxContent>
                    </v:textbox>
                  </v:shape>
                  <v:shape id="_x0000_s7418" o:spid="_x0000_s7418" o:spt="32" type="#_x0000_t32" style="position:absolute;left:8401;top:5757;flip:x;height:1;width:360;" o:connectortype="straight" filled="f" coordsize="21600,21600">
                    <v:path arrowok="t"/>
                    <v:fill on="f" focussize="0,0"/>
                    <v:stroke endarrow="block" endarrowwidth="narrow"/>
                    <v:imagedata o:title=""/>
                    <o:lock v:ext="edit"/>
                  </v:shape>
                  <v:rect id="矩形 3509" o:spid="_x0000_s7419" o:spt="1" style="position:absolute;left:8616;top:4977;height:343;width:1418;" fillcolor="#FDE9D9" filled="t" stroked="f" coordsize="21600,21600">
                    <v:path/>
                    <v:fill on="t" focussize="0,0"/>
                    <v:stroke on="f"/>
                    <v:imagedata o:title=""/>
                    <o:lock v:ext="edit"/>
                    <v:textbox inset="1.5mm,1.27mm,1.5mm,1.27mm">
                      <w:txbxContent>
                        <w:p w14:paraId="2903CDA1">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4</w:t>
                          </w:r>
                          <w:r>
                            <w:rPr>
                              <w:rFonts w:hint="eastAsia" w:hAnsi="黑体" w:eastAsia="黑体"/>
                              <w:color w:val="FF0000"/>
                              <w:sz w:val="15"/>
                              <w:szCs w:val="15"/>
                            </w:rPr>
                            <w:t>：废原料桶</w:t>
                          </w:r>
                        </w:p>
                      </w:txbxContent>
                    </v:textbox>
                  </v:rect>
                  <v:rect id="矩形 3509" o:spid="_x0000_s7421" o:spt="1" style="position:absolute;left:2536;top:5298;height:341;width:1417;" fillcolor="#FDE9D9" filled="t" stroked="f" coordsize="21600,21600">
                    <v:path/>
                    <v:fill on="t" focussize="0,0"/>
                    <v:stroke on="f"/>
                    <v:imagedata o:title=""/>
                    <o:lock v:ext="edit"/>
                    <v:textbox inset="1.5mm,1.27mm,1.5mm,1.27mm">
                      <w:txbxContent>
                        <w:p w14:paraId="30C71768">
                          <w:pPr>
                            <w:adjustRightInd w:val="0"/>
                            <w:snapToGrid w:val="0"/>
                            <w:jc w:val="center"/>
                            <w:rPr>
                              <w:rFonts w:eastAsia="黑体"/>
                              <w:color w:val="FF0000"/>
                              <w:sz w:val="15"/>
                              <w:szCs w:val="15"/>
                            </w:rPr>
                          </w:pPr>
                          <w:r>
                            <w:rPr>
                              <w:rFonts w:eastAsia="黑体"/>
                              <w:color w:val="FF0000"/>
                              <w:sz w:val="15"/>
                              <w:szCs w:val="15"/>
                            </w:rPr>
                            <w:t>S</w:t>
                          </w:r>
                          <w:r>
                            <w:rPr>
                              <w:rFonts w:eastAsia="黑体"/>
                              <w:color w:val="FF0000"/>
                              <w:sz w:val="15"/>
                              <w:szCs w:val="15"/>
                              <w:vertAlign w:val="subscript"/>
                            </w:rPr>
                            <w:t>2</w:t>
                          </w:r>
                          <w:r>
                            <w:rPr>
                              <w:rFonts w:hint="eastAsia" w:hAnsi="黑体" w:eastAsia="黑体"/>
                              <w:color w:val="FF0000"/>
                              <w:sz w:val="15"/>
                              <w:szCs w:val="15"/>
                            </w:rPr>
                            <w:t>：废玻璃管</w:t>
                          </w:r>
                        </w:p>
                      </w:txbxContent>
                    </v:textbox>
                  </v:rect>
                  <v:rect id="矩形 3509" o:spid="_x0000_s7430" o:spt="1" style="position:absolute;left:7286;top:9812;height:362;width:1838;" fillcolor="#EAF1DD" filled="t" stroked="f" coordsize="21600,21600">
                    <v:path/>
                    <v:fill on="t" focussize="0,0"/>
                    <v:stroke on="f"/>
                    <v:imagedata o:title=""/>
                    <o:lock v:ext="edit"/>
                    <v:textbox inset="1.5mm,1.27mm,1.5mm,1.27mm">
                      <w:txbxContent>
                        <w:p w14:paraId="150A275F">
                          <w:pPr>
                            <w:adjustRightInd w:val="0"/>
                            <w:snapToGrid w:val="0"/>
                            <w:jc w:val="center"/>
                            <w:rPr>
                              <w:rFonts w:eastAsia="黑体"/>
                              <w:color w:val="00B050"/>
                              <w:sz w:val="15"/>
                              <w:szCs w:val="15"/>
                            </w:rPr>
                          </w:pPr>
                          <w:r>
                            <w:rPr>
                              <w:rFonts w:eastAsia="黑体"/>
                              <w:color w:val="00B050"/>
                              <w:sz w:val="15"/>
                              <w:szCs w:val="15"/>
                            </w:rPr>
                            <w:t>G</w:t>
                          </w:r>
                          <w:r>
                            <w:rPr>
                              <w:rFonts w:eastAsia="黑体"/>
                              <w:color w:val="00B050"/>
                              <w:sz w:val="15"/>
                              <w:szCs w:val="15"/>
                              <w:vertAlign w:val="subscript"/>
                            </w:rPr>
                            <w:t>4</w:t>
                          </w:r>
                          <w:r>
                            <w:rPr>
                              <w:rFonts w:hint="eastAsia" w:hAnsi="黑体" w:eastAsia="黑体"/>
                              <w:color w:val="00B050"/>
                              <w:sz w:val="15"/>
                              <w:szCs w:val="15"/>
                            </w:rPr>
                            <w:t>：离心废气</w:t>
                          </w:r>
                        </w:p>
                      </w:txbxContent>
                    </v:textbox>
                  </v:rect>
                  <v:shape id="_x0000_s7431" o:spid="_x0000_s7431" style="position:absolute;left:6966;top:9921;height:362;width:320;" filled="f" stroked="t" coordsize="320,362" path="m0,362c22,250,44,139,71,114c98,89,119,228,160,209c201,190,290,35,320,0e">
                    <v:path arrowok="t"/>
                    <v:fill on="f" focussize="0,0"/>
                    <v:stroke color="#9BBB59" dashstyle="dash" endarrow="block" endarrowwidth="narrow"/>
                    <v:imagedata o:title=""/>
                    <o:lock v:ext="edit"/>
                  </v:shape>
                  <v:shape id="_x0000_s7569" o:spid="_x0000_s7569" o:spt="32" type="#_x0000_t32" style="position:absolute;left:3953;top:5534;flip:x;height:1;width:416;" o:connectortype="straight" filled="f" stroked="t" coordsize="21600,21600">
                    <v:path arrowok="t"/>
                    <v:fill on="f" focussize="0,0"/>
                    <v:stroke color="#FF0000" dashstyle="dash" endarrow="block" endarrowwidth="narrow"/>
                    <v:imagedata o:title=""/>
                    <o:lock v:ext="edit"/>
                  </v:shape>
                  <v:shape id="_x0000_s7570" o:spid="_x0000_s7570" o:spt="32" type="#_x0000_t32" style="position:absolute;left:8404;top:6432;flip:y;height:12;width:333;" o:connectortype="straight" filled="f" stroked="t" coordsize="21600,21600">
                    <v:path arrowok="t"/>
                    <v:fill on="f" focussize="0,0"/>
                    <v:stroke color="#FF0000" dashstyle="dash" endarrow="block" endarrowwidth="narrow"/>
                    <v:imagedata o:title=""/>
                    <o:lock v:ext="edit"/>
                  </v:shape>
                  <v:shape id="_x0000_s7573" o:spid="_x0000_s7573" o:spt="32" type="#_x0000_t32" style="position:absolute;left:4102;top:6438;flip:x y;height:6;width:267;" o:connectortype="straight" filled="f" stroked="t" coordsize="21600,21600">
                    <v:path arrowok="t"/>
                    <v:fill on="f" focussize="0,0"/>
                    <v:stroke color="#FF0000" dashstyle="dash" endarrow="block" endarrowwidth="narrow"/>
                    <v:imagedata o:title=""/>
                    <o:lock v:ext="edit"/>
                  </v:shape>
                  <v:shape id="_x0000_s7780" o:spid="_x0000_s7780" o:spt="32" type="#_x0000_t32" style="position:absolute;left:3956;top:5043;flip:x;height:2;width:417;" o:connectortype="straight" filled="f" stroked="t" coordsize="21600,21600">
                    <v:path arrowok="t"/>
                    <v:fill on="f" focussize="0,0"/>
                    <v:stroke color="#FF0000" dashstyle="dash" endarrow="block" endarrowwidth="narrow"/>
                    <v:imagedata o:title=""/>
                    <o:lock v:ext="edit"/>
                  </v:shape>
                  <v:shape id="_x0000_s7781" o:spid="_x0000_s7781" o:spt="32" type="#_x0000_t32" style="position:absolute;left:8382;top:5138;flip:y;height:11;width:333;" o:connectortype="straight" filled="f" stroked="t" coordsize="21600,21600">
                    <v:path arrowok="t"/>
                    <v:fill on="f" focussize="0,0"/>
                    <v:stroke color="#FF0000" dashstyle="dash" endarrow="block" endarrowwidth="narrow"/>
                    <v:imagedata o:title=""/>
                    <o:lock v:ext="edit"/>
                  </v:shape>
                  <v:shape id="_x0000_s7782" o:spid="_x0000_s7782" o:spt="32" type="#_x0000_t32" style="position:absolute;left:6975;top:9505;flip:y;height:12;width:333;" o:connectortype="straight" filled="f" stroked="t" coordsize="21600,21600">
                    <v:path arrowok="t"/>
                    <v:fill on="f" focussize="0,0"/>
                    <v:stroke color="#FF0000" dashstyle="dash" endarrow="block" endarrowwidth="narrow"/>
                    <v:imagedata o:title=""/>
                    <o:lock v:ext="edit"/>
                  </v:shape>
                  <v:shape id="_x0000_s7783" o:spid="_x0000_s7783" o:spt="32" type="#_x0000_t32" style="position:absolute;left:6963;top:10364;flip:y;height:12;width:333;" o:connectortype="straight" filled="f" stroked="t" coordsize="21600,21600">
                    <v:path arrowok="t"/>
                    <v:fill on="f" focussize="0,0"/>
                    <v:stroke color="#FF0000" dashstyle="dash" endarrow="block" endarrowwidth="narrow"/>
                    <v:imagedata o:title=""/>
                    <o:lock v:ext="edit"/>
                  </v:shape>
                  <v:shape id="_x0000_s7784" o:spid="_x0000_s7784" o:spt="32" type="#_x0000_t32" style="position:absolute;left:6987;top:10807;flip:y;height:12;width:333;" o:connectortype="straight" filled="f" stroked="t" coordsize="21600,21600">
                    <v:path arrowok="t"/>
                    <v:fill on="f" focussize="0,0"/>
                    <v:stroke color="#FF0000" dashstyle="dash" endarrow="block" endarrowwidth="narrow"/>
                    <v:imagedata o:title=""/>
                    <o:lock v:ext="edit"/>
                  </v:shape>
                  <v:shape id="_x0000_s7785" o:spid="_x0000_s7785" o:spt="32" type="#_x0000_t32" style="position:absolute;left:6975;top:11239;flip:y;height:12;width:333;" o:connectortype="straight" filled="f" stroked="t" coordsize="21600,21600">
                    <v:path arrowok="t"/>
                    <v:fill on="f" focussize="0,0"/>
                    <v:stroke color="#FF0000" dashstyle="dash" endarrow="block" endarrowwidth="narrow"/>
                    <v:imagedata o:title=""/>
                    <o:lock v:ext="edit"/>
                  </v:shape>
                  <w10:wrap type="none"/>
                  <w10:anchorlock/>
                </v:group>
              </w:pict>
            </w:r>
          </w:p>
          <w:p w14:paraId="6AE7466A">
            <w:pPr>
              <w:autoSpaceDE w:val="0"/>
              <w:autoSpaceDN w:val="0"/>
              <w:adjustRightInd w:val="0"/>
              <w:snapToGrid w:val="0"/>
              <w:jc w:val="center"/>
              <w:rPr>
                <w:rFonts w:hAnsi="宋体"/>
                <w:szCs w:val="21"/>
              </w:rPr>
            </w:pPr>
            <w:r>
              <w:rPr>
                <w:rFonts w:hint="eastAsia" w:hAnsi="黑体" w:eastAsia="黑体"/>
                <w:sz w:val="24"/>
                <w:szCs w:val="24"/>
              </w:rPr>
              <w:t>图3</w:t>
            </w:r>
            <w:r>
              <w:rPr>
                <w:rFonts w:hAnsi="黑体" w:eastAsia="黑体"/>
                <w:sz w:val="24"/>
                <w:szCs w:val="24"/>
              </w:rPr>
              <w:t xml:space="preserve">  </w:t>
            </w:r>
            <w:r>
              <w:rPr>
                <w:rFonts w:hint="eastAsia" w:hAnsi="黑体" w:eastAsia="黑体"/>
                <w:sz w:val="24"/>
                <w:szCs w:val="24"/>
              </w:rPr>
              <w:t>荧光棒生产工艺流程及产污节点图</w:t>
            </w:r>
          </w:p>
          <w:p w14:paraId="7767B03B">
            <w:pPr>
              <w:adjustRightInd w:val="0"/>
              <w:spacing w:line="360" w:lineRule="auto"/>
              <w:ind w:firstLine="482" w:firstLineChars="200"/>
              <w:rPr>
                <w:rFonts w:hAnsi="宋体"/>
                <w:b/>
                <w:sz w:val="24"/>
              </w:rPr>
            </w:pPr>
            <w:r>
              <w:rPr>
                <w:rFonts w:hAnsi="宋体"/>
                <w:b/>
                <w:sz w:val="24"/>
              </w:rPr>
              <w:t>荧光棒生产工艺流程说明：</w:t>
            </w:r>
          </w:p>
          <w:p w14:paraId="7458307F">
            <w:pPr>
              <w:adjustRightInd w:val="0"/>
              <w:spacing w:line="360" w:lineRule="auto"/>
              <w:ind w:firstLine="480" w:firstLineChars="200"/>
              <w:rPr>
                <w:rFonts w:hAnsi="宋体"/>
                <w:sz w:val="24"/>
              </w:rPr>
            </w:pPr>
            <w:r>
              <w:rPr>
                <w:rFonts w:hint="eastAsia" w:hAnsi="宋体"/>
                <w:sz w:val="24"/>
              </w:rPr>
              <w:t>1）发光液、活化剂配制</w:t>
            </w:r>
          </w:p>
          <w:p w14:paraId="42DEC961">
            <w:pPr>
              <w:adjustRightInd w:val="0"/>
              <w:spacing w:line="360" w:lineRule="auto"/>
              <w:ind w:firstLine="480" w:firstLineChars="200"/>
              <w:rPr>
                <w:rFonts w:hAnsi="宋体"/>
                <w:sz w:val="24"/>
              </w:rPr>
            </w:pPr>
            <w:r>
              <w:rPr>
                <w:rFonts w:hint="eastAsia" w:hAnsi="宋体"/>
                <w:sz w:val="24"/>
              </w:rPr>
              <w:t>邻苯二甲酸二甲酯、双草酸酯及染料分别按92.6%、7.</w:t>
            </w:r>
            <w:r>
              <w:rPr>
                <w:rFonts w:hAnsi="宋体"/>
                <w:sz w:val="24"/>
              </w:rPr>
              <w:t>3</w:t>
            </w:r>
            <w:r>
              <w:rPr>
                <w:rFonts w:hint="eastAsia" w:hAnsi="宋体"/>
                <w:sz w:val="24"/>
              </w:rPr>
              <w:t>4%、0.06%的比例投入液体搅拌机。其中邻苯二甲酸二甲酯、双草酸酯为桶装液体，通过原料抽液泵抽入液体搅拌机；染料（粉状）通过人工投料方式加入。在液体搅拌机内搅拌混合均匀后，从机器底部下料口利用重力放出配制好的发光液并收集于发光液储存桶中。</w:t>
            </w:r>
          </w:p>
          <w:p w14:paraId="7A07DD18">
            <w:pPr>
              <w:adjustRightInd w:val="0"/>
              <w:spacing w:line="360" w:lineRule="auto"/>
              <w:ind w:firstLine="480" w:firstLineChars="200"/>
              <w:rPr>
                <w:rFonts w:hAnsi="宋体"/>
                <w:sz w:val="24"/>
              </w:rPr>
            </w:pPr>
            <w:r>
              <w:rPr>
                <w:rFonts w:hint="eastAsia" w:hAnsi="宋体"/>
                <w:sz w:val="24"/>
              </w:rPr>
              <w:t>邻苯二甲酸二甲酯和双氧水（70%浓度）分别按96.55%、3.45%比例通过原料抽液泵抽入液体搅拌机，原料搅拌混合后，从机器底部下料口流出配制好的活化剂并收集于活化剂储存桶中。</w:t>
            </w:r>
          </w:p>
          <w:p w14:paraId="4692680C">
            <w:pPr>
              <w:adjustRightInd w:val="0"/>
              <w:spacing w:line="360" w:lineRule="auto"/>
              <w:ind w:firstLine="482" w:firstLineChars="200"/>
              <w:rPr>
                <w:rFonts w:hAnsi="宋体"/>
                <w:sz w:val="24"/>
              </w:rPr>
            </w:pPr>
            <w:r>
              <w:rPr>
                <w:rFonts w:hint="eastAsia"/>
                <w:b/>
                <w:bCs/>
                <w:sz w:val="24"/>
              </w:rPr>
              <w:t>产排污环节分析：</w:t>
            </w:r>
            <w:r>
              <w:rPr>
                <w:rFonts w:hint="eastAsia"/>
                <w:bCs/>
                <w:sz w:val="24"/>
              </w:rPr>
              <w:t>根据原料MSDS及其理化性质分析可知，使用的有机原料：邻苯二甲酸二甲酯（沸点为282℃）、双草酸酯（沸点为692.1±55.0℃）饱和蒸汽压均小于0.3kPa，即不属于挥发性有机物，配制过程处于常温状态，因此原料混合过程中，挥发性有机废气可忽略不计。本项目染料使用量少（4</w:t>
            </w:r>
            <w:r>
              <w:rPr>
                <w:bCs/>
                <w:sz w:val="24"/>
              </w:rPr>
              <w:t>0</w:t>
            </w:r>
            <w:r>
              <w:rPr>
                <w:rFonts w:hint="eastAsia"/>
                <w:bCs/>
                <w:sz w:val="24"/>
              </w:rPr>
              <w:t>kg</w:t>
            </w:r>
            <w:r>
              <w:rPr>
                <w:bCs/>
                <w:sz w:val="24"/>
              </w:rPr>
              <w:t>/</w:t>
            </w:r>
            <w:r>
              <w:rPr>
                <w:rFonts w:hint="eastAsia"/>
                <w:bCs/>
                <w:sz w:val="24"/>
              </w:rPr>
              <w:t>a），操作规范的情况下基本不产生粉尘，投料粉尘可忽略不计。</w:t>
            </w:r>
          </w:p>
          <w:p w14:paraId="25691877">
            <w:pPr>
              <w:adjustRightInd w:val="0"/>
              <w:spacing w:line="360" w:lineRule="auto"/>
              <w:ind w:firstLine="480" w:firstLineChars="200"/>
              <w:rPr>
                <w:rFonts w:hAnsi="宋体"/>
                <w:sz w:val="24"/>
              </w:rPr>
            </w:pPr>
            <w:r>
              <w:rPr>
                <w:rFonts w:hint="eastAsia" w:hAnsi="宋体"/>
                <w:sz w:val="24"/>
              </w:rPr>
              <w:t>2）灌装</w:t>
            </w:r>
          </w:p>
          <w:p w14:paraId="57267257">
            <w:pPr>
              <w:adjustRightInd w:val="0"/>
              <w:spacing w:line="360" w:lineRule="auto"/>
              <w:ind w:firstLine="480" w:firstLineChars="200"/>
              <w:rPr>
                <w:rFonts w:hAnsi="宋体"/>
                <w:sz w:val="24"/>
              </w:rPr>
            </w:pPr>
            <w:r>
              <w:rPr>
                <w:rFonts w:hint="eastAsia" w:hAnsi="宋体"/>
                <w:sz w:val="24"/>
              </w:rPr>
              <w:t>工作人员将干净的玻璃管、塑料管内插入抽液机内，抽真空排空管内空气，再分别将发光液、活化剂在负压状态吸入玻璃管、塑料管内。</w:t>
            </w:r>
          </w:p>
          <w:p w14:paraId="75317595">
            <w:pPr>
              <w:adjustRightInd w:val="0"/>
              <w:spacing w:line="360" w:lineRule="auto"/>
              <w:ind w:firstLine="482" w:firstLineChars="200"/>
              <w:rPr>
                <w:rFonts w:hAnsi="宋体"/>
                <w:sz w:val="24"/>
              </w:rPr>
            </w:pPr>
            <w:r>
              <w:rPr>
                <w:rFonts w:hint="eastAsia"/>
                <w:b/>
                <w:bCs/>
                <w:sz w:val="24"/>
              </w:rPr>
              <w:t>产排污环节分析：</w:t>
            </w:r>
            <w:r>
              <w:rPr>
                <w:rFonts w:hint="eastAsia"/>
                <w:bCs/>
                <w:sz w:val="24"/>
              </w:rPr>
              <w:t>发光液与活化剂中主要成分邻苯二甲酸二甲酯、双草酸酯，结合原辅材料理化性质分析，邻苯二甲酸二甲酯与双草酸酯饱和蒸气压均小于0</w:t>
            </w:r>
            <w:r>
              <w:rPr>
                <w:bCs/>
                <w:sz w:val="24"/>
              </w:rPr>
              <w:t>.3</w:t>
            </w:r>
            <w:r>
              <w:rPr>
                <w:rFonts w:hint="eastAsia"/>
                <w:bCs/>
                <w:sz w:val="24"/>
              </w:rPr>
              <w:t>k</w:t>
            </w:r>
            <w:r>
              <w:rPr>
                <w:bCs/>
                <w:sz w:val="24"/>
              </w:rPr>
              <w:t>P</w:t>
            </w:r>
            <w:r>
              <w:rPr>
                <w:rFonts w:hint="eastAsia"/>
                <w:bCs/>
                <w:sz w:val="24"/>
              </w:rPr>
              <w:t>a，均不属于挥发性有机物，且灌装过程在常温下进行，物料挥发可忽略不计；玻璃管规格较小且管壁较薄，灌装过程会发生破碎，产生沾染发光液原料的废玻璃管（本次作为不合格品），收集后暂存于危废暂存间，委托有资质单位定期收集处理处置。</w:t>
            </w:r>
          </w:p>
          <w:p w14:paraId="3CDE6DBD">
            <w:pPr>
              <w:adjustRightInd w:val="0"/>
              <w:spacing w:line="360" w:lineRule="auto"/>
              <w:ind w:firstLine="480" w:firstLineChars="200"/>
              <w:rPr>
                <w:rFonts w:hAnsi="宋体"/>
                <w:sz w:val="24"/>
              </w:rPr>
            </w:pPr>
            <w:r>
              <w:rPr>
                <w:rFonts w:hint="eastAsia" w:hAnsi="宋体"/>
                <w:sz w:val="24"/>
              </w:rPr>
              <w:t>3）离心1</w:t>
            </w:r>
          </w:p>
          <w:p w14:paraId="474BE371">
            <w:pPr>
              <w:adjustRightInd w:val="0"/>
              <w:spacing w:line="360" w:lineRule="auto"/>
              <w:ind w:firstLine="480" w:firstLineChars="200"/>
              <w:rPr>
                <w:rFonts w:hAnsi="宋体"/>
                <w:sz w:val="24"/>
              </w:rPr>
            </w:pPr>
            <w:r>
              <w:rPr>
                <w:rFonts w:hint="eastAsia" w:hAnsi="宋体"/>
                <w:sz w:val="24"/>
              </w:rPr>
              <w:t>玻璃管、塑料管灌装完成后，将分别转入各自对应的离心机，将原料通过离心力甩至管底，同时可甩掉玻璃管半成品外侧沾染的发光液或活化液，该过程会产生少量的离心废液（S</w:t>
            </w:r>
            <w:r>
              <w:rPr>
                <w:rFonts w:hAnsi="宋体"/>
                <w:sz w:val="24"/>
              </w:rPr>
              <w:t>4</w:t>
            </w:r>
            <w:r>
              <w:rPr>
                <w:rFonts w:hint="eastAsia" w:hAnsi="宋体"/>
                <w:sz w:val="24"/>
              </w:rPr>
              <w:t>、S</w:t>
            </w:r>
            <w:r>
              <w:rPr>
                <w:rFonts w:hAnsi="宋体"/>
                <w:sz w:val="24"/>
              </w:rPr>
              <w:t>5</w:t>
            </w:r>
            <w:r>
              <w:rPr>
                <w:rFonts w:hint="eastAsia" w:hAnsi="宋体"/>
                <w:sz w:val="24"/>
              </w:rPr>
              <w:t>）。</w:t>
            </w:r>
          </w:p>
          <w:p w14:paraId="3D3106D0">
            <w:pPr>
              <w:adjustRightInd w:val="0"/>
              <w:spacing w:line="360" w:lineRule="auto"/>
              <w:ind w:firstLine="482" w:firstLineChars="200"/>
              <w:rPr>
                <w:rFonts w:hAnsi="宋体"/>
                <w:sz w:val="24"/>
              </w:rPr>
            </w:pPr>
            <w:r>
              <w:rPr>
                <w:rFonts w:hint="eastAsia"/>
                <w:b/>
                <w:bCs/>
                <w:sz w:val="24"/>
              </w:rPr>
              <w:t>产排污环节分析：</w:t>
            </w:r>
            <w:r>
              <w:rPr>
                <w:rFonts w:hint="eastAsia"/>
                <w:bCs/>
                <w:sz w:val="24"/>
              </w:rPr>
              <w:t>玻璃管、塑料管外侧沾染的废液会随着离心过程甩落并从离心机底部滴落至废液收集桶内，废液收集后暂存于危废暂存间，委托有资质单位定期收集处理处置。</w:t>
            </w:r>
          </w:p>
          <w:p w14:paraId="651963F9">
            <w:pPr>
              <w:adjustRightInd w:val="0"/>
              <w:spacing w:line="360" w:lineRule="auto"/>
              <w:ind w:firstLine="480" w:firstLineChars="200"/>
              <w:rPr>
                <w:sz w:val="24"/>
              </w:rPr>
            </w:pPr>
            <w:r>
              <w:rPr>
                <w:rFonts w:hint="eastAsia"/>
                <w:sz w:val="24"/>
              </w:rPr>
              <w:t>4</w:t>
            </w:r>
            <w:r>
              <w:rPr>
                <w:sz w:val="24"/>
              </w:rPr>
              <w:t>）热熔封口</w:t>
            </w:r>
          </w:p>
          <w:p w14:paraId="77A831B7">
            <w:pPr>
              <w:adjustRightInd w:val="0"/>
              <w:spacing w:line="360" w:lineRule="auto"/>
              <w:ind w:firstLine="480" w:firstLineChars="200"/>
              <w:rPr>
                <w:sz w:val="24"/>
              </w:rPr>
            </w:pPr>
            <w:r>
              <w:rPr>
                <w:rFonts w:hint="eastAsia"/>
                <w:sz w:val="24"/>
              </w:rPr>
              <w:t>离心甩干后的玻璃管，未封口一侧对齐摆放在传送带上，经传送带匀速输送至热熔封口机（液化气作为燃料）产生的火焰端，玻璃管由高温热熔封口后送去组装。</w:t>
            </w:r>
          </w:p>
          <w:p w14:paraId="12D0BDCA">
            <w:pPr>
              <w:adjustRightInd w:val="0"/>
              <w:spacing w:line="360" w:lineRule="auto"/>
              <w:ind w:firstLine="482" w:firstLineChars="200"/>
              <w:rPr>
                <w:sz w:val="24"/>
              </w:rPr>
            </w:pPr>
            <w:r>
              <w:rPr>
                <w:rFonts w:hint="eastAsia"/>
                <w:b/>
                <w:sz w:val="24"/>
              </w:rPr>
              <w:t>产排污环节分析</w:t>
            </w:r>
            <w:r>
              <w:rPr>
                <w:rFonts w:hint="eastAsia"/>
                <w:sz w:val="24"/>
              </w:rPr>
              <w:t>：</w:t>
            </w:r>
            <w:r>
              <w:rPr>
                <w:rFonts w:hint="eastAsia"/>
                <w:bCs/>
                <w:sz w:val="24"/>
              </w:rPr>
              <w:t>玻璃管热熔封口时，因玻璃管口残留的邻苯二甲酸二甲酯量极少，通过火焰端分解产生的少量废气，可忽略不计；液化气燃烧会产生燃烧废气，此过程产生废气主要为颗粒物、SO</w:t>
            </w:r>
            <w:r>
              <w:rPr>
                <w:rFonts w:hint="eastAsia"/>
                <w:bCs/>
                <w:sz w:val="24"/>
                <w:vertAlign w:val="subscript"/>
              </w:rPr>
              <w:t>2</w:t>
            </w:r>
            <w:r>
              <w:rPr>
                <w:rFonts w:hint="eastAsia"/>
                <w:bCs/>
                <w:sz w:val="24"/>
              </w:rPr>
              <w:t>、NO</w:t>
            </w:r>
            <w:r>
              <w:rPr>
                <w:rFonts w:hint="eastAsia"/>
                <w:bCs/>
                <w:sz w:val="24"/>
                <w:vertAlign w:val="subscript"/>
              </w:rPr>
              <w:t>2</w:t>
            </w:r>
            <w:r>
              <w:rPr>
                <w:rFonts w:hint="eastAsia"/>
                <w:bCs/>
                <w:sz w:val="24"/>
              </w:rPr>
              <w:t>，废气由集气罩收集，再由15m高的DA001排气筒排放。</w:t>
            </w:r>
          </w:p>
          <w:p w14:paraId="3034855E">
            <w:pPr>
              <w:adjustRightInd w:val="0"/>
              <w:spacing w:line="360" w:lineRule="auto"/>
              <w:ind w:firstLine="480" w:firstLineChars="200"/>
              <w:rPr>
                <w:sz w:val="24"/>
              </w:rPr>
            </w:pPr>
            <w:r>
              <w:rPr>
                <w:rFonts w:hint="eastAsia"/>
                <w:sz w:val="24"/>
              </w:rPr>
              <w:t>5）组合管组装</w:t>
            </w:r>
          </w:p>
          <w:p w14:paraId="4FCC5361">
            <w:pPr>
              <w:adjustRightInd w:val="0"/>
              <w:spacing w:line="360" w:lineRule="auto"/>
              <w:ind w:firstLine="480" w:firstLineChars="200"/>
              <w:rPr>
                <w:sz w:val="24"/>
              </w:rPr>
            </w:pPr>
            <w:r>
              <w:rPr>
                <w:rFonts w:hint="eastAsia"/>
                <w:sz w:val="24"/>
              </w:rPr>
              <w:t>将热熔封口后的玻璃管套入已灌装活化剂的塑料管中，组装形成组合管后插入压封机管槽内待封口。</w:t>
            </w:r>
          </w:p>
          <w:p w14:paraId="7923BC4F">
            <w:pPr>
              <w:adjustRightInd w:val="0"/>
              <w:spacing w:line="360" w:lineRule="auto"/>
              <w:ind w:firstLine="482" w:firstLineChars="200"/>
              <w:rPr>
                <w:sz w:val="24"/>
              </w:rPr>
            </w:pPr>
            <w:r>
              <w:rPr>
                <w:rFonts w:hint="eastAsia"/>
                <w:b/>
                <w:sz w:val="24"/>
              </w:rPr>
              <w:t>产排污环节分析</w:t>
            </w:r>
            <w:r>
              <w:rPr>
                <w:rFonts w:hint="eastAsia"/>
                <w:sz w:val="24"/>
              </w:rPr>
              <w:t>：该过程为套管组装，不涉及废气、废液产生。</w:t>
            </w:r>
          </w:p>
          <w:p w14:paraId="080ACE63">
            <w:pPr>
              <w:adjustRightInd w:val="0"/>
              <w:spacing w:line="360" w:lineRule="auto"/>
              <w:ind w:firstLine="480" w:firstLineChars="200"/>
              <w:rPr>
                <w:sz w:val="24"/>
              </w:rPr>
            </w:pPr>
            <w:r>
              <w:rPr>
                <w:rFonts w:hint="eastAsia"/>
                <w:sz w:val="24"/>
              </w:rPr>
              <w:t>6）组合</w:t>
            </w:r>
            <w:r>
              <w:rPr>
                <w:sz w:val="24"/>
              </w:rPr>
              <w:t>管封口</w:t>
            </w:r>
          </w:p>
          <w:p w14:paraId="44943343">
            <w:pPr>
              <w:adjustRightInd w:val="0"/>
              <w:spacing w:line="360" w:lineRule="auto"/>
              <w:ind w:firstLine="480" w:firstLineChars="200"/>
              <w:rPr>
                <w:sz w:val="24"/>
              </w:rPr>
            </w:pPr>
            <w:r>
              <w:rPr>
                <w:rFonts w:hint="eastAsia"/>
                <w:sz w:val="24"/>
              </w:rPr>
              <w:t>组合管插入压封机管槽内，放置于塑料压封机下方进行封口，塑料压封机热封温度约为100~150℃。</w:t>
            </w:r>
          </w:p>
          <w:p w14:paraId="2E883D99">
            <w:pPr>
              <w:adjustRightInd w:val="0"/>
              <w:spacing w:line="360" w:lineRule="auto"/>
              <w:ind w:firstLine="482" w:firstLineChars="200"/>
              <w:rPr>
                <w:rFonts w:hAnsi="宋体"/>
                <w:sz w:val="24"/>
              </w:rPr>
            </w:pPr>
            <w:r>
              <w:rPr>
                <w:rFonts w:hint="eastAsia"/>
                <w:b/>
                <w:bCs/>
                <w:sz w:val="24"/>
              </w:rPr>
              <w:t>产排污环节分析：</w:t>
            </w:r>
            <w:r>
              <w:rPr>
                <w:rFonts w:hint="eastAsia"/>
                <w:bCs/>
                <w:sz w:val="24"/>
              </w:rPr>
              <w:t>塑料封口时，由于塑料管主要成分为聚乙烯，高温封口时塑料管熔化会产生有机废气，以非甲烷总烃计，该部分废气通过压封机上方的集气罩收集经管道降温后，进入二级活性炭吸附装置处理，再由15m高的</w:t>
            </w:r>
            <w:r>
              <w:rPr>
                <w:rFonts w:hint="eastAsia"/>
                <w:bCs/>
                <w:sz w:val="24"/>
                <w:szCs w:val="24"/>
              </w:rPr>
              <w:t>DA002</w:t>
            </w:r>
            <w:r>
              <w:rPr>
                <w:rFonts w:hint="eastAsia"/>
                <w:bCs/>
                <w:sz w:val="24"/>
              </w:rPr>
              <w:t>排气筒排放。</w:t>
            </w:r>
          </w:p>
          <w:p w14:paraId="49536641">
            <w:pPr>
              <w:adjustRightInd w:val="0"/>
              <w:spacing w:line="360" w:lineRule="auto"/>
              <w:ind w:firstLine="480" w:firstLineChars="200"/>
              <w:rPr>
                <w:rFonts w:hAnsi="宋体"/>
                <w:sz w:val="24"/>
              </w:rPr>
            </w:pPr>
            <w:r>
              <w:rPr>
                <w:rFonts w:hAnsi="宋体"/>
                <w:sz w:val="24"/>
              </w:rPr>
              <w:t>7</w:t>
            </w:r>
            <w:r>
              <w:rPr>
                <w:rFonts w:hint="eastAsia" w:hAnsi="宋体"/>
                <w:sz w:val="24"/>
              </w:rPr>
              <w:t>）清洗</w:t>
            </w:r>
          </w:p>
          <w:p w14:paraId="7F248C3A">
            <w:pPr>
              <w:adjustRightInd w:val="0"/>
              <w:spacing w:line="360" w:lineRule="auto"/>
              <w:ind w:firstLine="480" w:firstLineChars="200"/>
              <w:rPr>
                <w:rFonts w:hAnsi="宋体"/>
                <w:sz w:val="24"/>
              </w:rPr>
            </w:pPr>
            <w:r>
              <w:rPr>
                <w:rFonts w:hint="eastAsia" w:hAnsi="宋体"/>
                <w:sz w:val="24"/>
              </w:rPr>
              <w:t>封口后的组合管在装有乙醇的清洗槽进行人工清洗，</w:t>
            </w:r>
            <w:r>
              <w:rPr>
                <w:rFonts w:hint="eastAsia"/>
                <w:bCs/>
                <w:sz w:val="24"/>
              </w:rPr>
              <w:t>组合管外侧残留原料会被乙醇溶解</w:t>
            </w:r>
            <w:r>
              <w:rPr>
                <w:rFonts w:hint="eastAsia" w:hAnsi="宋体"/>
                <w:sz w:val="24"/>
              </w:rPr>
              <w:t>。</w:t>
            </w:r>
          </w:p>
          <w:p w14:paraId="0FFADC49">
            <w:pPr>
              <w:adjustRightInd w:val="0"/>
              <w:spacing w:line="360" w:lineRule="auto"/>
              <w:ind w:firstLine="482" w:firstLineChars="200"/>
              <w:rPr>
                <w:bCs/>
                <w:sz w:val="24"/>
              </w:rPr>
            </w:pPr>
            <w:r>
              <w:rPr>
                <w:rFonts w:hint="eastAsia"/>
                <w:b/>
                <w:bCs/>
                <w:sz w:val="24"/>
              </w:rPr>
              <w:t>产排污环节分析：</w:t>
            </w:r>
            <w:r>
              <w:rPr>
                <w:rFonts w:hint="eastAsia"/>
                <w:bCs/>
                <w:sz w:val="24"/>
              </w:rPr>
              <w:t>清洗环节会产生清洗废液；乙醇作为挥发性有机物，清洗过程中10%的乙醇会挥发，产生清洗废气，该部分废气通过清洗槽上方集气罩收集，后经二级活性炭吸附装置处理，再由15m高的</w:t>
            </w:r>
            <w:r>
              <w:rPr>
                <w:rFonts w:hint="eastAsia"/>
                <w:bCs/>
                <w:sz w:val="24"/>
                <w:szCs w:val="24"/>
              </w:rPr>
              <w:t>DA002</w:t>
            </w:r>
            <w:r>
              <w:rPr>
                <w:rFonts w:hint="eastAsia"/>
                <w:bCs/>
                <w:sz w:val="24"/>
              </w:rPr>
              <w:t>排气筒排放。</w:t>
            </w:r>
          </w:p>
          <w:p w14:paraId="3E616ED3">
            <w:pPr>
              <w:adjustRightInd w:val="0"/>
              <w:spacing w:line="360" w:lineRule="auto"/>
              <w:ind w:firstLine="480" w:firstLineChars="200"/>
              <w:rPr>
                <w:bCs/>
                <w:sz w:val="24"/>
              </w:rPr>
            </w:pPr>
            <w:r>
              <w:rPr>
                <w:bCs/>
                <w:sz w:val="24"/>
              </w:rPr>
              <w:t>8</w:t>
            </w:r>
            <w:r>
              <w:rPr>
                <w:rFonts w:hint="eastAsia"/>
                <w:bCs/>
                <w:sz w:val="24"/>
              </w:rPr>
              <w:t>）离心2</w:t>
            </w:r>
          </w:p>
          <w:p w14:paraId="417FA4C9">
            <w:pPr>
              <w:adjustRightInd w:val="0"/>
              <w:spacing w:line="360" w:lineRule="auto"/>
              <w:ind w:firstLine="480" w:firstLineChars="200"/>
              <w:rPr>
                <w:rFonts w:hAnsi="宋体"/>
                <w:sz w:val="24"/>
              </w:rPr>
            </w:pPr>
            <w:r>
              <w:rPr>
                <w:rFonts w:hint="eastAsia" w:hAnsi="宋体"/>
                <w:sz w:val="24"/>
              </w:rPr>
              <w:t>组合管清洗后，放置于密闭收集箱并转入清洗槽附近的离心机，通过离心机离心甩去组合管外侧沾染的乙醇清洗剂，离心时管壁10%的乙醇残留量会挥发。</w:t>
            </w:r>
          </w:p>
          <w:p w14:paraId="0D0D32D9">
            <w:pPr>
              <w:adjustRightInd w:val="0"/>
              <w:spacing w:line="360" w:lineRule="auto"/>
              <w:ind w:firstLine="482" w:firstLineChars="200"/>
              <w:rPr>
                <w:rFonts w:hAnsi="宋体"/>
                <w:sz w:val="24"/>
              </w:rPr>
            </w:pPr>
            <w:r>
              <w:rPr>
                <w:rFonts w:hint="eastAsia"/>
                <w:b/>
                <w:bCs/>
                <w:sz w:val="24"/>
              </w:rPr>
              <w:t>产排污环节分析：</w:t>
            </w:r>
            <w:r>
              <w:rPr>
                <w:rFonts w:hint="eastAsia"/>
                <w:bCs/>
                <w:sz w:val="24"/>
              </w:rPr>
              <w:t>组合管离心过程涉及有机废气产生，主要以非甲烷总烃表征。废气通过组合、封口车间的离心机上方集气罩收集，后经二级活性炭吸附装置处理后，再由15m高的</w:t>
            </w:r>
            <w:r>
              <w:rPr>
                <w:rFonts w:hint="eastAsia"/>
                <w:bCs/>
                <w:sz w:val="24"/>
                <w:szCs w:val="24"/>
              </w:rPr>
              <w:t>DA002</w:t>
            </w:r>
            <w:r>
              <w:rPr>
                <w:rFonts w:hint="eastAsia"/>
                <w:bCs/>
                <w:sz w:val="24"/>
              </w:rPr>
              <w:t>的排气筒排放。</w:t>
            </w:r>
          </w:p>
          <w:p w14:paraId="2EBCF0AA">
            <w:pPr>
              <w:adjustRightInd w:val="0"/>
              <w:spacing w:line="360" w:lineRule="auto"/>
              <w:ind w:firstLine="480" w:firstLineChars="200"/>
              <w:rPr>
                <w:rFonts w:hAnsi="宋体"/>
                <w:sz w:val="24"/>
              </w:rPr>
            </w:pPr>
            <w:r>
              <w:rPr>
                <w:rFonts w:hAnsi="宋体"/>
                <w:sz w:val="24"/>
              </w:rPr>
              <w:t>9</w:t>
            </w:r>
            <w:r>
              <w:rPr>
                <w:rFonts w:hint="eastAsia" w:hAnsi="宋体"/>
                <w:sz w:val="24"/>
              </w:rPr>
              <w:t>）检验包装</w:t>
            </w:r>
          </w:p>
          <w:p w14:paraId="306CCF48">
            <w:pPr>
              <w:adjustRightInd w:val="0"/>
              <w:spacing w:line="360" w:lineRule="auto"/>
              <w:ind w:firstLine="480" w:firstLineChars="200"/>
              <w:rPr>
                <w:rFonts w:hAnsi="宋体"/>
                <w:sz w:val="24"/>
              </w:rPr>
            </w:pPr>
            <w:r>
              <w:rPr>
                <w:rFonts w:hint="eastAsia" w:hAnsi="宋体"/>
                <w:sz w:val="24"/>
              </w:rPr>
              <w:t>对完成工序的成品进行检验，挑拣出不合格品；合格的成品使用收缩膜封口机打包，并装箱入库。</w:t>
            </w:r>
          </w:p>
          <w:p w14:paraId="718472D1">
            <w:pPr>
              <w:adjustRightInd w:val="0"/>
              <w:spacing w:line="360" w:lineRule="auto"/>
              <w:ind w:firstLine="482" w:firstLineChars="200"/>
              <w:rPr>
                <w:bCs/>
                <w:sz w:val="24"/>
              </w:rPr>
            </w:pPr>
            <w:r>
              <w:rPr>
                <w:rFonts w:hint="eastAsia"/>
                <w:b/>
                <w:bCs/>
                <w:sz w:val="24"/>
              </w:rPr>
              <w:t>产排污环节分析：</w:t>
            </w:r>
            <w:r>
              <w:rPr>
                <w:rFonts w:hint="eastAsia"/>
                <w:bCs/>
                <w:sz w:val="24"/>
              </w:rPr>
              <w:t>检验工序产生的不合格品，统一收集存放于危废暂存间，委托有资质单位定期收集处理处置。</w:t>
            </w:r>
          </w:p>
          <w:p w14:paraId="40BF1A27">
            <w:pPr>
              <w:autoSpaceDE w:val="0"/>
              <w:autoSpaceDN w:val="0"/>
              <w:adjustRightInd w:val="0"/>
              <w:snapToGrid w:val="0"/>
              <w:spacing w:line="276" w:lineRule="auto"/>
              <w:jc w:val="center"/>
              <w:rPr>
                <w:szCs w:val="21"/>
              </w:rPr>
            </w:pPr>
            <w:r>
              <w:rPr>
                <w:rFonts w:hint="eastAsia" w:hAnsi="黑体" w:eastAsia="黑体"/>
                <w:sz w:val="24"/>
                <w:szCs w:val="24"/>
              </w:rPr>
              <w:t xml:space="preserve">表21 </w:t>
            </w:r>
            <w:r>
              <w:rPr>
                <w:rFonts w:hAnsi="黑体" w:eastAsia="黑体"/>
                <w:sz w:val="24"/>
                <w:szCs w:val="24"/>
              </w:rPr>
              <w:t xml:space="preserve"> </w:t>
            </w:r>
            <w:r>
              <w:rPr>
                <w:rFonts w:hint="eastAsia" w:hAnsi="黑体" w:eastAsia="黑体"/>
                <w:sz w:val="24"/>
                <w:szCs w:val="24"/>
              </w:rPr>
              <w:t>产污环节分析表</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19"/>
              <w:gridCol w:w="2696"/>
              <w:gridCol w:w="1277"/>
              <w:gridCol w:w="3354"/>
            </w:tblGrid>
            <w:tr w14:paraId="712E52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Align w:val="center"/>
                </w:tcPr>
                <w:p w14:paraId="62954BC0">
                  <w:pPr>
                    <w:pStyle w:val="108"/>
                    <w:spacing w:line="276" w:lineRule="auto"/>
                    <w:jc w:val="center"/>
                    <w:rPr>
                      <w:b/>
                      <w:color w:val="auto"/>
                      <w:sz w:val="21"/>
                      <w:szCs w:val="21"/>
                    </w:rPr>
                  </w:pPr>
                  <w:r>
                    <w:rPr>
                      <w:rFonts w:hint="eastAsia"/>
                      <w:b/>
                      <w:color w:val="auto"/>
                      <w:sz w:val="21"/>
                      <w:szCs w:val="21"/>
                    </w:rPr>
                    <w:t>类别</w:t>
                  </w:r>
                </w:p>
              </w:tc>
              <w:tc>
                <w:tcPr>
                  <w:tcW w:w="1655" w:type="pct"/>
                  <w:vAlign w:val="center"/>
                </w:tcPr>
                <w:p w14:paraId="277D1507">
                  <w:pPr>
                    <w:pStyle w:val="108"/>
                    <w:spacing w:line="276" w:lineRule="auto"/>
                    <w:jc w:val="center"/>
                    <w:rPr>
                      <w:b/>
                      <w:color w:val="auto"/>
                      <w:sz w:val="21"/>
                      <w:szCs w:val="21"/>
                    </w:rPr>
                  </w:pPr>
                  <w:r>
                    <w:rPr>
                      <w:rFonts w:hint="eastAsia"/>
                      <w:b/>
                      <w:color w:val="auto"/>
                      <w:sz w:val="21"/>
                      <w:szCs w:val="21"/>
                    </w:rPr>
                    <w:t>编号</w:t>
                  </w:r>
                </w:p>
              </w:tc>
              <w:tc>
                <w:tcPr>
                  <w:tcW w:w="784" w:type="pct"/>
                  <w:vAlign w:val="center"/>
                </w:tcPr>
                <w:p w14:paraId="71ABF1B8">
                  <w:pPr>
                    <w:pStyle w:val="108"/>
                    <w:spacing w:line="276" w:lineRule="auto"/>
                    <w:jc w:val="center"/>
                    <w:rPr>
                      <w:b/>
                      <w:color w:val="auto"/>
                      <w:sz w:val="21"/>
                      <w:szCs w:val="21"/>
                    </w:rPr>
                  </w:pPr>
                  <w:r>
                    <w:rPr>
                      <w:rFonts w:hint="eastAsia"/>
                      <w:b/>
                      <w:color w:val="auto"/>
                      <w:sz w:val="21"/>
                      <w:szCs w:val="21"/>
                    </w:rPr>
                    <w:t>污染物</w:t>
                  </w:r>
                </w:p>
              </w:tc>
              <w:tc>
                <w:tcPr>
                  <w:tcW w:w="2059" w:type="pct"/>
                  <w:vAlign w:val="center"/>
                </w:tcPr>
                <w:p w14:paraId="09609666">
                  <w:pPr>
                    <w:pStyle w:val="108"/>
                    <w:spacing w:line="276" w:lineRule="auto"/>
                    <w:jc w:val="center"/>
                    <w:rPr>
                      <w:b/>
                      <w:color w:val="auto"/>
                      <w:sz w:val="21"/>
                      <w:szCs w:val="21"/>
                    </w:rPr>
                  </w:pPr>
                  <w:r>
                    <w:rPr>
                      <w:rFonts w:hint="eastAsia"/>
                      <w:b/>
                      <w:color w:val="auto"/>
                      <w:sz w:val="21"/>
                      <w:szCs w:val="21"/>
                    </w:rPr>
                    <w:t>收集及治理措施</w:t>
                  </w:r>
                </w:p>
              </w:tc>
            </w:tr>
            <w:tr w14:paraId="6903B4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Merge w:val="restart"/>
                  <w:vAlign w:val="center"/>
                </w:tcPr>
                <w:p w14:paraId="15D43007">
                  <w:pPr>
                    <w:pStyle w:val="108"/>
                    <w:spacing w:line="276" w:lineRule="auto"/>
                    <w:jc w:val="center"/>
                    <w:rPr>
                      <w:color w:val="auto"/>
                      <w:sz w:val="21"/>
                      <w:szCs w:val="21"/>
                    </w:rPr>
                  </w:pPr>
                  <w:r>
                    <w:rPr>
                      <w:rFonts w:hint="eastAsia"/>
                      <w:color w:val="auto"/>
                      <w:sz w:val="21"/>
                      <w:szCs w:val="21"/>
                    </w:rPr>
                    <w:t>废气</w:t>
                  </w:r>
                </w:p>
              </w:tc>
              <w:tc>
                <w:tcPr>
                  <w:tcW w:w="1655" w:type="pct"/>
                  <w:vMerge w:val="restart"/>
                  <w:vAlign w:val="center"/>
                </w:tcPr>
                <w:p w14:paraId="4C03D6A5">
                  <w:pPr>
                    <w:pStyle w:val="108"/>
                    <w:spacing w:line="276" w:lineRule="auto"/>
                    <w:jc w:val="center"/>
                    <w:rPr>
                      <w:color w:val="auto"/>
                      <w:sz w:val="21"/>
                      <w:szCs w:val="21"/>
                    </w:rPr>
                  </w:pPr>
                  <w:r>
                    <w:rPr>
                      <w:rFonts w:hint="eastAsia"/>
                      <w:color w:val="auto"/>
                      <w:sz w:val="21"/>
                      <w:szCs w:val="21"/>
                    </w:rPr>
                    <w:t>玻璃管热熔封口废气（G</w:t>
                  </w:r>
                  <w:r>
                    <w:rPr>
                      <w:rFonts w:hint="eastAsia"/>
                      <w:color w:val="auto"/>
                      <w:sz w:val="21"/>
                      <w:szCs w:val="21"/>
                      <w:vertAlign w:val="subscript"/>
                    </w:rPr>
                    <w:t>1</w:t>
                  </w:r>
                  <w:r>
                    <w:rPr>
                      <w:rFonts w:hint="eastAsia"/>
                      <w:color w:val="auto"/>
                      <w:sz w:val="21"/>
                      <w:szCs w:val="21"/>
                    </w:rPr>
                    <w:t>）</w:t>
                  </w:r>
                </w:p>
              </w:tc>
              <w:tc>
                <w:tcPr>
                  <w:tcW w:w="784" w:type="pct"/>
                  <w:vAlign w:val="center"/>
                </w:tcPr>
                <w:p w14:paraId="752CC7B7">
                  <w:pPr>
                    <w:pStyle w:val="108"/>
                    <w:spacing w:line="276" w:lineRule="auto"/>
                    <w:jc w:val="center"/>
                    <w:rPr>
                      <w:color w:val="auto"/>
                      <w:sz w:val="21"/>
                      <w:szCs w:val="21"/>
                    </w:rPr>
                  </w:pPr>
                  <w:r>
                    <w:rPr>
                      <w:rFonts w:hint="eastAsia"/>
                      <w:color w:val="auto"/>
                      <w:sz w:val="21"/>
                      <w:szCs w:val="21"/>
                    </w:rPr>
                    <w:t>颗粒物</w:t>
                  </w:r>
                </w:p>
              </w:tc>
              <w:tc>
                <w:tcPr>
                  <w:tcW w:w="2059" w:type="pct"/>
                  <w:vMerge w:val="restart"/>
                  <w:vAlign w:val="center"/>
                </w:tcPr>
                <w:p w14:paraId="053FB868">
                  <w:pPr>
                    <w:pStyle w:val="108"/>
                    <w:spacing w:line="276" w:lineRule="auto"/>
                    <w:jc w:val="center"/>
                    <w:rPr>
                      <w:color w:val="auto"/>
                      <w:sz w:val="21"/>
                      <w:szCs w:val="21"/>
                    </w:rPr>
                  </w:pPr>
                  <w:r>
                    <w:rPr>
                      <w:rFonts w:hint="eastAsia"/>
                      <w:bCs/>
                      <w:color w:val="auto"/>
                      <w:sz w:val="21"/>
                      <w:szCs w:val="21"/>
                    </w:rPr>
                    <w:t>经集气罩收集后，由DA001排气筒排放</w:t>
                  </w:r>
                </w:p>
              </w:tc>
            </w:tr>
            <w:tr w14:paraId="3782C76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Merge w:val="continue"/>
                  <w:vAlign w:val="center"/>
                </w:tcPr>
                <w:p w14:paraId="59D2142F">
                  <w:pPr>
                    <w:pStyle w:val="108"/>
                    <w:spacing w:line="276" w:lineRule="auto"/>
                    <w:jc w:val="center"/>
                    <w:rPr>
                      <w:color w:val="auto"/>
                      <w:sz w:val="21"/>
                      <w:szCs w:val="21"/>
                    </w:rPr>
                  </w:pPr>
                </w:p>
              </w:tc>
              <w:tc>
                <w:tcPr>
                  <w:tcW w:w="1655" w:type="pct"/>
                  <w:vMerge w:val="continue"/>
                  <w:vAlign w:val="center"/>
                </w:tcPr>
                <w:p w14:paraId="57ECE3A4">
                  <w:pPr>
                    <w:pStyle w:val="108"/>
                    <w:spacing w:line="276" w:lineRule="auto"/>
                    <w:jc w:val="center"/>
                    <w:rPr>
                      <w:color w:val="auto"/>
                      <w:sz w:val="21"/>
                      <w:szCs w:val="21"/>
                    </w:rPr>
                  </w:pPr>
                </w:p>
              </w:tc>
              <w:tc>
                <w:tcPr>
                  <w:tcW w:w="784" w:type="pct"/>
                  <w:vAlign w:val="center"/>
                </w:tcPr>
                <w:p w14:paraId="2E604B56">
                  <w:pPr>
                    <w:pStyle w:val="108"/>
                    <w:spacing w:line="276" w:lineRule="auto"/>
                    <w:jc w:val="center"/>
                    <w:rPr>
                      <w:color w:val="auto"/>
                      <w:sz w:val="21"/>
                      <w:szCs w:val="21"/>
                    </w:rPr>
                  </w:pPr>
                  <w:r>
                    <w:rPr>
                      <w:rFonts w:hint="eastAsia"/>
                      <w:color w:val="auto"/>
                      <w:sz w:val="21"/>
                      <w:szCs w:val="21"/>
                    </w:rPr>
                    <w:t>SO</w:t>
                  </w:r>
                  <w:r>
                    <w:rPr>
                      <w:rFonts w:hint="eastAsia"/>
                      <w:color w:val="auto"/>
                      <w:sz w:val="21"/>
                      <w:szCs w:val="21"/>
                      <w:vertAlign w:val="subscript"/>
                    </w:rPr>
                    <w:t>2</w:t>
                  </w:r>
                </w:p>
              </w:tc>
              <w:tc>
                <w:tcPr>
                  <w:tcW w:w="2059" w:type="pct"/>
                  <w:vMerge w:val="continue"/>
                  <w:vAlign w:val="center"/>
                </w:tcPr>
                <w:p w14:paraId="6BC789B1">
                  <w:pPr>
                    <w:pStyle w:val="108"/>
                    <w:spacing w:line="276" w:lineRule="auto"/>
                    <w:jc w:val="center"/>
                    <w:rPr>
                      <w:color w:val="auto"/>
                      <w:sz w:val="21"/>
                      <w:szCs w:val="21"/>
                    </w:rPr>
                  </w:pPr>
                </w:p>
              </w:tc>
            </w:tr>
            <w:tr w14:paraId="6661FC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Merge w:val="continue"/>
                  <w:vAlign w:val="center"/>
                </w:tcPr>
                <w:p w14:paraId="6B345FB5">
                  <w:pPr>
                    <w:pStyle w:val="108"/>
                    <w:spacing w:line="276" w:lineRule="auto"/>
                    <w:jc w:val="center"/>
                    <w:rPr>
                      <w:color w:val="auto"/>
                      <w:sz w:val="21"/>
                      <w:szCs w:val="21"/>
                    </w:rPr>
                  </w:pPr>
                </w:p>
              </w:tc>
              <w:tc>
                <w:tcPr>
                  <w:tcW w:w="1655" w:type="pct"/>
                  <w:vMerge w:val="continue"/>
                  <w:vAlign w:val="center"/>
                </w:tcPr>
                <w:p w14:paraId="1DF788DE">
                  <w:pPr>
                    <w:pStyle w:val="108"/>
                    <w:spacing w:line="276" w:lineRule="auto"/>
                    <w:jc w:val="center"/>
                    <w:rPr>
                      <w:color w:val="auto"/>
                      <w:sz w:val="21"/>
                      <w:szCs w:val="21"/>
                    </w:rPr>
                  </w:pPr>
                </w:p>
              </w:tc>
              <w:tc>
                <w:tcPr>
                  <w:tcW w:w="784" w:type="pct"/>
                  <w:vAlign w:val="center"/>
                </w:tcPr>
                <w:p w14:paraId="78369DA6">
                  <w:pPr>
                    <w:pStyle w:val="108"/>
                    <w:spacing w:line="276" w:lineRule="auto"/>
                    <w:jc w:val="center"/>
                    <w:rPr>
                      <w:color w:val="auto"/>
                      <w:sz w:val="21"/>
                      <w:szCs w:val="21"/>
                    </w:rPr>
                  </w:pPr>
                  <w:r>
                    <w:rPr>
                      <w:rFonts w:hint="eastAsia"/>
                      <w:color w:val="auto"/>
                      <w:sz w:val="21"/>
                      <w:szCs w:val="21"/>
                    </w:rPr>
                    <w:t>NO</w:t>
                  </w:r>
                  <w:r>
                    <w:rPr>
                      <w:color w:val="auto"/>
                      <w:sz w:val="21"/>
                      <w:szCs w:val="21"/>
                      <w:vertAlign w:val="subscript"/>
                    </w:rPr>
                    <w:t>2</w:t>
                  </w:r>
                </w:p>
              </w:tc>
              <w:tc>
                <w:tcPr>
                  <w:tcW w:w="2059" w:type="pct"/>
                  <w:vMerge w:val="continue"/>
                  <w:vAlign w:val="center"/>
                </w:tcPr>
                <w:p w14:paraId="3005745F">
                  <w:pPr>
                    <w:pStyle w:val="108"/>
                    <w:spacing w:line="276" w:lineRule="auto"/>
                    <w:jc w:val="center"/>
                    <w:rPr>
                      <w:color w:val="auto"/>
                      <w:sz w:val="21"/>
                      <w:szCs w:val="21"/>
                    </w:rPr>
                  </w:pPr>
                </w:p>
              </w:tc>
            </w:tr>
            <w:tr w14:paraId="5544769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Merge w:val="continue"/>
                  <w:vAlign w:val="center"/>
                </w:tcPr>
                <w:p w14:paraId="63675592">
                  <w:pPr>
                    <w:pStyle w:val="108"/>
                    <w:spacing w:line="276" w:lineRule="auto"/>
                    <w:jc w:val="center"/>
                    <w:rPr>
                      <w:color w:val="auto"/>
                      <w:sz w:val="21"/>
                      <w:szCs w:val="21"/>
                    </w:rPr>
                  </w:pPr>
                </w:p>
              </w:tc>
              <w:tc>
                <w:tcPr>
                  <w:tcW w:w="1655" w:type="pct"/>
                  <w:vAlign w:val="center"/>
                </w:tcPr>
                <w:p w14:paraId="18913C9C">
                  <w:pPr>
                    <w:pStyle w:val="108"/>
                    <w:spacing w:line="276" w:lineRule="auto"/>
                    <w:jc w:val="center"/>
                    <w:rPr>
                      <w:color w:val="auto"/>
                      <w:sz w:val="21"/>
                      <w:szCs w:val="21"/>
                    </w:rPr>
                  </w:pPr>
                  <w:r>
                    <w:rPr>
                      <w:rFonts w:hint="eastAsia"/>
                      <w:color w:val="auto"/>
                      <w:sz w:val="21"/>
                      <w:szCs w:val="21"/>
                    </w:rPr>
                    <w:t>组合管封口废气</w:t>
                  </w:r>
                </w:p>
                <w:p w14:paraId="7632252F">
                  <w:pPr>
                    <w:pStyle w:val="108"/>
                    <w:spacing w:line="276" w:lineRule="auto"/>
                    <w:jc w:val="center"/>
                    <w:rPr>
                      <w:color w:val="auto"/>
                      <w:sz w:val="21"/>
                      <w:szCs w:val="21"/>
                    </w:rPr>
                  </w:pPr>
                  <w:r>
                    <w:rPr>
                      <w:rFonts w:hint="eastAsia"/>
                      <w:color w:val="auto"/>
                      <w:sz w:val="21"/>
                      <w:szCs w:val="21"/>
                    </w:rPr>
                    <w:t>（G</w:t>
                  </w:r>
                  <w:r>
                    <w:rPr>
                      <w:rFonts w:hint="eastAsia"/>
                      <w:color w:val="auto"/>
                      <w:sz w:val="21"/>
                      <w:szCs w:val="21"/>
                      <w:vertAlign w:val="subscript"/>
                    </w:rPr>
                    <w:t>2</w:t>
                  </w:r>
                  <w:r>
                    <w:rPr>
                      <w:rFonts w:hint="eastAsia"/>
                      <w:color w:val="auto"/>
                      <w:sz w:val="21"/>
                      <w:szCs w:val="21"/>
                    </w:rPr>
                    <w:t>）</w:t>
                  </w:r>
                </w:p>
              </w:tc>
              <w:tc>
                <w:tcPr>
                  <w:tcW w:w="784" w:type="pct"/>
                  <w:vAlign w:val="center"/>
                </w:tcPr>
                <w:p w14:paraId="58725F1C">
                  <w:pPr>
                    <w:pStyle w:val="108"/>
                    <w:spacing w:line="276" w:lineRule="auto"/>
                    <w:jc w:val="center"/>
                    <w:rPr>
                      <w:color w:val="auto"/>
                      <w:sz w:val="21"/>
                      <w:szCs w:val="21"/>
                    </w:rPr>
                  </w:pPr>
                  <w:r>
                    <w:rPr>
                      <w:rFonts w:hint="eastAsia"/>
                      <w:color w:val="auto"/>
                      <w:sz w:val="21"/>
                      <w:szCs w:val="21"/>
                    </w:rPr>
                    <w:t>非甲烷总烃</w:t>
                  </w:r>
                </w:p>
              </w:tc>
              <w:tc>
                <w:tcPr>
                  <w:tcW w:w="2059" w:type="pct"/>
                  <w:vMerge w:val="restart"/>
                  <w:vAlign w:val="center"/>
                </w:tcPr>
                <w:p w14:paraId="2B8E9E83">
                  <w:pPr>
                    <w:pStyle w:val="108"/>
                    <w:spacing w:line="276" w:lineRule="auto"/>
                    <w:jc w:val="center"/>
                    <w:rPr>
                      <w:bCs/>
                      <w:color w:val="auto"/>
                      <w:sz w:val="21"/>
                      <w:szCs w:val="21"/>
                    </w:rPr>
                  </w:pPr>
                  <w:r>
                    <w:rPr>
                      <w:rFonts w:hint="eastAsia"/>
                      <w:bCs/>
                      <w:color w:val="auto"/>
                      <w:sz w:val="21"/>
                      <w:szCs w:val="21"/>
                    </w:rPr>
                    <w:t>分别经集气罩收集后通过二级活性炭吸附装置（TA001）处理，最终由DA002排气筒排放</w:t>
                  </w:r>
                </w:p>
              </w:tc>
            </w:tr>
            <w:tr w14:paraId="48D6B4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Merge w:val="continue"/>
                  <w:vAlign w:val="center"/>
                </w:tcPr>
                <w:p w14:paraId="679B1649">
                  <w:pPr>
                    <w:pStyle w:val="108"/>
                    <w:spacing w:line="276" w:lineRule="auto"/>
                    <w:jc w:val="center"/>
                    <w:rPr>
                      <w:color w:val="auto"/>
                      <w:sz w:val="21"/>
                      <w:szCs w:val="21"/>
                    </w:rPr>
                  </w:pPr>
                </w:p>
              </w:tc>
              <w:tc>
                <w:tcPr>
                  <w:tcW w:w="1655" w:type="pct"/>
                  <w:vAlign w:val="center"/>
                </w:tcPr>
                <w:p w14:paraId="6F39E2A1">
                  <w:pPr>
                    <w:pStyle w:val="108"/>
                    <w:spacing w:line="276" w:lineRule="auto"/>
                    <w:jc w:val="center"/>
                    <w:rPr>
                      <w:color w:val="auto"/>
                      <w:sz w:val="21"/>
                      <w:szCs w:val="21"/>
                    </w:rPr>
                  </w:pPr>
                  <w:r>
                    <w:rPr>
                      <w:rFonts w:hint="eastAsia"/>
                      <w:color w:val="auto"/>
                      <w:sz w:val="21"/>
                      <w:szCs w:val="21"/>
                    </w:rPr>
                    <w:t>清洗废气（G</w:t>
                  </w:r>
                  <w:r>
                    <w:rPr>
                      <w:color w:val="auto"/>
                      <w:sz w:val="21"/>
                      <w:szCs w:val="21"/>
                      <w:vertAlign w:val="subscript"/>
                    </w:rPr>
                    <w:t>3</w:t>
                  </w:r>
                  <w:r>
                    <w:rPr>
                      <w:rFonts w:hint="eastAsia"/>
                      <w:color w:val="auto"/>
                      <w:sz w:val="21"/>
                      <w:szCs w:val="21"/>
                    </w:rPr>
                    <w:t>）</w:t>
                  </w:r>
                </w:p>
              </w:tc>
              <w:tc>
                <w:tcPr>
                  <w:tcW w:w="784" w:type="pct"/>
                  <w:vAlign w:val="center"/>
                </w:tcPr>
                <w:p w14:paraId="780EBB2D">
                  <w:pPr>
                    <w:pStyle w:val="108"/>
                    <w:spacing w:line="276" w:lineRule="auto"/>
                    <w:jc w:val="center"/>
                    <w:rPr>
                      <w:color w:val="auto"/>
                      <w:sz w:val="21"/>
                      <w:szCs w:val="21"/>
                    </w:rPr>
                  </w:pPr>
                  <w:r>
                    <w:rPr>
                      <w:rFonts w:hint="eastAsia"/>
                      <w:color w:val="auto"/>
                      <w:sz w:val="21"/>
                      <w:szCs w:val="21"/>
                    </w:rPr>
                    <w:t>非甲烷总烃</w:t>
                  </w:r>
                </w:p>
              </w:tc>
              <w:tc>
                <w:tcPr>
                  <w:tcW w:w="2059" w:type="pct"/>
                  <w:vMerge w:val="continue"/>
                  <w:vAlign w:val="center"/>
                </w:tcPr>
                <w:p w14:paraId="661D57D1">
                  <w:pPr>
                    <w:pStyle w:val="108"/>
                    <w:spacing w:line="276" w:lineRule="auto"/>
                    <w:jc w:val="center"/>
                    <w:rPr>
                      <w:bCs/>
                      <w:color w:val="auto"/>
                      <w:sz w:val="21"/>
                      <w:szCs w:val="21"/>
                    </w:rPr>
                  </w:pPr>
                </w:p>
              </w:tc>
            </w:tr>
            <w:tr w14:paraId="55D3DC6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Merge w:val="continue"/>
                  <w:vAlign w:val="center"/>
                </w:tcPr>
                <w:p w14:paraId="5A0C71C4">
                  <w:pPr>
                    <w:pStyle w:val="108"/>
                    <w:spacing w:line="276" w:lineRule="auto"/>
                    <w:jc w:val="center"/>
                    <w:rPr>
                      <w:color w:val="auto"/>
                      <w:sz w:val="21"/>
                      <w:szCs w:val="21"/>
                    </w:rPr>
                  </w:pPr>
                </w:p>
              </w:tc>
              <w:tc>
                <w:tcPr>
                  <w:tcW w:w="1655" w:type="pct"/>
                  <w:vAlign w:val="center"/>
                </w:tcPr>
                <w:p w14:paraId="0CDE8C5F">
                  <w:pPr>
                    <w:pStyle w:val="108"/>
                    <w:spacing w:line="276" w:lineRule="auto"/>
                    <w:jc w:val="center"/>
                    <w:rPr>
                      <w:color w:val="auto"/>
                      <w:sz w:val="21"/>
                      <w:szCs w:val="21"/>
                    </w:rPr>
                  </w:pPr>
                  <w:r>
                    <w:rPr>
                      <w:color w:val="auto"/>
                      <w:sz w:val="21"/>
                      <w:szCs w:val="21"/>
                    </w:rPr>
                    <w:t>离心（组合管）废气（</w:t>
                  </w:r>
                  <w:r>
                    <w:rPr>
                      <w:rFonts w:hint="eastAsia"/>
                      <w:color w:val="auto"/>
                      <w:sz w:val="21"/>
                      <w:szCs w:val="21"/>
                    </w:rPr>
                    <w:t>G</w:t>
                  </w:r>
                  <w:r>
                    <w:rPr>
                      <w:color w:val="auto"/>
                      <w:sz w:val="21"/>
                      <w:szCs w:val="21"/>
                      <w:vertAlign w:val="subscript"/>
                    </w:rPr>
                    <w:t>4</w:t>
                  </w:r>
                  <w:r>
                    <w:rPr>
                      <w:color w:val="auto"/>
                      <w:sz w:val="21"/>
                      <w:szCs w:val="21"/>
                    </w:rPr>
                    <w:t>）</w:t>
                  </w:r>
                </w:p>
              </w:tc>
              <w:tc>
                <w:tcPr>
                  <w:tcW w:w="784" w:type="pct"/>
                  <w:vAlign w:val="center"/>
                </w:tcPr>
                <w:p w14:paraId="586E0E3D">
                  <w:pPr>
                    <w:pStyle w:val="108"/>
                    <w:spacing w:line="276" w:lineRule="auto"/>
                    <w:jc w:val="center"/>
                    <w:rPr>
                      <w:color w:val="auto"/>
                      <w:sz w:val="21"/>
                      <w:szCs w:val="21"/>
                    </w:rPr>
                  </w:pPr>
                  <w:r>
                    <w:rPr>
                      <w:rFonts w:hint="eastAsia"/>
                      <w:color w:val="auto"/>
                      <w:sz w:val="21"/>
                      <w:szCs w:val="21"/>
                    </w:rPr>
                    <w:t>非甲烷总烃</w:t>
                  </w:r>
                </w:p>
              </w:tc>
              <w:tc>
                <w:tcPr>
                  <w:tcW w:w="2059" w:type="pct"/>
                  <w:vMerge w:val="continue"/>
                  <w:vAlign w:val="center"/>
                </w:tcPr>
                <w:p w14:paraId="62A81737">
                  <w:pPr>
                    <w:pStyle w:val="108"/>
                    <w:spacing w:line="276" w:lineRule="auto"/>
                    <w:jc w:val="center"/>
                    <w:rPr>
                      <w:bCs/>
                      <w:color w:val="auto"/>
                      <w:sz w:val="21"/>
                      <w:szCs w:val="21"/>
                    </w:rPr>
                  </w:pPr>
                </w:p>
              </w:tc>
            </w:tr>
            <w:tr w14:paraId="1A8BB6F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Align w:val="center"/>
                </w:tcPr>
                <w:p w14:paraId="65FD436F">
                  <w:pPr>
                    <w:pStyle w:val="108"/>
                    <w:spacing w:line="276" w:lineRule="auto"/>
                    <w:jc w:val="center"/>
                    <w:rPr>
                      <w:color w:val="auto"/>
                      <w:sz w:val="21"/>
                      <w:szCs w:val="21"/>
                    </w:rPr>
                  </w:pPr>
                  <w:r>
                    <w:rPr>
                      <w:color w:val="auto"/>
                      <w:sz w:val="21"/>
                      <w:szCs w:val="21"/>
                    </w:rPr>
                    <w:t>废水</w:t>
                  </w:r>
                </w:p>
              </w:tc>
              <w:tc>
                <w:tcPr>
                  <w:tcW w:w="1655" w:type="pct"/>
                  <w:vAlign w:val="center"/>
                </w:tcPr>
                <w:p w14:paraId="47FDCA78">
                  <w:pPr>
                    <w:pStyle w:val="108"/>
                    <w:spacing w:line="276" w:lineRule="auto"/>
                    <w:jc w:val="center"/>
                    <w:rPr>
                      <w:color w:val="auto"/>
                      <w:sz w:val="21"/>
                      <w:szCs w:val="21"/>
                    </w:rPr>
                  </w:pPr>
                  <w:r>
                    <w:rPr>
                      <w:rFonts w:hint="eastAsia"/>
                      <w:color w:val="auto"/>
                      <w:sz w:val="21"/>
                      <w:szCs w:val="21"/>
                    </w:rPr>
                    <w:t>生活污水</w:t>
                  </w:r>
                </w:p>
              </w:tc>
              <w:tc>
                <w:tcPr>
                  <w:tcW w:w="784" w:type="pct"/>
                  <w:vAlign w:val="center"/>
                </w:tcPr>
                <w:p w14:paraId="05499257">
                  <w:pPr>
                    <w:pStyle w:val="108"/>
                    <w:spacing w:line="276" w:lineRule="auto"/>
                    <w:jc w:val="center"/>
                    <w:rPr>
                      <w:color w:val="auto"/>
                      <w:sz w:val="21"/>
                      <w:szCs w:val="21"/>
                    </w:rPr>
                  </w:pPr>
                  <w:r>
                    <w:rPr>
                      <w:rFonts w:hint="eastAsia"/>
                      <w:color w:val="auto"/>
                      <w:sz w:val="21"/>
                      <w:szCs w:val="21"/>
                    </w:rPr>
                    <w:t>COD、氨氮、总氮、SS</w:t>
                  </w:r>
                </w:p>
              </w:tc>
              <w:tc>
                <w:tcPr>
                  <w:tcW w:w="2059" w:type="pct"/>
                  <w:vAlign w:val="center"/>
                </w:tcPr>
                <w:p w14:paraId="324367DF">
                  <w:pPr>
                    <w:pStyle w:val="108"/>
                    <w:spacing w:line="276" w:lineRule="auto"/>
                    <w:jc w:val="center"/>
                    <w:rPr>
                      <w:bCs/>
                      <w:color w:val="auto"/>
                      <w:sz w:val="21"/>
                      <w:szCs w:val="21"/>
                    </w:rPr>
                  </w:pPr>
                  <w:r>
                    <w:rPr>
                      <w:rFonts w:hint="eastAsia"/>
                      <w:bCs/>
                      <w:color w:val="auto"/>
                      <w:sz w:val="21"/>
                      <w:szCs w:val="21"/>
                    </w:rPr>
                    <w:t>通过厂区内化粪池预处理后，经市政污水管网纳入毛集实验区污水处理厂处理，处理达标后排放</w:t>
                  </w:r>
                </w:p>
              </w:tc>
            </w:tr>
            <w:tr w14:paraId="50C44A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3" w:type="pct"/>
                  <w:vMerge w:val="restart"/>
                  <w:vAlign w:val="center"/>
                </w:tcPr>
                <w:p w14:paraId="75D106BC">
                  <w:pPr>
                    <w:pStyle w:val="108"/>
                    <w:spacing w:line="276" w:lineRule="auto"/>
                    <w:jc w:val="center"/>
                    <w:rPr>
                      <w:color w:val="auto"/>
                      <w:sz w:val="21"/>
                      <w:szCs w:val="21"/>
                    </w:rPr>
                  </w:pPr>
                  <w:r>
                    <w:rPr>
                      <w:rFonts w:hint="eastAsia"/>
                      <w:color w:val="auto"/>
                      <w:sz w:val="21"/>
                      <w:szCs w:val="21"/>
                    </w:rPr>
                    <w:t>固废</w:t>
                  </w:r>
                </w:p>
              </w:tc>
              <w:tc>
                <w:tcPr>
                  <w:tcW w:w="1655" w:type="pct"/>
                  <w:vAlign w:val="center"/>
                </w:tcPr>
                <w:p w14:paraId="7AAB0B23">
                  <w:pPr>
                    <w:pStyle w:val="108"/>
                    <w:spacing w:line="276" w:lineRule="auto"/>
                    <w:jc w:val="center"/>
                    <w:rPr>
                      <w:color w:val="auto"/>
                      <w:sz w:val="21"/>
                      <w:szCs w:val="21"/>
                    </w:rPr>
                  </w:pPr>
                  <w:r>
                    <w:rPr>
                      <w:rFonts w:hint="eastAsia"/>
                      <w:color w:val="auto"/>
                      <w:sz w:val="21"/>
                      <w:szCs w:val="21"/>
                    </w:rPr>
                    <w:t>废（发光液）原料桶（S</w:t>
                  </w:r>
                  <w:r>
                    <w:rPr>
                      <w:color w:val="auto"/>
                      <w:sz w:val="21"/>
                      <w:szCs w:val="21"/>
                      <w:vertAlign w:val="subscript"/>
                    </w:rPr>
                    <w:t>1</w:t>
                  </w:r>
                  <w:r>
                    <w:rPr>
                      <w:rFonts w:hint="eastAsia"/>
                      <w:color w:val="auto"/>
                      <w:sz w:val="21"/>
                      <w:szCs w:val="21"/>
                    </w:rPr>
                    <w:t>）</w:t>
                  </w:r>
                </w:p>
              </w:tc>
              <w:tc>
                <w:tcPr>
                  <w:tcW w:w="784" w:type="pct"/>
                  <w:vMerge w:val="restart"/>
                  <w:vAlign w:val="center"/>
                </w:tcPr>
                <w:p w14:paraId="293463B9">
                  <w:pPr>
                    <w:pStyle w:val="108"/>
                    <w:spacing w:line="276" w:lineRule="auto"/>
                    <w:jc w:val="center"/>
                    <w:rPr>
                      <w:color w:val="auto"/>
                      <w:sz w:val="21"/>
                      <w:szCs w:val="21"/>
                    </w:rPr>
                  </w:pPr>
                  <w:r>
                    <w:rPr>
                      <w:rFonts w:hint="eastAsia"/>
                      <w:color w:val="auto"/>
                      <w:sz w:val="21"/>
                      <w:szCs w:val="21"/>
                    </w:rPr>
                    <w:t>原料残留，危险废物</w:t>
                  </w:r>
                </w:p>
              </w:tc>
              <w:tc>
                <w:tcPr>
                  <w:tcW w:w="2059" w:type="pct"/>
                  <w:vMerge w:val="restart"/>
                  <w:vAlign w:val="center"/>
                </w:tcPr>
                <w:p w14:paraId="04437448">
                  <w:pPr>
                    <w:pStyle w:val="108"/>
                    <w:spacing w:line="276" w:lineRule="auto"/>
                    <w:jc w:val="center"/>
                    <w:rPr>
                      <w:bCs/>
                      <w:color w:val="auto"/>
                      <w:sz w:val="21"/>
                      <w:szCs w:val="21"/>
                    </w:rPr>
                  </w:pPr>
                  <w:r>
                    <w:rPr>
                      <w:rFonts w:hint="eastAsia"/>
                      <w:bCs/>
                      <w:color w:val="auto"/>
                      <w:sz w:val="21"/>
                      <w:szCs w:val="21"/>
                    </w:rPr>
                    <w:t>暂存于危废暂存间，并委托有资质单位定期收集处理处置</w:t>
                  </w:r>
                </w:p>
              </w:tc>
            </w:tr>
            <w:tr w14:paraId="531944C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4270214E">
                  <w:pPr>
                    <w:pStyle w:val="108"/>
                    <w:spacing w:line="276" w:lineRule="auto"/>
                    <w:jc w:val="center"/>
                    <w:rPr>
                      <w:color w:val="auto"/>
                      <w:sz w:val="21"/>
                      <w:szCs w:val="21"/>
                    </w:rPr>
                  </w:pPr>
                </w:p>
              </w:tc>
              <w:tc>
                <w:tcPr>
                  <w:tcW w:w="1655" w:type="pct"/>
                  <w:vAlign w:val="center"/>
                </w:tcPr>
                <w:p w14:paraId="32F50BC8">
                  <w:pPr>
                    <w:pStyle w:val="108"/>
                    <w:spacing w:line="276" w:lineRule="auto"/>
                    <w:jc w:val="center"/>
                    <w:rPr>
                      <w:color w:val="auto"/>
                      <w:sz w:val="21"/>
                      <w:szCs w:val="21"/>
                    </w:rPr>
                  </w:pPr>
                  <w:r>
                    <w:rPr>
                      <w:color w:val="auto"/>
                      <w:sz w:val="21"/>
                      <w:szCs w:val="21"/>
                    </w:rPr>
                    <w:t>废玻璃管（</w:t>
                  </w:r>
                  <w:r>
                    <w:rPr>
                      <w:rFonts w:hint="eastAsia"/>
                      <w:color w:val="auto"/>
                      <w:sz w:val="21"/>
                      <w:szCs w:val="21"/>
                    </w:rPr>
                    <w:t>作为</w:t>
                  </w:r>
                  <w:r>
                    <w:rPr>
                      <w:color w:val="auto"/>
                      <w:sz w:val="21"/>
                      <w:szCs w:val="21"/>
                    </w:rPr>
                    <w:t>不合格品）</w:t>
                  </w:r>
                  <w:r>
                    <w:rPr>
                      <w:rFonts w:hint="eastAsia"/>
                      <w:color w:val="auto"/>
                      <w:sz w:val="21"/>
                      <w:szCs w:val="21"/>
                    </w:rPr>
                    <w:t>（S</w:t>
                  </w:r>
                  <w:r>
                    <w:rPr>
                      <w:color w:val="auto"/>
                      <w:sz w:val="21"/>
                      <w:szCs w:val="21"/>
                      <w:vertAlign w:val="subscript"/>
                    </w:rPr>
                    <w:t>2</w:t>
                  </w:r>
                  <w:r>
                    <w:rPr>
                      <w:rFonts w:hint="eastAsia"/>
                      <w:color w:val="auto"/>
                      <w:sz w:val="21"/>
                      <w:szCs w:val="21"/>
                    </w:rPr>
                    <w:t>）</w:t>
                  </w:r>
                </w:p>
              </w:tc>
              <w:tc>
                <w:tcPr>
                  <w:tcW w:w="784" w:type="pct"/>
                  <w:vMerge w:val="continue"/>
                  <w:vAlign w:val="center"/>
                </w:tcPr>
                <w:p w14:paraId="6DCCA232">
                  <w:pPr>
                    <w:pStyle w:val="108"/>
                    <w:spacing w:line="276" w:lineRule="auto"/>
                    <w:jc w:val="center"/>
                    <w:rPr>
                      <w:color w:val="auto"/>
                      <w:sz w:val="21"/>
                      <w:szCs w:val="21"/>
                    </w:rPr>
                  </w:pPr>
                </w:p>
              </w:tc>
              <w:tc>
                <w:tcPr>
                  <w:tcW w:w="2059" w:type="pct"/>
                  <w:vMerge w:val="continue"/>
                  <w:vAlign w:val="center"/>
                </w:tcPr>
                <w:p w14:paraId="258828B9">
                  <w:pPr>
                    <w:pStyle w:val="108"/>
                    <w:spacing w:line="276" w:lineRule="auto"/>
                    <w:jc w:val="center"/>
                    <w:rPr>
                      <w:color w:val="auto"/>
                      <w:sz w:val="21"/>
                      <w:szCs w:val="21"/>
                    </w:rPr>
                  </w:pPr>
                </w:p>
              </w:tc>
            </w:tr>
            <w:tr w14:paraId="3CD801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46FFDB64">
                  <w:pPr>
                    <w:pStyle w:val="108"/>
                    <w:spacing w:line="276" w:lineRule="auto"/>
                    <w:jc w:val="center"/>
                    <w:rPr>
                      <w:color w:val="auto"/>
                      <w:sz w:val="21"/>
                      <w:szCs w:val="21"/>
                    </w:rPr>
                  </w:pPr>
                </w:p>
              </w:tc>
              <w:tc>
                <w:tcPr>
                  <w:tcW w:w="1655" w:type="pct"/>
                  <w:vAlign w:val="center"/>
                </w:tcPr>
                <w:p w14:paraId="3ABEEB83">
                  <w:pPr>
                    <w:pStyle w:val="108"/>
                    <w:spacing w:line="276" w:lineRule="auto"/>
                    <w:jc w:val="center"/>
                    <w:rPr>
                      <w:color w:val="auto"/>
                      <w:sz w:val="21"/>
                      <w:szCs w:val="21"/>
                    </w:rPr>
                  </w:pPr>
                  <w:r>
                    <w:rPr>
                      <w:color w:val="auto"/>
                      <w:sz w:val="21"/>
                      <w:szCs w:val="21"/>
                    </w:rPr>
                    <w:t>离心（玻璃管）废液</w:t>
                  </w:r>
                  <w:r>
                    <w:rPr>
                      <w:rFonts w:hint="eastAsia"/>
                      <w:color w:val="auto"/>
                      <w:sz w:val="21"/>
                      <w:szCs w:val="21"/>
                    </w:rPr>
                    <w:t>（S</w:t>
                  </w:r>
                  <w:r>
                    <w:rPr>
                      <w:color w:val="auto"/>
                      <w:sz w:val="21"/>
                      <w:szCs w:val="21"/>
                      <w:vertAlign w:val="subscript"/>
                    </w:rPr>
                    <w:t>3</w:t>
                  </w:r>
                  <w:r>
                    <w:rPr>
                      <w:color w:val="auto"/>
                      <w:sz w:val="21"/>
                      <w:szCs w:val="21"/>
                    </w:rPr>
                    <w:t>）</w:t>
                  </w:r>
                </w:p>
              </w:tc>
              <w:tc>
                <w:tcPr>
                  <w:tcW w:w="784" w:type="pct"/>
                  <w:vMerge w:val="continue"/>
                  <w:vAlign w:val="center"/>
                </w:tcPr>
                <w:p w14:paraId="1C21B09C">
                  <w:pPr>
                    <w:pStyle w:val="108"/>
                    <w:spacing w:line="276" w:lineRule="auto"/>
                    <w:jc w:val="center"/>
                    <w:rPr>
                      <w:color w:val="auto"/>
                      <w:sz w:val="21"/>
                      <w:szCs w:val="21"/>
                    </w:rPr>
                  </w:pPr>
                </w:p>
              </w:tc>
              <w:tc>
                <w:tcPr>
                  <w:tcW w:w="2059" w:type="pct"/>
                  <w:vMerge w:val="continue"/>
                  <w:vAlign w:val="center"/>
                </w:tcPr>
                <w:p w14:paraId="5E444535">
                  <w:pPr>
                    <w:pStyle w:val="108"/>
                    <w:spacing w:line="276" w:lineRule="auto"/>
                    <w:jc w:val="center"/>
                    <w:rPr>
                      <w:color w:val="auto"/>
                      <w:sz w:val="21"/>
                      <w:szCs w:val="21"/>
                    </w:rPr>
                  </w:pPr>
                </w:p>
              </w:tc>
            </w:tr>
            <w:tr w14:paraId="48E443A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69EE36C6">
                  <w:pPr>
                    <w:pStyle w:val="108"/>
                    <w:spacing w:line="276" w:lineRule="auto"/>
                    <w:jc w:val="center"/>
                    <w:rPr>
                      <w:color w:val="auto"/>
                      <w:sz w:val="21"/>
                      <w:szCs w:val="21"/>
                    </w:rPr>
                  </w:pPr>
                </w:p>
              </w:tc>
              <w:tc>
                <w:tcPr>
                  <w:tcW w:w="1655" w:type="pct"/>
                  <w:vAlign w:val="center"/>
                </w:tcPr>
                <w:p w14:paraId="1BBAEEBF">
                  <w:pPr>
                    <w:pStyle w:val="108"/>
                    <w:spacing w:line="276" w:lineRule="auto"/>
                    <w:jc w:val="center"/>
                    <w:rPr>
                      <w:color w:val="auto"/>
                      <w:sz w:val="21"/>
                      <w:szCs w:val="21"/>
                    </w:rPr>
                  </w:pPr>
                  <w:r>
                    <w:rPr>
                      <w:rFonts w:hint="eastAsia"/>
                      <w:color w:val="auto"/>
                      <w:sz w:val="21"/>
                      <w:szCs w:val="21"/>
                    </w:rPr>
                    <w:t>废（活化剂）原料桶（S</w:t>
                  </w:r>
                  <w:r>
                    <w:rPr>
                      <w:color w:val="auto"/>
                      <w:sz w:val="21"/>
                      <w:szCs w:val="21"/>
                      <w:vertAlign w:val="subscript"/>
                    </w:rPr>
                    <w:t>4</w:t>
                  </w:r>
                  <w:r>
                    <w:rPr>
                      <w:rFonts w:hint="eastAsia"/>
                      <w:color w:val="auto"/>
                      <w:sz w:val="21"/>
                      <w:szCs w:val="21"/>
                    </w:rPr>
                    <w:t>）</w:t>
                  </w:r>
                </w:p>
              </w:tc>
              <w:tc>
                <w:tcPr>
                  <w:tcW w:w="784" w:type="pct"/>
                  <w:vMerge w:val="continue"/>
                  <w:vAlign w:val="center"/>
                </w:tcPr>
                <w:p w14:paraId="5D8F5D74">
                  <w:pPr>
                    <w:pStyle w:val="108"/>
                    <w:spacing w:line="276" w:lineRule="auto"/>
                    <w:jc w:val="center"/>
                    <w:rPr>
                      <w:color w:val="auto"/>
                      <w:sz w:val="21"/>
                      <w:szCs w:val="21"/>
                    </w:rPr>
                  </w:pPr>
                </w:p>
              </w:tc>
              <w:tc>
                <w:tcPr>
                  <w:tcW w:w="2059" w:type="pct"/>
                  <w:vMerge w:val="continue"/>
                  <w:vAlign w:val="center"/>
                </w:tcPr>
                <w:p w14:paraId="7BD34EDE">
                  <w:pPr>
                    <w:pStyle w:val="108"/>
                    <w:spacing w:line="276" w:lineRule="auto"/>
                    <w:jc w:val="center"/>
                    <w:rPr>
                      <w:color w:val="auto"/>
                      <w:sz w:val="21"/>
                      <w:szCs w:val="21"/>
                    </w:rPr>
                  </w:pPr>
                </w:p>
              </w:tc>
            </w:tr>
            <w:tr w14:paraId="456FC5B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349DB53D">
                  <w:pPr>
                    <w:pStyle w:val="108"/>
                    <w:spacing w:line="276" w:lineRule="auto"/>
                    <w:jc w:val="center"/>
                    <w:rPr>
                      <w:color w:val="auto"/>
                      <w:sz w:val="21"/>
                      <w:szCs w:val="21"/>
                    </w:rPr>
                  </w:pPr>
                </w:p>
              </w:tc>
              <w:tc>
                <w:tcPr>
                  <w:tcW w:w="1655" w:type="pct"/>
                  <w:vAlign w:val="center"/>
                </w:tcPr>
                <w:p w14:paraId="44D1140E">
                  <w:pPr>
                    <w:pStyle w:val="108"/>
                    <w:spacing w:line="276" w:lineRule="auto"/>
                    <w:jc w:val="center"/>
                    <w:rPr>
                      <w:color w:val="auto"/>
                      <w:sz w:val="21"/>
                      <w:szCs w:val="21"/>
                    </w:rPr>
                  </w:pPr>
                  <w:r>
                    <w:rPr>
                      <w:color w:val="auto"/>
                      <w:sz w:val="21"/>
                      <w:szCs w:val="21"/>
                    </w:rPr>
                    <w:t>离心（塑料管）废液</w:t>
                  </w:r>
                  <w:r>
                    <w:rPr>
                      <w:rFonts w:hint="eastAsia"/>
                      <w:color w:val="auto"/>
                      <w:sz w:val="21"/>
                      <w:szCs w:val="21"/>
                    </w:rPr>
                    <w:t>（S</w:t>
                  </w:r>
                  <w:r>
                    <w:rPr>
                      <w:color w:val="auto"/>
                      <w:sz w:val="21"/>
                      <w:szCs w:val="21"/>
                      <w:vertAlign w:val="subscript"/>
                    </w:rPr>
                    <w:t>5</w:t>
                  </w:r>
                  <w:r>
                    <w:rPr>
                      <w:rFonts w:hint="eastAsia"/>
                      <w:color w:val="auto"/>
                      <w:sz w:val="21"/>
                      <w:szCs w:val="21"/>
                    </w:rPr>
                    <w:t>）</w:t>
                  </w:r>
                </w:p>
              </w:tc>
              <w:tc>
                <w:tcPr>
                  <w:tcW w:w="784" w:type="pct"/>
                  <w:vMerge w:val="continue"/>
                  <w:vAlign w:val="center"/>
                </w:tcPr>
                <w:p w14:paraId="49F58E13">
                  <w:pPr>
                    <w:pStyle w:val="108"/>
                    <w:spacing w:line="276" w:lineRule="auto"/>
                    <w:jc w:val="center"/>
                    <w:rPr>
                      <w:color w:val="auto"/>
                      <w:sz w:val="21"/>
                      <w:szCs w:val="21"/>
                    </w:rPr>
                  </w:pPr>
                </w:p>
              </w:tc>
              <w:tc>
                <w:tcPr>
                  <w:tcW w:w="2059" w:type="pct"/>
                  <w:vMerge w:val="continue"/>
                  <w:vAlign w:val="center"/>
                </w:tcPr>
                <w:p w14:paraId="34BCBBAB">
                  <w:pPr>
                    <w:pStyle w:val="108"/>
                    <w:spacing w:line="276" w:lineRule="auto"/>
                    <w:jc w:val="center"/>
                    <w:rPr>
                      <w:color w:val="auto"/>
                      <w:sz w:val="21"/>
                      <w:szCs w:val="21"/>
                    </w:rPr>
                  </w:pPr>
                </w:p>
              </w:tc>
            </w:tr>
            <w:tr w14:paraId="78F014D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5596E1A4">
                  <w:pPr>
                    <w:pStyle w:val="108"/>
                    <w:spacing w:line="276" w:lineRule="auto"/>
                    <w:jc w:val="center"/>
                    <w:rPr>
                      <w:color w:val="auto"/>
                      <w:sz w:val="21"/>
                      <w:szCs w:val="21"/>
                    </w:rPr>
                  </w:pPr>
                </w:p>
              </w:tc>
              <w:tc>
                <w:tcPr>
                  <w:tcW w:w="1655" w:type="pct"/>
                  <w:vAlign w:val="center"/>
                </w:tcPr>
                <w:p w14:paraId="286F8D08">
                  <w:pPr>
                    <w:pStyle w:val="108"/>
                    <w:spacing w:line="276" w:lineRule="auto"/>
                    <w:jc w:val="center"/>
                    <w:rPr>
                      <w:color w:val="auto"/>
                      <w:sz w:val="21"/>
                      <w:szCs w:val="21"/>
                    </w:rPr>
                  </w:pPr>
                  <w:r>
                    <w:rPr>
                      <w:color w:val="auto"/>
                      <w:sz w:val="21"/>
                      <w:szCs w:val="21"/>
                    </w:rPr>
                    <w:t>清洗废液</w:t>
                  </w:r>
                  <w:r>
                    <w:rPr>
                      <w:rFonts w:hint="eastAsia"/>
                      <w:color w:val="auto"/>
                      <w:sz w:val="21"/>
                      <w:szCs w:val="21"/>
                    </w:rPr>
                    <w:t>（S</w:t>
                  </w:r>
                  <w:r>
                    <w:rPr>
                      <w:color w:val="auto"/>
                      <w:sz w:val="21"/>
                      <w:szCs w:val="21"/>
                      <w:vertAlign w:val="subscript"/>
                    </w:rPr>
                    <w:t>6</w:t>
                  </w:r>
                  <w:r>
                    <w:rPr>
                      <w:color w:val="auto"/>
                      <w:sz w:val="21"/>
                      <w:szCs w:val="21"/>
                    </w:rPr>
                    <w:t>）</w:t>
                  </w:r>
                </w:p>
              </w:tc>
              <w:tc>
                <w:tcPr>
                  <w:tcW w:w="784" w:type="pct"/>
                  <w:vMerge w:val="continue"/>
                  <w:vAlign w:val="center"/>
                </w:tcPr>
                <w:p w14:paraId="783BAEA2">
                  <w:pPr>
                    <w:pStyle w:val="108"/>
                    <w:spacing w:line="276" w:lineRule="auto"/>
                    <w:jc w:val="center"/>
                    <w:rPr>
                      <w:color w:val="auto"/>
                      <w:sz w:val="21"/>
                      <w:szCs w:val="21"/>
                    </w:rPr>
                  </w:pPr>
                </w:p>
              </w:tc>
              <w:tc>
                <w:tcPr>
                  <w:tcW w:w="2059" w:type="pct"/>
                  <w:vMerge w:val="continue"/>
                  <w:vAlign w:val="center"/>
                </w:tcPr>
                <w:p w14:paraId="04B4B877">
                  <w:pPr>
                    <w:pStyle w:val="108"/>
                    <w:spacing w:line="276" w:lineRule="auto"/>
                    <w:jc w:val="center"/>
                    <w:rPr>
                      <w:color w:val="auto"/>
                      <w:sz w:val="21"/>
                      <w:szCs w:val="21"/>
                    </w:rPr>
                  </w:pPr>
                </w:p>
              </w:tc>
            </w:tr>
            <w:tr w14:paraId="4AEE20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6D73A363">
                  <w:pPr>
                    <w:pStyle w:val="108"/>
                    <w:spacing w:line="276" w:lineRule="auto"/>
                    <w:jc w:val="center"/>
                    <w:rPr>
                      <w:color w:val="auto"/>
                      <w:sz w:val="21"/>
                      <w:szCs w:val="21"/>
                    </w:rPr>
                  </w:pPr>
                </w:p>
              </w:tc>
              <w:tc>
                <w:tcPr>
                  <w:tcW w:w="1655" w:type="pct"/>
                  <w:vAlign w:val="center"/>
                </w:tcPr>
                <w:p w14:paraId="78CC878A">
                  <w:pPr>
                    <w:pStyle w:val="108"/>
                    <w:spacing w:line="276" w:lineRule="auto"/>
                    <w:jc w:val="center"/>
                    <w:rPr>
                      <w:color w:val="auto"/>
                      <w:sz w:val="21"/>
                      <w:szCs w:val="21"/>
                    </w:rPr>
                  </w:pPr>
                  <w:r>
                    <w:rPr>
                      <w:rFonts w:hint="eastAsia"/>
                      <w:color w:val="auto"/>
                      <w:sz w:val="21"/>
                      <w:szCs w:val="21"/>
                    </w:rPr>
                    <w:t>离心（组合管）废液（S</w:t>
                  </w:r>
                  <w:r>
                    <w:rPr>
                      <w:color w:val="auto"/>
                      <w:sz w:val="21"/>
                      <w:szCs w:val="21"/>
                      <w:vertAlign w:val="subscript"/>
                    </w:rPr>
                    <w:t>7</w:t>
                  </w:r>
                  <w:r>
                    <w:rPr>
                      <w:color w:val="auto"/>
                      <w:sz w:val="21"/>
                      <w:szCs w:val="21"/>
                    </w:rPr>
                    <w:t>）</w:t>
                  </w:r>
                </w:p>
              </w:tc>
              <w:tc>
                <w:tcPr>
                  <w:tcW w:w="784" w:type="pct"/>
                  <w:vMerge w:val="continue"/>
                  <w:vAlign w:val="center"/>
                </w:tcPr>
                <w:p w14:paraId="4831C270">
                  <w:pPr>
                    <w:pStyle w:val="108"/>
                    <w:spacing w:line="276" w:lineRule="auto"/>
                    <w:jc w:val="center"/>
                    <w:rPr>
                      <w:color w:val="auto"/>
                      <w:sz w:val="21"/>
                      <w:szCs w:val="21"/>
                    </w:rPr>
                  </w:pPr>
                </w:p>
              </w:tc>
              <w:tc>
                <w:tcPr>
                  <w:tcW w:w="2059" w:type="pct"/>
                  <w:vMerge w:val="continue"/>
                  <w:vAlign w:val="center"/>
                </w:tcPr>
                <w:p w14:paraId="756D1C4B">
                  <w:pPr>
                    <w:pStyle w:val="108"/>
                    <w:spacing w:line="276" w:lineRule="auto"/>
                    <w:jc w:val="center"/>
                    <w:rPr>
                      <w:color w:val="auto"/>
                      <w:sz w:val="21"/>
                      <w:szCs w:val="21"/>
                    </w:rPr>
                  </w:pPr>
                </w:p>
              </w:tc>
            </w:tr>
            <w:tr w14:paraId="11FCB2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6CDAD49C">
                  <w:pPr>
                    <w:pStyle w:val="108"/>
                    <w:spacing w:line="276" w:lineRule="auto"/>
                    <w:jc w:val="center"/>
                    <w:rPr>
                      <w:color w:val="auto"/>
                      <w:sz w:val="21"/>
                      <w:szCs w:val="21"/>
                    </w:rPr>
                  </w:pPr>
                </w:p>
              </w:tc>
              <w:tc>
                <w:tcPr>
                  <w:tcW w:w="1655" w:type="pct"/>
                  <w:vAlign w:val="center"/>
                </w:tcPr>
                <w:p w14:paraId="23B3191E">
                  <w:pPr>
                    <w:pStyle w:val="108"/>
                    <w:spacing w:line="276" w:lineRule="auto"/>
                    <w:jc w:val="center"/>
                    <w:rPr>
                      <w:color w:val="auto"/>
                      <w:sz w:val="21"/>
                      <w:szCs w:val="21"/>
                    </w:rPr>
                  </w:pPr>
                  <w:r>
                    <w:rPr>
                      <w:color w:val="auto"/>
                      <w:sz w:val="21"/>
                      <w:szCs w:val="21"/>
                    </w:rPr>
                    <w:t>不合格品</w:t>
                  </w:r>
                  <w:r>
                    <w:rPr>
                      <w:rFonts w:hint="eastAsia"/>
                      <w:color w:val="auto"/>
                      <w:sz w:val="21"/>
                      <w:szCs w:val="21"/>
                    </w:rPr>
                    <w:t>（S</w:t>
                  </w:r>
                  <w:r>
                    <w:rPr>
                      <w:color w:val="auto"/>
                      <w:sz w:val="21"/>
                      <w:szCs w:val="21"/>
                      <w:vertAlign w:val="subscript"/>
                    </w:rPr>
                    <w:t>8</w:t>
                  </w:r>
                  <w:r>
                    <w:rPr>
                      <w:color w:val="auto"/>
                      <w:sz w:val="21"/>
                      <w:szCs w:val="21"/>
                    </w:rPr>
                    <w:t>）</w:t>
                  </w:r>
                </w:p>
              </w:tc>
              <w:tc>
                <w:tcPr>
                  <w:tcW w:w="784" w:type="pct"/>
                  <w:vMerge w:val="continue"/>
                  <w:vAlign w:val="center"/>
                </w:tcPr>
                <w:p w14:paraId="7583A505">
                  <w:pPr>
                    <w:pStyle w:val="108"/>
                    <w:spacing w:line="276" w:lineRule="auto"/>
                    <w:jc w:val="center"/>
                    <w:rPr>
                      <w:color w:val="auto"/>
                      <w:sz w:val="21"/>
                      <w:szCs w:val="21"/>
                    </w:rPr>
                  </w:pPr>
                </w:p>
              </w:tc>
              <w:tc>
                <w:tcPr>
                  <w:tcW w:w="2059" w:type="pct"/>
                  <w:vMerge w:val="continue"/>
                  <w:vAlign w:val="center"/>
                </w:tcPr>
                <w:p w14:paraId="35BAD679">
                  <w:pPr>
                    <w:pStyle w:val="108"/>
                    <w:spacing w:line="276" w:lineRule="auto"/>
                    <w:jc w:val="center"/>
                    <w:rPr>
                      <w:color w:val="auto"/>
                      <w:sz w:val="21"/>
                      <w:szCs w:val="21"/>
                    </w:rPr>
                  </w:pPr>
                </w:p>
              </w:tc>
            </w:tr>
            <w:tr w14:paraId="1C59D5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6282940B">
                  <w:pPr>
                    <w:pStyle w:val="108"/>
                    <w:spacing w:line="276" w:lineRule="auto"/>
                    <w:jc w:val="center"/>
                    <w:rPr>
                      <w:color w:val="auto"/>
                      <w:sz w:val="21"/>
                      <w:szCs w:val="21"/>
                    </w:rPr>
                  </w:pPr>
                </w:p>
              </w:tc>
              <w:tc>
                <w:tcPr>
                  <w:tcW w:w="1655" w:type="pct"/>
                  <w:vAlign w:val="center"/>
                </w:tcPr>
                <w:p w14:paraId="77C9B34A">
                  <w:pPr>
                    <w:pStyle w:val="108"/>
                    <w:spacing w:line="276" w:lineRule="auto"/>
                    <w:jc w:val="center"/>
                    <w:rPr>
                      <w:color w:val="auto"/>
                      <w:sz w:val="21"/>
                      <w:szCs w:val="21"/>
                    </w:rPr>
                  </w:pPr>
                  <w:r>
                    <w:rPr>
                      <w:color w:val="auto"/>
                      <w:sz w:val="21"/>
                      <w:szCs w:val="21"/>
                    </w:rPr>
                    <w:t>废包材（</w:t>
                  </w:r>
                  <w:r>
                    <w:rPr>
                      <w:rFonts w:hint="eastAsia"/>
                      <w:color w:val="auto"/>
                      <w:sz w:val="21"/>
                      <w:szCs w:val="21"/>
                    </w:rPr>
                    <w:t>S</w:t>
                  </w:r>
                  <w:r>
                    <w:rPr>
                      <w:color w:val="auto"/>
                      <w:sz w:val="21"/>
                      <w:szCs w:val="21"/>
                      <w:vertAlign w:val="subscript"/>
                    </w:rPr>
                    <w:t>9</w:t>
                  </w:r>
                  <w:r>
                    <w:rPr>
                      <w:color w:val="auto"/>
                      <w:sz w:val="21"/>
                      <w:szCs w:val="21"/>
                    </w:rPr>
                    <w:t>）</w:t>
                  </w:r>
                </w:p>
              </w:tc>
              <w:tc>
                <w:tcPr>
                  <w:tcW w:w="784" w:type="pct"/>
                  <w:vMerge w:val="restart"/>
                  <w:vAlign w:val="center"/>
                </w:tcPr>
                <w:p w14:paraId="5D2100EF">
                  <w:pPr>
                    <w:pStyle w:val="108"/>
                    <w:spacing w:line="276" w:lineRule="auto"/>
                    <w:jc w:val="center"/>
                    <w:rPr>
                      <w:color w:val="auto"/>
                      <w:sz w:val="21"/>
                      <w:szCs w:val="21"/>
                    </w:rPr>
                  </w:pPr>
                  <w:r>
                    <w:rPr>
                      <w:rFonts w:hint="eastAsia"/>
                      <w:color w:val="auto"/>
                      <w:sz w:val="21"/>
                      <w:szCs w:val="21"/>
                    </w:rPr>
                    <w:t>一般固废</w:t>
                  </w:r>
                </w:p>
              </w:tc>
              <w:tc>
                <w:tcPr>
                  <w:tcW w:w="2059" w:type="pct"/>
                  <w:vMerge w:val="restart"/>
                  <w:vAlign w:val="center"/>
                </w:tcPr>
                <w:p w14:paraId="30107CA6">
                  <w:pPr>
                    <w:pStyle w:val="108"/>
                    <w:spacing w:line="276" w:lineRule="auto"/>
                    <w:jc w:val="center"/>
                    <w:rPr>
                      <w:color w:val="auto"/>
                      <w:sz w:val="21"/>
                      <w:szCs w:val="21"/>
                    </w:rPr>
                  </w:pPr>
                  <w:r>
                    <w:rPr>
                      <w:rFonts w:hint="eastAsia"/>
                      <w:color w:val="auto"/>
                      <w:sz w:val="21"/>
                      <w:szCs w:val="21"/>
                    </w:rPr>
                    <w:t>由物资回收单位进行回收再利用</w:t>
                  </w:r>
                </w:p>
              </w:tc>
            </w:tr>
            <w:tr w14:paraId="71F13D4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7E207032">
                  <w:pPr>
                    <w:pStyle w:val="108"/>
                    <w:spacing w:line="276" w:lineRule="auto"/>
                    <w:jc w:val="center"/>
                    <w:rPr>
                      <w:color w:val="auto"/>
                      <w:sz w:val="21"/>
                      <w:szCs w:val="21"/>
                    </w:rPr>
                  </w:pPr>
                </w:p>
              </w:tc>
              <w:tc>
                <w:tcPr>
                  <w:tcW w:w="1655" w:type="pct"/>
                  <w:vAlign w:val="center"/>
                </w:tcPr>
                <w:p w14:paraId="4816D9C0">
                  <w:pPr>
                    <w:pStyle w:val="108"/>
                    <w:spacing w:line="276" w:lineRule="auto"/>
                    <w:jc w:val="center"/>
                    <w:rPr>
                      <w:color w:val="auto"/>
                      <w:sz w:val="21"/>
                      <w:szCs w:val="21"/>
                    </w:rPr>
                  </w:pPr>
                  <w:r>
                    <w:rPr>
                      <w:color w:val="auto"/>
                      <w:sz w:val="21"/>
                      <w:szCs w:val="21"/>
                    </w:rPr>
                    <w:t>废边角料（</w:t>
                  </w:r>
                  <w:r>
                    <w:rPr>
                      <w:rFonts w:hint="eastAsia"/>
                      <w:color w:val="auto"/>
                      <w:sz w:val="21"/>
                      <w:szCs w:val="21"/>
                    </w:rPr>
                    <w:t>S</w:t>
                  </w:r>
                  <w:r>
                    <w:rPr>
                      <w:color w:val="auto"/>
                      <w:sz w:val="21"/>
                      <w:szCs w:val="21"/>
                      <w:vertAlign w:val="subscript"/>
                    </w:rPr>
                    <w:t>10</w:t>
                  </w:r>
                  <w:r>
                    <w:rPr>
                      <w:color w:val="auto"/>
                      <w:sz w:val="21"/>
                      <w:szCs w:val="21"/>
                    </w:rPr>
                    <w:t>）</w:t>
                  </w:r>
                </w:p>
              </w:tc>
              <w:tc>
                <w:tcPr>
                  <w:tcW w:w="784" w:type="pct"/>
                  <w:vMerge w:val="continue"/>
                  <w:vAlign w:val="center"/>
                </w:tcPr>
                <w:p w14:paraId="4A1BFAAC">
                  <w:pPr>
                    <w:pStyle w:val="108"/>
                    <w:spacing w:line="276" w:lineRule="auto"/>
                    <w:jc w:val="center"/>
                    <w:rPr>
                      <w:color w:val="auto"/>
                      <w:sz w:val="21"/>
                      <w:szCs w:val="21"/>
                    </w:rPr>
                  </w:pPr>
                </w:p>
              </w:tc>
              <w:tc>
                <w:tcPr>
                  <w:tcW w:w="2059" w:type="pct"/>
                  <w:vMerge w:val="continue"/>
                  <w:vAlign w:val="center"/>
                </w:tcPr>
                <w:p w14:paraId="216DDB4A">
                  <w:pPr>
                    <w:pStyle w:val="108"/>
                    <w:spacing w:line="276" w:lineRule="auto"/>
                    <w:jc w:val="center"/>
                    <w:rPr>
                      <w:color w:val="auto"/>
                      <w:sz w:val="21"/>
                      <w:szCs w:val="21"/>
                    </w:rPr>
                  </w:pPr>
                </w:p>
              </w:tc>
            </w:tr>
            <w:tr w14:paraId="4A2866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13D9B381">
                  <w:pPr>
                    <w:pStyle w:val="108"/>
                    <w:spacing w:line="276" w:lineRule="auto"/>
                    <w:jc w:val="center"/>
                    <w:rPr>
                      <w:color w:val="auto"/>
                      <w:sz w:val="21"/>
                      <w:szCs w:val="21"/>
                    </w:rPr>
                  </w:pPr>
                </w:p>
              </w:tc>
              <w:tc>
                <w:tcPr>
                  <w:tcW w:w="1655" w:type="pct"/>
                  <w:vAlign w:val="center"/>
                </w:tcPr>
                <w:p w14:paraId="7672D106">
                  <w:pPr>
                    <w:pStyle w:val="108"/>
                    <w:spacing w:line="276" w:lineRule="auto"/>
                    <w:jc w:val="center"/>
                    <w:rPr>
                      <w:color w:val="auto"/>
                      <w:sz w:val="21"/>
                      <w:szCs w:val="21"/>
                    </w:rPr>
                  </w:pPr>
                  <w:r>
                    <w:rPr>
                      <w:color w:val="auto"/>
                      <w:sz w:val="21"/>
                      <w:szCs w:val="21"/>
                    </w:rPr>
                    <w:t>废包装袋（玻璃管、塑料管）</w:t>
                  </w:r>
                </w:p>
              </w:tc>
              <w:tc>
                <w:tcPr>
                  <w:tcW w:w="784" w:type="pct"/>
                  <w:vMerge w:val="continue"/>
                  <w:vAlign w:val="center"/>
                </w:tcPr>
                <w:p w14:paraId="15CDEBE2">
                  <w:pPr>
                    <w:pStyle w:val="108"/>
                    <w:spacing w:line="276" w:lineRule="auto"/>
                    <w:jc w:val="center"/>
                    <w:rPr>
                      <w:color w:val="auto"/>
                      <w:sz w:val="21"/>
                      <w:szCs w:val="21"/>
                    </w:rPr>
                  </w:pPr>
                </w:p>
              </w:tc>
              <w:tc>
                <w:tcPr>
                  <w:tcW w:w="2059" w:type="pct"/>
                  <w:vMerge w:val="continue"/>
                  <w:vAlign w:val="center"/>
                </w:tcPr>
                <w:p w14:paraId="2B389805">
                  <w:pPr>
                    <w:pStyle w:val="108"/>
                    <w:spacing w:line="276" w:lineRule="auto"/>
                    <w:jc w:val="center"/>
                    <w:rPr>
                      <w:color w:val="auto"/>
                      <w:sz w:val="21"/>
                      <w:szCs w:val="21"/>
                    </w:rPr>
                  </w:pPr>
                </w:p>
              </w:tc>
            </w:tr>
            <w:tr w14:paraId="745933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1EE6DC49">
                  <w:pPr>
                    <w:pStyle w:val="108"/>
                    <w:spacing w:line="276" w:lineRule="auto"/>
                    <w:jc w:val="center"/>
                    <w:rPr>
                      <w:color w:val="auto"/>
                      <w:sz w:val="21"/>
                      <w:szCs w:val="21"/>
                    </w:rPr>
                  </w:pPr>
                </w:p>
              </w:tc>
              <w:tc>
                <w:tcPr>
                  <w:tcW w:w="1655" w:type="pct"/>
                  <w:vAlign w:val="center"/>
                </w:tcPr>
                <w:p w14:paraId="74D1E9AB">
                  <w:pPr>
                    <w:pStyle w:val="108"/>
                    <w:spacing w:line="276" w:lineRule="auto"/>
                    <w:jc w:val="center"/>
                    <w:rPr>
                      <w:color w:val="auto"/>
                      <w:sz w:val="21"/>
                      <w:szCs w:val="21"/>
                    </w:rPr>
                  </w:pPr>
                  <w:r>
                    <w:rPr>
                      <w:color w:val="auto"/>
                      <w:sz w:val="21"/>
                      <w:szCs w:val="21"/>
                    </w:rPr>
                    <w:t>废活性炭</w:t>
                  </w:r>
                </w:p>
              </w:tc>
              <w:tc>
                <w:tcPr>
                  <w:tcW w:w="784" w:type="pct"/>
                  <w:vAlign w:val="center"/>
                </w:tcPr>
                <w:p w14:paraId="5BB7053A">
                  <w:pPr>
                    <w:pStyle w:val="108"/>
                    <w:spacing w:line="276" w:lineRule="auto"/>
                    <w:jc w:val="center"/>
                    <w:rPr>
                      <w:color w:val="auto"/>
                      <w:sz w:val="21"/>
                      <w:szCs w:val="21"/>
                    </w:rPr>
                  </w:pPr>
                  <w:r>
                    <w:rPr>
                      <w:rFonts w:hint="eastAsia"/>
                      <w:color w:val="auto"/>
                      <w:sz w:val="21"/>
                      <w:szCs w:val="21"/>
                    </w:rPr>
                    <w:t>危险固废</w:t>
                  </w:r>
                </w:p>
              </w:tc>
              <w:tc>
                <w:tcPr>
                  <w:tcW w:w="2059" w:type="pct"/>
                  <w:vAlign w:val="center"/>
                </w:tcPr>
                <w:p w14:paraId="55068A1D">
                  <w:pPr>
                    <w:pStyle w:val="108"/>
                    <w:spacing w:line="276" w:lineRule="auto"/>
                    <w:jc w:val="center"/>
                    <w:rPr>
                      <w:color w:val="auto"/>
                      <w:sz w:val="21"/>
                      <w:szCs w:val="21"/>
                    </w:rPr>
                  </w:pPr>
                  <w:r>
                    <w:rPr>
                      <w:rFonts w:hint="eastAsia"/>
                      <w:bCs/>
                      <w:color w:val="auto"/>
                      <w:sz w:val="21"/>
                      <w:szCs w:val="21"/>
                    </w:rPr>
                    <w:t>暂存于危废暂存间，委托有资质单位定期收集处理处置</w:t>
                  </w:r>
                </w:p>
              </w:tc>
            </w:tr>
            <w:tr w14:paraId="2D92DE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 w:hRule="atLeast"/>
                <w:jc w:val="center"/>
              </w:trPr>
              <w:tc>
                <w:tcPr>
                  <w:tcW w:w="503" w:type="pct"/>
                  <w:vMerge w:val="continue"/>
                  <w:vAlign w:val="center"/>
                </w:tcPr>
                <w:p w14:paraId="3F522087">
                  <w:pPr>
                    <w:pStyle w:val="108"/>
                    <w:spacing w:line="276" w:lineRule="auto"/>
                    <w:jc w:val="center"/>
                    <w:rPr>
                      <w:color w:val="auto"/>
                      <w:sz w:val="21"/>
                      <w:szCs w:val="21"/>
                    </w:rPr>
                  </w:pPr>
                </w:p>
              </w:tc>
              <w:tc>
                <w:tcPr>
                  <w:tcW w:w="1655" w:type="pct"/>
                  <w:vAlign w:val="center"/>
                </w:tcPr>
                <w:p w14:paraId="3838DCE0">
                  <w:pPr>
                    <w:pStyle w:val="108"/>
                    <w:spacing w:line="276" w:lineRule="auto"/>
                    <w:jc w:val="center"/>
                    <w:rPr>
                      <w:color w:val="auto"/>
                      <w:sz w:val="21"/>
                      <w:szCs w:val="21"/>
                    </w:rPr>
                  </w:pPr>
                  <w:r>
                    <w:rPr>
                      <w:color w:val="auto"/>
                      <w:sz w:val="21"/>
                      <w:szCs w:val="21"/>
                    </w:rPr>
                    <w:t>生活垃圾</w:t>
                  </w:r>
                </w:p>
              </w:tc>
              <w:tc>
                <w:tcPr>
                  <w:tcW w:w="784" w:type="pct"/>
                  <w:vAlign w:val="center"/>
                </w:tcPr>
                <w:p w14:paraId="7A41E283">
                  <w:pPr>
                    <w:pStyle w:val="108"/>
                    <w:spacing w:line="276" w:lineRule="auto"/>
                    <w:jc w:val="center"/>
                    <w:rPr>
                      <w:color w:val="auto"/>
                      <w:sz w:val="21"/>
                      <w:szCs w:val="21"/>
                    </w:rPr>
                  </w:pPr>
                  <w:r>
                    <w:rPr>
                      <w:rFonts w:hint="eastAsia"/>
                      <w:color w:val="auto"/>
                      <w:sz w:val="21"/>
                      <w:szCs w:val="21"/>
                    </w:rPr>
                    <w:t>普通固废</w:t>
                  </w:r>
                </w:p>
              </w:tc>
              <w:tc>
                <w:tcPr>
                  <w:tcW w:w="2059" w:type="pct"/>
                  <w:vAlign w:val="center"/>
                </w:tcPr>
                <w:p w14:paraId="239FDB35">
                  <w:pPr>
                    <w:pStyle w:val="108"/>
                    <w:spacing w:line="276" w:lineRule="auto"/>
                    <w:jc w:val="center"/>
                    <w:rPr>
                      <w:color w:val="auto"/>
                      <w:sz w:val="21"/>
                      <w:szCs w:val="21"/>
                    </w:rPr>
                  </w:pPr>
                  <w:r>
                    <w:rPr>
                      <w:rFonts w:hint="eastAsia"/>
                      <w:color w:val="auto"/>
                      <w:sz w:val="21"/>
                      <w:szCs w:val="21"/>
                    </w:rPr>
                    <w:t>由环卫部门定期清运处理</w:t>
                  </w:r>
                </w:p>
              </w:tc>
            </w:tr>
          </w:tbl>
          <w:p w14:paraId="357B82D7">
            <w:pPr>
              <w:pStyle w:val="108"/>
              <w:spacing w:line="360" w:lineRule="auto"/>
              <w:ind w:firstLine="480" w:firstLineChars="200"/>
              <w:rPr>
                <w:color w:val="auto"/>
              </w:rPr>
            </w:pPr>
            <w:r>
              <w:rPr>
                <w:rFonts w:hint="eastAsia"/>
                <w:color w:val="auto"/>
              </w:rPr>
              <w:t>项目乙醇平衡详见下表和下图。</w:t>
            </w:r>
          </w:p>
          <w:p w14:paraId="4F38422C">
            <w:pPr>
              <w:pStyle w:val="108"/>
              <w:spacing w:line="360" w:lineRule="auto"/>
              <w:ind w:firstLine="480" w:firstLineChars="200"/>
              <w:rPr>
                <w:color w:val="auto"/>
              </w:rPr>
            </w:pPr>
          </w:p>
          <w:p w14:paraId="6C5AA136">
            <w:pPr>
              <w:pStyle w:val="108"/>
              <w:spacing w:line="360" w:lineRule="auto"/>
              <w:ind w:firstLine="480" w:firstLineChars="200"/>
              <w:rPr>
                <w:color w:val="auto"/>
              </w:rPr>
            </w:pPr>
          </w:p>
          <w:p w14:paraId="4A019A32">
            <w:pPr>
              <w:autoSpaceDE w:val="0"/>
              <w:autoSpaceDN w:val="0"/>
              <w:adjustRightInd w:val="0"/>
              <w:snapToGrid w:val="0"/>
              <w:jc w:val="center"/>
              <w:rPr>
                <w:rFonts w:eastAsia="黑体"/>
                <w:bCs/>
                <w:szCs w:val="21"/>
              </w:rPr>
            </w:pPr>
            <w:r>
              <w:rPr>
                <w:rFonts w:hint="eastAsia" w:hAnsi="黑体" w:eastAsia="黑体"/>
                <w:sz w:val="24"/>
                <w:szCs w:val="24"/>
              </w:rPr>
              <w:t>表22</w:t>
            </w:r>
            <w:r>
              <w:rPr>
                <w:rFonts w:hAnsi="黑体" w:eastAsia="黑体"/>
                <w:sz w:val="24"/>
                <w:szCs w:val="24"/>
              </w:rPr>
              <w:t xml:space="preserve">  </w:t>
            </w:r>
            <w:r>
              <w:rPr>
                <w:rFonts w:hint="eastAsia" w:hAnsi="黑体" w:eastAsia="黑体"/>
                <w:sz w:val="24"/>
                <w:szCs w:val="24"/>
              </w:rPr>
              <w:t>项目乙醇平衡表  单位：</w:t>
            </w:r>
            <w:r>
              <w:rPr>
                <w:rFonts w:hAnsi="黑体" w:eastAsia="黑体"/>
                <w:sz w:val="24"/>
                <w:szCs w:val="24"/>
              </w:rPr>
              <w:t>t/a</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72"/>
              <w:gridCol w:w="1842"/>
              <w:gridCol w:w="1843"/>
              <w:gridCol w:w="1276"/>
              <w:gridCol w:w="1513"/>
            </w:tblGrid>
            <w:tr w14:paraId="064C7D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15" w:type="dxa"/>
                  <w:gridSpan w:val="2"/>
                  <w:vAlign w:val="center"/>
                </w:tcPr>
                <w:p w14:paraId="538A8199">
                  <w:pPr>
                    <w:pStyle w:val="108"/>
                    <w:spacing w:line="276" w:lineRule="auto"/>
                    <w:jc w:val="center"/>
                    <w:rPr>
                      <w:b/>
                      <w:color w:val="auto"/>
                      <w:sz w:val="21"/>
                      <w:szCs w:val="21"/>
                    </w:rPr>
                  </w:pPr>
                  <w:r>
                    <w:rPr>
                      <w:b/>
                      <w:color w:val="auto"/>
                      <w:sz w:val="21"/>
                      <w:szCs w:val="21"/>
                    </w:rPr>
                    <w:t>投入</w:t>
                  </w:r>
                </w:p>
              </w:tc>
              <w:tc>
                <w:tcPr>
                  <w:tcW w:w="4632" w:type="dxa"/>
                  <w:gridSpan w:val="3"/>
                  <w:vAlign w:val="center"/>
                </w:tcPr>
                <w:p w14:paraId="0DA5A75A">
                  <w:pPr>
                    <w:pStyle w:val="108"/>
                    <w:spacing w:line="276" w:lineRule="auto"/>
                    <w:jc w:val="center"/>
                    <w:rPr>
                      <w:b/>
                      <w:color w:val="auto"/>
                      <w:sz w:val="21"/>
                      <w:szCs w:val="21"/>
                    </w:rPr>
                  </w:pPr>
                  <w:r>
                    <w:rPr>
                      <w:b/>
                      <w:color w:val="auto"/>
                      <w:sz w:val="21"/>
                      <w:szCs w:val="21"/>
                    </w:rPr>
                    <w:t>产出</w:t>
                  </w:r>
                </w:p>
              </w:tc>
            </w:tr>
            <w:tr w14:paraId="6D4B61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vAlign w:val="center"/>
                </w:tcPr>
                <w:p w14:paraId="36075CF7">
                  <w:pPr>
                    <w:pStyle w:val="108"/>
                    <w:spacing w:line="276" w:lineRule="auto"/>
                    <w:jc w:val="center"/>
                    <w:rPr>
                      <w:color w:val="auto"/>
                      <w:sz w:val="21"/>
                      <w:szCs w:val="21"/>
                    </w:rPr>
                  </w:pPr>
                  <w:r>
                    <w:rPr>
                      <w:color w:val="auto"/>
                      <w:sz w:val="21"/>
                      <w:szCs w:val="21"/>
                    </w:rPr>
                    <w:t>名称</w:t>
                  </w:r>
                </w:p>
              </w:tc>
              <w:tc>
                <w:tcPr>
                  <w:tcW w:w="1842" w:type="dxa"/>
                  <w:vAlign w:val="center"/>
                </w:tcPr>
                <w:p w14:paraId="4D56F92B">
                  <w:pPr>
                    <w:pStyle w:val="108"/>
                    <w:spacing w:line="276" w:lineRule="auto"/>
                    <w:jc w:val="center"/>
                    <w:rPr>
                      <w:color w:val="auto"/>
                      <w:sz w:val="21"/>
                      <w:szCs w:val="21"/>
                    </w:rPr>
                  </w:pPr>
                  <w:r>
                    <w:rPr>
                      <w:color w:val="auto"/>
                      <w:sz w:val="21"/>
                      <w:szCs w:val="21"/>
                    </w:rPr>
                    <w:t>数量（t）</w:t>
                  </w:r>
                </w:p>
              </w:tc>
              <w:tc>
                <w:tcPr>
                  <w:tcW w:w="3119" w:type="dxa"/>
                  <w:gridSpan w:val="2"/>
                  <w:vAlign w:val="center"/>
                </w:tcPr>
                <w:p w14:paraId="1B72950B">
                  <w:pPr>
                    <w:pStyle w:val="108"/>
                    <w:spacing w:line="276" w:lineRule="auto"/>
                    <w:jc w:val="center"/>
                    <w:rPr>
                      <w:color w:val="auto"/>
                      <w:sz w:val="21"/>
                      <w:szCs w:val="21"/>
                    </w:rPr>
                  </w:pPr>
                  <w:r>
                    <w:rPr>
                      <w:color w:val="auto"/>
                      <w:sz w:val="21"/>
                      <w:szCs w:val="21"/>
                    </w:rPr>
                    <w:t>名称</w:t>
                  </w:r>
                </w:p>
              </w:tc>
              <w:tc>
                <w:tcPr>
                  <w:tcW w:w="1513" w:type="dxa"/>
                  <w:vAlign w:val="center"/>
                </w:tcPr>
                <w:p w14:paraId="46498A6D">
                  <w:pPr>
                    <w:pStyle w:val="108"/>
                    <w:spacing w:line="276" w:lineRule="auto"/>
                    <w:jc w:val="center"/>
                    <w:rPr>
                      <w:color w:val="auto"/>
                      <w:sz w:val="21"/>
                      <w:szCs w:val="21"/>
                    </w:rPr>
                  </w:pPr>
                  <w:r>
                    <w:rPr>
                      <w:color w:val="auto"/>
                      <w:sz w:val="21"/>
                      <w:szCs w:val="21"/>
                    </w:rPr>
                    <w:t>数量（t）</w:t>
                  </w:r>
                </w:p>
              </w:tc>
            </w:tr>
            <w:tr w14:paraId="22A686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vMerge w:val="restart"/>
                  <w:vAlign w:val="center"/>
                </w:tcPr>
                <w:p w14:paraId="06F71225">
                  <w:pPr>
                    <w:pStyle w:val="108"/>
                    <w:spacing w:line="276" w:lineRule="auto"/>
                    <w:jc w:val="center"/>
                    <w:rPr>
                      <w:color w:val="auto"/>
                      <w:sz w:val="21"/>
                      <w:szCs w:val="21"/>
                    </w:rPr>
                  </w:pPr>
                  <w:r>
                    <w:rPr>
                      <w:color w:val="auto"/>
                      <w:sz w:val="21"/>
                      <w:szCs w:val="21"/>
                    </w:rPr>
                    <w:t>乙醇</w:t>
                  </w:r>
                </w:p>
              </w:tc>
              <w:tc>
                <w:tcPr>
                  <w:tcW w:w="1842" w:type="dxa"/>
                  <w:vMerge w:val="restart"/>
                  <w:vAlign w:val="center"/>
                </w:tcPr>
                <w:p w14:paraId="2B90BBDE">
                  <w:pPr>
                    <w:pStyle w:val="108"/>
                    <w:spacing w:line="276" w:lineRule="auto"/>
                    <w:jc w:val="center"/>
                    <w:rPr>
                      <w:color w:val="auto"/>
                      <w:sz w:val="21"/>
                      <w:szCs w:val="21"/>
                    </w:rPr>
                  </w:pPr>
                  <w:r>
                    <w:rPr>
                      <w:rFonts w:hint="eastAsia"/>
                      <w:color w:val="auto"/>
                      <w:sz w:val="21"/>
                      <w:szCs w:val="21"/>
                    </w:rPr>
                    <w:t>3.4</w:t>
                  </w:r>
                </w:p>
              </w:tc>
              <w:tc>
                <w:tcPr>
                  <w:tcW w:w="1843" w:type="dxa"/>
                  <w:vMerge w:val="restart"/>
                  <w:vAlign w:val="center"/>
                </w:tcPr>
                <w:p w14:paraId="4FB4E0A3">
                  <w:pPr>
                    <w:pStyle w:val="108"/>
                    <w:spacing w:line="276" w:lineRule="auto"/>
                    <w:jc w:val="center"/>
                    <w:rPr>
                      <w:color w:val="auto"/>
                      <w:sz w:val="21"/>
                      <w:szCs w:val="21"/>
                    </w:rPr>
                  </w:pPr>
                  <w:r>
                    <w:rPr>
                      <w:color w:val="auto"/>
                      <w:sz w:val="21"/>
                      <w:szCs w:val="21"/>
                    </w:rPr>
                    <w:t>清洗工序进入废气</w:t>
                  </w:r>
                  <w:r>
                    <w:rPr>
                      <w:rFonts w:hint="eastAsia"/>
                      <w:color w:val="auto"/>
                      <w:sz w:val="21"/>
                      <w:szCs w:val="21"/>
                    </w:rPr>
                    <w:t>（G</w:t>
                  </w:r>
                  <w:r>
                    <w:rPr>
                      <w:color w:val="auto"/>
                      <w:sz w:val="21"/>
                      <w:szCs w:val="21"/>
                      <w:vertAlign w:val="subscript"/>
                    </w:rPr>
                    <w:t>3</w:t>
                  </w:r>
                  <w:r>
                    <w:rPr>
                      <w:rFonts w:hint="eastAsia"/>
                      <w:color w:val="auto"/>
                      <w:sz w:val="21"/>
                      <w:szCs w:val="21"/>
                    </w:rPr>
                    <w:t>）</w:t>
                  </w:r>
                </w:p>
              </w:tc>
              <w:tc>
                <w:tcPr>
                  <w:tcW w:w="1276" w:type="dxa"/>
                  <w:vAlign w:val="center"/>
                </w:tcPr>
                <w:p w14:paraId="5EC651E0">
                  <w:pPr>
                    <w:pStyle w:val="108"/>
                    <w:spacing w:line="276" w:lineRule="auto"/>
                    <w:jc w:val="center"/>
                    <w:rPr>
                      <w:color w:val="auto"/>
                      <w:sz w:val="21"/>
                      <w:szCs w:val="21"/>
                    </w:rPr>
                  </w:pPr>
                  <w:r>
                    <w:rPr>
                      <w:color w:val="auto"/>
                      <w:sz w:val="21"/>
                      <w:szCs w:val="21"/>
                    </w:rPr>
                    <w:t>有组织排放</w:t>
                  </w:r>
                </w:p>
              </w:tc>
              <w:tc>
                <w:tcPr>
                  <w:tcW w:w="1513" w:type="dxa"/>
                  <w:vAlign w:val="center"/>
                </w:tcPr>
                <w:p w14:paraId="5AD5CCCD">
                  <w:pPr>
                    <w:pStyle w:val="108"/>
                    <w:spacing w:line="276" w:lineRule="auto"/>
                    <w:jc w:val="center"/>
                    <w:rPr>
                      <w:color w:val="auto"/>
                      <w:sz w:val="21"/>
                      <w:szCs w:val="21"/>
                    </w:rPr>
                  </w:pPr>
                  <w:r>
                    <w:rPr>
                      <w:rFonts w:hint="eastAsia"/>
                      <w:color w:val="auto"/>
                      <w:sz w:val="21"/>
                      <w:szCs w:val="21"/>
                    </w:rPr>
                    <w:t>0.0306</w:t>
                  </w:r>
                </w:p>
              </w:tc>
            </w:tr>
            <w:tr w14:paraId="260B0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vMerge w:val="continue"/>
                  <w:vAlign w:val="center"/>
                </w:tcPr>
                <w:p w14:paraId="3F5B5647">
                  <w:pPr>
                    <w:pStyle w:val="108"/>
                    <w:spacing w:line="276" w:lineRule="auto"/>
                    <w:jc w:val="center"/>
                    <w:rPr>
                      <w:color w:val="auto"/>
                      <w:sz w:val="21"/>
                      <w:szCs w:val="21"/>
                    </w:rPr>
                  </w:pPr>
                </w:p>
              </w:tc>
              <w:tc>
                <w:tcPr>
                  <w:tcW w:w="1842" w:type="dxa"/>
                  <w:vMerge w:val="continue"/>
                  <w:vAlign w:val="center"/>
                </w:tcPr>
                <w:p w14:paraId="4EF63602">
                  <w:pPr>
                    <w:pStyle w:val="108"/>
                    <w:spacing w:line="276" w:lineRule="auto"/>
                    <w:jc w:val="center"/>
                    <w:rPr>
                      <w:color w:val="auto"/>
                      <w:sz w:val="21"/>
                      <w:szCs w:val="21"/>
                    </w:rPr>
                  </w:pPr>
                </w:p>
              </w:tc>
              <w:tc>
                <w:tcPr>
                  <w:tcW w:w="1843" w:type="dxa"/>
                  <w:vMerge w:val="continue"/>
                  <w:vAlign w:val="center"/>
                </w:tcPr>
                <w:p w14:paraId="46AD01F1">
                  <w:pPr>
                    <w:pStyle w:val="108"/>
                    <w:spacing w:line="276" w:lineRule="auto"/>
                    <w:jc w:val="center"/>
                    <w:rPr>
                      <w:color w:val="auto"/>
                      <w:sz w:val="21"/>
                      <w:szCs w:val="21"/>
                    </w:rPr>
                  </w:pPr>
                </w:p>
              </w:tc>
              <w:tc>
                <w:tcPr>
                  <w:tcW w:w="1276" w:type="dxa"/>
                  <w:vAlign w:val="center"/>
                </w:tcPr>
                <w:p w14:paraId="3A136BAC">
                  <w:pPr>
                    <w:pStyle w:val="108"/>
                    <w:spacing w:line="276" w:lineRule="auto"/>
                    <w:jc w:val="center"/>
                    <w:rPr>
                      <w:color w:val="auto"/>
                      <w:sz w:val="21"/>
                      <w:szCs w:val="21"/>
                    </w:rPr>
                  </w:pPr>
                  <w:r>
                    <w:rPr>
                      <w:color w:val="auto"/>
                      <w:sz w:val="21"/>
                      <w:szCs w:val="21"/>
                    </w:rPr>
                    <w:t>无组织排放</w:t>
                  </w:r>
                </w:p>
              </w:tc>
              <w:tc>
                <w:tcPr>
                  <w:tcW w:w="1513" w:type="dxa"/>
                  <w:vAlign w:val="center"/>
                </w:tcPr>
                <w:p w14:paraId="69A9FE15">
                  <w:pPr>
                    <w:pStyle w:val="108"/>
                    <w:spacing w:line="276" w:lineRule="auto"/>
                    <w:jc w:val="center"/>
                    <w:rPr>
                      <w:color w:val="auto"/>
                      <w:sz w:val="21"/>
                      <w:szCs w:val="21"/>
                    </w:rPr>
                  </w:pPr>
                  <w:r>
                    <w:rPr>
                      <w:rFonts w:hint="eastAsia"/>
                      <w:color w:val="auto"/>
                      <w:sz w:val="21"/>
                      <w:szCs w:val="21"/>
                    </w:rPr>
                    <w:t>0.034</w:t>
                  </w:r>
                </w:p>
              </w:tc>
            </w:tr>
            <w:tr w14:paraId="34515F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2" w:hRule="atLeast"/>
                <w:jc w:val="center"/>
              </w:trPr>
              <w:tc>
                <w:tcPr>
                  <w:tcW w:w="1673" w:type="dxa"/>
                  <w:vMerge w:val="continue"/>
                  <w:vAlign w:val="center"/>
                </w:tcPr>
                <w:p w14:paraId="59249896">
                  <w:pPr>
                    <w:pStyle w:val="108"/>
                    <w:spacing w:line="276" w:lineRule="auto"/>
                    <w:jc w:val="center"/>
                    <w:rPr>
                      <w:color w:val="auto"/>
                      <w:sz w:val="21"/>
                      <w:szCs w:val="21"/>
                    </w:rPr>
                  </w:pPr>
                </w:p>
              </w:tc>
              <w:tc>
                <w:tcPr>
                  <w:tcW w:w="1842" w:type="dxa"/>
                  <w:vMerge w:val="continue"/>
                  <w:vAlign w:val="center"/>
                </w:tcPr>
                <w:p w14:paraId="5F0862C7">
                  <w:pPr>
                    <w:pStyle w:val="108"/>
                    <w:spacing w:line="276" w:lineRule="auto"/>
                    <w:jc w:val="center"/>
                    <w:rPr>
                      <w:color w:val="auto"/>
                      <w:sz w:val="21"/>
                      <w:szCs w:val="21"/>
                    </w:rPr>
                  </w:pPr>
                </w:p>
              </w:tc>
              <w:tc>
                <w:tcPr>
                  <w:tcW w:w="1843" w:type="dxa"/>
                  <w:vMerge w:val="restart"/>
                  <w:vAlign w:val="center"/>
                </w:tcPr>
                <w:p w14:paraId="4E35D5D5">
                  <w:pPr>
                    <w:pStyle w:val="108"/>
                    <w:spacing w:line="276" w:lineRule="auto"/>
                    <w:jc w:val="center"/>
                    <w:rPr>
                      <w:color w:val="auto"/>
                      <w:sz w:val="21"/>
                      <w:szCs w:val="21"/>
                    </w:rPr>
                  </w:pPr>
                  <w:r>
                    <w:rPr>
                      <w:color w:val="auto"/>
                      <w:sz w:val="21"/>
                      <w:szCs w:val="21"/>
                    </w:rPr>
                    <w:t>组合管离心工序进入废气</w:t>
                  </w:r>
                  <w:r>
                    <w:rPr>
                      <w:rFonts w:hint="eastAsia"/>
                      <w:color w:val="auto"/>
                      <w:sz w:val="21"/>
                      <w:szCs w:val="21"/>
                    </w:rPr>
                    <w:t>（G</w:t>
                  </w:r>
                  <w:r>
                    <w:rPr>
                      <w:color w:val="auto"/>
                      <w:sz w:val="21"/>
                      <w:szCs w:val="21"/>
                      <w:vertAlign w:val="subscript"/>
                    </w:rPr>
                    <w:t>4</w:t>
                  </w:r>
                  <w:r>
                    <w:rPr>
                      <w:rFonts w:hint="eastAsia"/>
                      <w:color w:val="auto"/>
                      <w:sz w:val="21"/>
                      <w:szCs w:val="21"/>
                    </w:rPr>
                    <w:t>）</w:t>
                  </w:r>
                </w:p>
              </w:tc>
              <w:tc>
                <w:tcPr>
                  <w:tcW w:w="1276" w:type="dxa"/>
                  <w:vAlign w:val="center"/>
                </w:tcPr>
                <w:p w14:paraId="2369FA46">
                  <w:pPr>
                    <w:pStyle w:val="108"/>
                    <w:spacing w:line="276" w:lineRule="auto"/>
                    <w:jc w:val="center"/>
                    <w:rPr>
                      <w:color w:val="auto"/>
                      <w:sz w:val="21"/>
                      <w:szCs w:val="21"/>
                    </w:rPr>
                  </w:pPr>
                  <w:r>
                    <w:rPr>
                      <w:color w:val="auto"/>
                      <w:sz w:val="21"/>
                      <w:szCs w:val="21"/>
                    </w:rPr>
                    <w:t>有组织排放</w:t>
                  </w:r>
                </w:p>
              </w:tc>
              <w:tc>
                <w:tcPr>
                  <w:tcW w:w="1513" w:type="dxa"/>
                  <w:vAlign w:val="center"/>
                </w:tcPr>
                <w:p w14:paraId="0077F823">
                  <w:pPr>
                    <w:pStyle w:val="108"/>
                    <w:spacing w:line="276" w:lineRule="auto"/>
                    <w:jc w:val="center"/>
                    <w:rPr>
                      <w:color w:val="auto"/>
                      <w:sz w:val="21"/>
                      <w:szCs w:val="21"/>
                    </w:rPr>
                  </w:pPr>
                  <w:r>
                    <w:rPr>
                      <w:rFonts w:hint="eastAsia"/>
                      <w:color w:val="auto"/>
                      <w:sz w:val="21"/>
                      <w:szCs w:val="21"/>
                    </w:rPr>
                    <w:t>0.0015</w:t>
                  </w:r>
                </w:p>
              </w:tc>
            </w:tr>
            <w:tr w14:paraId="1A2610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vMerge w:val="continue"/>
                  <w:vAlign w:val="center"/>
                </w:tcPr>
                <w:p w14:paraId="28CED031">
                  <w:pPr>
                    <w:pStyle w:val="108"/>
                    <w:spacing w:line="276" w:lineRule="auto"/>
                    <w:jc w:val="center"/>
                    <w:rPr>
                      <w:color w:val="auto"/>
                      <w:sz w:val="21"/>
                      <w:szCs w:val="21"/>
                    </w:rPr>
                  </w:pPr>
                </w:p>
              </w:tc>
              <w:tc>
                <w:tcPr>
                  <w:tcW w:w="1842" w:type="dxa"/>
                  <w:vMerge w:val="continue"/>
                  <w:vAlign w:val="center"/>
                </w:tcPr>
                <w:p w14:paraId="7D969A64">
                  <w:pPr>
                    <w:pStyle w:val="108"/>
                    <w:spacing w:line="276" w:lineRule="auto"/>
                    <w:jc w:val="center"/>
                    <w:rPr>
                      <w:color w:val="auto"/>
                      <w:sz w:val="21"/>
                      <w:szCs w:val="21"/>
                    </w:rPr>
                  </w:pPr>
                </w:p>
              </w:tc>
              <w:tc>
                <w:tcPr>
                  <w:tcW w:w="1843" w:type="dxa"/>
                  <w:vMerge w:val="continue"/>
                  <w:vAlign w:val="center"/>
                </w:tcPr>
                <w:p w14:paraId="282CBFC2">
                  <w:pPr>
                    <w:pStyle w:val="108"/>
                    <w:spacing w:line="276" w:lineRule="auto"/>
                    <w:jc w:val="center"/>
                    <w:rPr>
                      <w:color w:val="auto"/>
                      <w:sz w:val="21"/>
                      <w:szCs w:val="21"/>
                    </w:rPr>
                  </w:pPr>
                </w:p>
              </w:tc>
              <w:tc>
                <w:tcPr>
                  <w:tcW w:w="1276" w:type="dxa"/>
                  <w:vAlign w:val="center"/>
                </w:tcPr>
                <w:p w14:paraId="55954BBB">
                  <w:pPr>
                    <w:pStyle w:val="108"/>
                    <w:spacing w:line="276" w:lineRule="auto"/>
                    <w:jc w:val="center"/>
                    <w:rPr>
                      <w:color w:val="auto"/>
                      <w:sz w:val="21"/>
                      <w:szCs w:val="21"/>
                    </w:rPr>
                  </w:pPr>
                  <w:r>
                    <w:rPr>
                      <w:color w:val="auto"/>
                      <w:sz w:val="21"/>
                      <w:szCs w:val="21"/>
                    </w:rPr>
                    <w:t>无组织排放</w:t>
                  </w:r>
                </w:p>
              </w:tc>
              <w:tc>
                <w:tcPr>
                  <w:tcW w:w="1513" w:type="dxa"/>
                  <w:vAlign w:val="center"/>
                </w:tcPr>
                <w:p w14:paraId="5E96D0DE">
                  <w:pPr>
                    <w:pStyle w:val="108"/>
                    <w:spacing w:line="276" w:lineRule="auto"/>
                    <w:jc w:val="center"/>
                    <w:rPr>
                      <w:color w:val="auto"/>
                      <w:sz w:val="21"/>
                      <w:szCs w:val="21"/>
                    </w:rPr>
                  </w:pPr>
                  <w:r>
                    <w:rPr>
                      <w:rFonts w:hint="eastAsia"/>
                      <w:color w:val="auto"/>
                      <w:sz w:val="21"/>
                      <w:szCs w:val="21"/>
                    </w:rPr>
                    <w:t>0.0017</w:t>
                  </w:r>
                </w:p>
              </w:tc>
            </w:tr>
            <w:tr w14:paraId="2FC08B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vMerge w:val="continue"/>
                  <w:vAlign w:val="center"/>
                </w:tcPr>
                <w:p w14:paraId="6C82C9B6">
                  <w:pPr>
                    <w:pStyle w:val="108"/>
                    <w:spacing w:line="276" w:lineRule="auto"/>
                    <w:jc w:val="center"/>
                    <w:rPr>
                      <w:color w:val="auto"/>
                      <w:sz w:val="21"/>
                      <w:szCs w:val="21"/>
                    </w:rPr>
                  </w:pPr>
                </w:p>
              </w:tc>
              <w:tc>
                <w:tcPr>
                  <w:tcW w:w="1842" w:type="dxa"/>
                  <w:vMerge w:val="continue"/>
                  <w:vAlign w:val="center"/>
                </w:tcPr>
                <w:p w14:paraId="21978247">
                  <w:pPr>
                    <w:pStyle w:val="108"/>
                    <w:spacing w:line="276" w:lineRule="auto"/>
                    <w:jc w:val="center"/>
                    <w:rPr>
                      <w:color w:val="auto"/>
                      <w:sz w:val="21"/>
                      <w:szCs w:val="21"/>
                    </w:rPr>
                  </w:pPr>
                </w:p>
              </w:tc>
              <w:tc>
                <w:tcPr>
                  <w:tcW w:w="1843" w:type="dxa"/>
                  <w:vMerge w:val="restart"/>
                  <w:vAlign w:val="center"/>
                </w:tcPr>
                <w:p w14:paraId="08B6D2B9">
                  <w:pPr>
                    <w:pStyle w:val="108"/>
                    <w:spacing w:line="276" w:lineRule="auto"/>
                    <w:jc w:val="center"/>
                    <w:rPr>
                      <w:color w:val="auto"/>
                      <w:sz w:val="21"/>
                      <w:szCs w:val="21"/>
                    </w:rPr>
                  </w:pPr>
                  <w:r>
                    <w:rPr>
                      <w:color w:val="auto"/>
                      <w:sz w:val="21"/>
                      <w:szCs w:val="21"/>
                    </w:rPr>
                    <w:t>进入固废</w:t>
                  </w:r>
                  <w:r>
                    <w:rPr>
                      <w:rFonts w:hint="eastAsia"/>
                      <w:color w:val="auto"/>
                      <w:sz w:val="21"/>
                      <w:szCs w:val="21"/>
                    </w:rPr>
                    <w:t>（S</w:t>
                  </w:r>
                  <w:r>
                    <w:rPr>
                      <w:color w:val="auto"/>
                      <w:sz w:val="21"/>
                      <w:szCs w:val="21"/>
                      <w:vertAlign w:val="subscript"/>
                    </w:rPr>
                    <w:t>3</w:t>
                  </w:r>
                  <w:r>
                    <w:rPr>
                      <w:rFonts w:hint="eastAsia"/>
                      <w:color w:val="auto"/>
                      <w:sz w:val="21"/>
                      <w:szCs w:val="21"/>
                    </w:rPr>
                    <w:t>、S</w:t>
                  </w:r>
                  <w:r>
                    <w:rPr>
                      <w:color w:val="auto"/>
                      <w:sz w:val="21"/>
                      <w:szCs w:val="21"/>
                      <w:vertAlign w:val="subscript"/>
                    </w:rPr>
                    <w:t>4</w:t>
                  </w:r>
                  <w:r>
                    <w:rPr>
                      <w:rFonts w:hint="eastAsia"/>
                      <w:color w:val="auto"/>
                      <w:sz w:val="21"/>
                      <w:szCs w:val="21"/>
                    </w:rPr>
                    <w:t>、S</w:t>
                  </w:r>
                  <w:r>
                    <w:rPr>
                      <w:color w:val="auto"/>
                      <w:sz w:val="21"/>
                      <w:szCs w:val="21"/>
                      <w:vertAlign w:val="subscript"/>
                    </w:rPr>
                    <w:t>6</w:t>
                  </w:r>
                  <w:r>
                    <w:rPr>
                      <w:rFonts w:hint="eastAsia"/>
                      <w:color w:val="auto"/>
                      <w:sz w:val="21"/>
                      <w:szCs w:val="21"/>
                    </w:rPr>
                    <w:t>、S</w:t>
                  </w:r>
                  <w:r>
                    <w:rPr>
                      <w:color w:val="auto"/>
                      <w:sz w:val="21"/>
                      <w:szCs w:val="21"/>
                      <w:vertAlign w:val="subscript"/>
                    </w:rPr>
                    <w:t>7</w:t>
                  </w:r>
                  <w:r>
                    <w:rPr>
                      <w:rFonts w:hint="eastAsia"/>
                      <w:color w:val="auto"/>
                      <w:sz w:val="21"/>
                      <w:szCs w:val="21"/>
                    </w:rPr>
                    <w:t>）</w:t>
                  </w:r>
                </w:p>
              </w:tc>
              <w:tc>
                <w:tcPr>
                  <w:tcW w:w="1276" w:type="dxa"/>
                  <w:vAlign w:val="center"/>
                </w:tcPr>
                <w:p w14:paraId="7189E873">
                  <w:pPr>
                    <w:pStyle w:val="108"/>
                    <w:spacing w:line="276" w:lineRule="auto"/>
                    <w:jc w:val="center"/>
                    <w:rPr>
                      <w:color w:val="auto"/>
                      <w:sz w:val="21"/>
                      <w:szCs w:val="21"/>
                    </w:rPr>
                  </w:pPr>
                  <w:r>
                    <w:rPr>
                      <w:color w:val="auto"/>
                      <w:sz w:val="21"/>
                      <w:szCs w:val="21"/>
                    </w:rPr>
                    <w:t>离心废液</w:t>
                  </w:r>
                </w:p>
              </w:tc>
              <w:tc>
                <w:tcPr>
                  <w:tcW w:w="1513" w:type="dxa"/>
                  <w:vAlign w:val="center"/>
                </w:tcPr>
                <w:p w14:paraId="2526FAA6">
                  <w:pPr>
                    <w:pStyle w:val="108"/>
                    <w:spacing w:line="276" w:lineRule="auto"/>
                    <w:jc w:val="center"/>
                    <w:rPr>
                      <w:color w:val="auto"/>
                      <w:sz w:val="21"/>
                      <w:szCs w:val="21"/>
                    </w:rPr>
                  </w:pPr>
                  <w:r>
                    <w:rPr>
                      <w:rFonts w:hint="eastAsia"/>
                      <w:color w:val="auto"/>
                      <w:sz w:val="21"/>
                      <w:szCs w:val="21"/>
                    </w:rPr>
                    <w:t>0.153</w:t>
                  </w:r>
                </w:p>
              </w:tc>
            </w:tr>
            <w:tr w14:paraId="6E3B5A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vMerge w:val="continue"/>
                  <w:vAlign w:val="center"/>
                </w:tcPr>
                <w:p w14:paraId="5B4B4625">
                  <w:pPr>
                    <w:pStyle w:val="108"/>
                    <w:spacing w:line="276" w:lineRule="auto"/>
                    <w:jc w:val="center"/>
                    <w:rPr>
                      <w:color w:val="auto"/>
                      <w:sz w:val="21"/>
                      <w:szCs w:val="21"/>
                    </w:rPr>
                  </w:pPr>
                </w:p>
              </w:tc>
              <w:tc>
                <w:tcPr>
                  <w:tcW w:w="1842" w:type="dxa"/>
                  <w:vMerge w:val="continue"/>
                  <w:vAlign w:val="center"/>
                </w:tcPr>
                <w:p w14:paraId="03D2AA20">
                  <w:pPr>
                    <w:pStyle w:val="108"/>
                    <w:spacing w:line="276" w:lineRule="auto"/>
                    <w:jc w:val="center"/>
                    <w:rPr>
                      <w:color w:val="auto"/>
                      <w:sz w:val="21"/>
                      <w:szCs w:val="21"/>
                    </w:rPr>
                  </w:pPr>
                </w:p>
              </w:tc>
              <w:tc>
                <w:tcPr>
                  <w:tcW w:w="1843" w:type="dxa"/>
                  <w:vMerge w:val="continue"/>
                  <w:vAlign w:val="center"/>
                </w:tcPr>
                <w:p w14:paraId="3D60A966">
                  <w:pPr>
                    <w:pStyle w:val="108"/>
                    <w:spacing w:line="276" w:lineRule="auto"/>
                    <w:jc w:val="center"/>
                    <w:rPr>
                      <w:color w:val="auto"/>
                      <w:sz w:val="21"/>
                      <w:szCs w:val="21"/>
                    </w:rPr>
                  </w:pPr>
                </w:p>
              </w:tc>
              <w:tc>
                <w:tcPr>
                  <w:tcW w:w="1276" w:type="dxa"/>
                  <w:vAlign w:val="center"/>
                </w:tcPr>
                <w:p w14:paraId="4381595A">
                  <w:pPr>
                    <w:pStyle w:val="108"/>
                    <w:spacing w:line="276" w:lineRule="auto"/>
                    <w:jc w:val="center"/>
                    <w:rPr>
                      <w:color w:val="auto"/>
                      <w:sz w:val="21"/>
                      <w:szCs w:val="21"/>
                    </w:rPr>
                  </w:pPr>
                  <w:r>
                    <w:rPr>
                      <w:color w:val="auto"/>
                      <w:sz w:val="21"/>
                      <w:szCs w:val="21"/>
                    </w:rPr>
                    <w:t>清洗废液</w:t>
                  </w:r>
                </w:p>
              </w:tc>
              <w:tc>
                <w:tcPr>
                  <w:tcW w:w="1513" w:type="dxa"/>
                  <w:vAlign w:val="center"/>
                </w:tcPr>
                <w:p w14:paraId="0BA92758">
                  <w:pPr>
                    <w:pStyle w:val="108"/>
                    <w:spacing w:line="276" w:lineRule="auto"/>
                    <w:jc w:val="center"/>
                    <w:rPr>
                      <w:color w:val="auto"/>
                      <w:sz w:val="21"/>
                      <w:szCs w:val="21"/>
                    </w:rPr>
                  </w:pPr>
                  <w:r>
                    <w:rPr>
                      <w:rFonts w:hint="eastAsia"/>
                      <w:color w:val="auto"/>
                      <w:sz w:val="21"/>
                      <w:szCs w:val="21"/>
                    </w:rPr>
                    <w:t>2.89</w:t>
                  </w:r>
                </w:p>
              </w:tc>
            </w:tr>
            <w:tr w14:paraId="16F1A9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vMerge w:val="continue"/>
                  <w:vAlign w:val="center"/>
                </w:tcPr>
                <w:p w14:paraId="0F75546A">
                  <w:pPr>
                    <w:pStyle w:val="108"/>
                    <w:spacing w:line="276" w:lineRule="auto"/>
                    <w:jc w:val="center"/>
                    <w:rPr>
                      <w:color w:val="auto"/>
                      <w:sz w:val="21"/>
                      <w:szCs w:val="21"/>
                    </w:rPr>
                  </w:pPr>
                </w:p>
              </w:tc>
              <w:tc>
                <w:tcPr>
                  <w:tcW w:w="1842" w:type="dxa"/>
                  <w:vMerge w:val="continue"/>
                  <w:vAlign w:val="center"/>
                </w:tcPr>
                <w:p w14:paraId="3E4EA766">
                  <w:pPr>
                    <w:pStyle w:val="108"/>
                    <w:spacing w:line="276" w:lineRule="auto"/>
                    <w:jc w:val="center"/>
                    <w:rPr>
                      <w:color w:val="auto"/>
                      <w:sz w:val="21"/>
                      <w:szCs w:val="21"/>
                    </w:rPr>
                  </w:pPr>
                </w:p>
              </w:tc>
              <w:tc>
                <w:tcPr>
                  <w:tcW w:w="3119" w:type="dxa"/>
                  <w:gridSpan w:val="2"/>
                  <w:vAlign w:val="center"/>
                </w:tcPr>
                <w:p w14:paraId="4023792A">
                  <w:pPr>
                    <w:pStyle w:val="108"/>
                    <w:spacing w:line="276" w:lineRule="auto"/>
                    <w:jc w:val="center"/>
                    <w:rPr>
                      <w:color w:val="auto"/>
                      <w:sz w:val="21"/>
                      <w:szCs w:val="21"/>
                    </w:rPr>
                  </w:pPr>
                  <w:r>
                    <w:rPr>
                      <w:color w:val="auto"/>
                      <w:sz w:val="21"/>
                      <w:szCs w:val="21"/>
                    </w:rPr>
                    <w:t>活性炭吸附</w:t>
                  </w:r>
                </w:p>
              </w:tc>
              <w:tc>
                <w:tcPr>
                  <w:tcW w:w="1513" w:type="dxa"/>
                  <w:vAlign w:val="center"/>
                </w:tcPr>
                <w:p w14:paraId="53941DC2">
                  <w:pPr>
                    <w:pStyle w:val="108"/>
                    <w:spacing w:line="276" w:lineRule="auto"/>
                    <w:jc w:val="center"/>
                    <w:rPr>
                      <w:color w:val="auto"/>
                      <w:sz w:val="21"/>
                      <w:szCs w:val="21"/>
                    </w:rPr>
                  </w:pPr>
                  <w:r>
                    <w:rPr>
                      <w:rFonts w:hint="eastAsia"/>
                      <w:color w:val="auto"/>
                      <w:sz w:val="21"/>
                      <w:szCs w:val="21"/>
                    </w:rPr>
                    <w:t>0.289</w:t>
                  </w:r>
                </w:p>
              </w:tc>
            </w:tr>
            <w:tr w14:paraId="7A72CE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vAlign w:val="center"/>
                </w:tcPr>
                <w:p w14:paraId="75DB3CEB">
                  <w:pPr>
                    <w:pStyle w:val="108"/>
                    <w:spacing w:line="276" w:lineRule="auto"/>
                    <w:jc w:val="center"/>
                    <w:rPr>
                      <w:color w:val="auto"/>
                      <w:sz w:val="21"/>
                      <w:szCs w:val="21"/>
                    </w:rPr>
                  </w:pPr>
                  <w:r>
                    <w:rPr>
                      <w:color w:val="auto"/>
                      <w:sz w:val="21"/>
                      <w:szCs w:val="21"/>
                    </w:rPr>
                    <w:t>合计</w:t>
                  </w:r>
                </w:p>
              </w:tc>
              <w:tc>
                <w:tcPr>
                  <w:tcW w:w="1842" w:type="dxa"/>
                  <w:vAlign w:val="center"/>
                </w:tcPr>
                <w:p w14:paraId="31C070BE">
                  <w:pPr>
                    <w:pStyle w:val="108"/>
                    <w:spacing w:line="276" w:lineRule="auto"/>
                    <w:jc w:val="center"/>
                    <w:rPr>
                      <w:color w:val="auto"/>
                      <w:sz w:val="21"/>
                      <w:szCs w:val="21"/>
                    </w:rPr>
                  </w:pPr>
                  <w:r>
                    <w:rPr>
                      <w:rFonts w:hint="eastAsia"/>
                      <w:color w:val="auto"/>
                      <w:sz w:val="21"/>
                      <w:szCs w:val="21"/>
                    </w:rPr>
                    <w:t>3.4</w:t>
                  </w:r>
                </w:p>
              </w:tc>
              <w:tc>
                <w:tcPr>
                  <w:tcW w:w="3119" w:type="dxa"/>
                  <w:gridSpan w:val="2"/>
                  <w:vAlign w:val="center"/>
                </w:tcPr>
                <w:p w14:paraId="57808242">
                  <w:pPr>
                    <w:pStyle w:val="108"/>
                    <w:spacing w:line="276" w:lineRule="auto"/>
                    <w:jc w:val="center"/>
                    <w:rPr>
                      <w:color w:val="auto"/>
                      <w:sz w:val="21"/>
                      <w:szCs w:val="21"/>
                    </w:rPr>
                  </w:pPr>
                  <w:r>
                    <w:rPr>
                      <w:color w:val="auto"/>
                      <w:sz w:val="21"/>
                      <w:szCs w:val="21"/>
                    </w:rPr>
                    <w:t>合计</w:t>
                  </w:r>
                </w:p>
              </w:tc>
              <w:tc>
                <w:tcPr>
                  <w:tcW w:w="1513" w:type="dxa"/>
                  <w:vAlign w:val="center"/>
                </w:tcPr>
                <w:p w14:paraId="3A41E67D">
                  <w:pPr>
                    <w:pStyle w:val="108"/>
                    <w:spacing w:line="276" w:lineRule="auto"/>
                    <w:jc w:val="center"/>
                    <w:rPr>
                      <w:color w:val="auto"/>
                      <w:sz w:val="21"/>
                      <w:szCs w:val="21"/>
                    </w:rPr>
                  </w:pPr>
                  <w:r>
                    <w:rPr>
                      <w:rFonts w:hint="eastAsia"/>
                      <w:color w:val="auto"/>
                      <w:sz w:val="21"/>
                      <w:szCs w:val="21"/>
                    </w:rPr>
                    <w:t>3.4</w:t>
                  </w:r>
                </w:p>
              </w:tc>
            </w:tr>
          </w:tbl>
          <w:p w14:paraId="05676314">
            <w:pPr>
              <w:pStyle w:val="108"/>
              <w:spacing w:line="360" w:lineRule="auto"/>
              <w:rPr>
                <w:color w:val="auto"/>
              </w:rPr>
            </w:pPr>
          </w:p>
        </w:tc>
      </w:tr>
    </w:tbl>
    <w:p w14:paraId="70D9FEBD">
      <w:pPr>
        <w:widowControl/>
        <w:spacing w:line="360" w:lineRule="auto"/>
        <w:jc w:val="center"/>
        <w:rPr>
          <w:rFonts w:hAnsi="宋体"/>
          <w:kern w:val="0"/>
          <w:sz w:val="24"/>
        </w:rPr>
        <w:sectPr>
          <w:pgSz w:w="11906" w:h="16838"/>
          <w:pgMar w:top="1440" w:right="1508" w:bottom="1440" w:left="1797" w:header="851" w:footer="992" w:gutter="0"/>
          <w:cols w:space="720" w:num="1"/>
          <w:docGrid w:type="lines" w:linePitch="312" w:charSpace="0"/>
        </w:sectPr>
      </w:pPr>
    </w:p>
    <w:tbl>
      <w:tblPr>
        <w:tblStyle w:val="34"/>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91"/>
        <w:gridCol w:w="13783"/>
      </w:tblGrid>
      <w:tr w14:paraId="41987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55" w:hRule="atLeast"/>
        </w:trPr>
        <w:tc>
          <w:tcPr>
            <w:tcW w:w="138" w:type="pct"/>
            <w:vAlign w:val="center"/>
          </w:tcPr>
          <w:p w14:paraId="10B0FEB5">
            <w:pPr>
              <w:widowControl/>
              <w:spacing w:line="360" w:lineRule="auto"/>
              <w:jc w:val="center"/>
              <w:rPr>
                <w:rFonts w:hAnsi="宋体"/>
                <w:kern w:val="0"/>
                <w:sz w:val="24"/>
              </w:rPr>
            </w:pPr>
            <w:r>
              <w:rPr>
                <w:rFonts w:hAnsi="宋体"/>
                <w:kern w:val="0"/>
                <w:sz w:val="24"/>
              </w:rPr>
              <w:t>工艺流程和产污环节</w:t>
            </w:r>
          </w:p>
        </w:tc>
        <w:tc>
          <w:tcPr>
            <w:tcW w:w="4862" w:type="pct"/>
          </w:tcPr>
          <w:p w14:paraId="0411C980">
            <w:pPr>
              <w:spacing w:line="360" w:lineRule="auto"/>
              <w:jc w:val="center"/>
              <w:rPr>
                <w:rFonts w:hAnsi="黑体" w:eastAsia="黑体"/>
                <w:sz w:val="24"/>
              </w:rPr>
            </w:pPr>
            <w:r>
              <w:rPr>
                <w:rFonts w:hAnsi="黑体" w:eastAsia="黑体"/>
                <w:sz w:val="24"/>
              </w:rPr>
              <w:pict>
                <v:group id="_x0000_s7604" o:spid="_x0000_s7604" o:spt="203" style="height:384.6pt;width:534.2pt;" coordorigin="3273,1864" coordsize="10684,7692" editas="canvas">
                  <o:lock v:ext="edit"/>
                  <v:shape id="_x0000_s7603" o:spid="_x0000_s7603" o:spt="75" type="#_x0000_t75" style="position:absolute;left:3273;top:1864;height:7692;width:10684;" filled="f" o:preferrelative="f" stroked="f" coordsize="21600,21600">
                    <v:path/>
                    <v:fill on="f" focussize="0,0"/>
                    <v:stroke on="f" joinstyle="miter"/>
                    <v:imagedata o:title=""/>
                    <o:lock v:ext="edit" text="t" aspectratio="t"/>
                  </v:shape>
                  <v:shape id="_x0000_s7605" o:spid="_x0000_s7605" o:spt="202" type="#_x0000_t202" style="position:absolute;left:3614;top:5228;height:800;width:1698;" coordsize="21600,21600">
                    <v:path/>
                    <v:fill focussize="0,0"/>
                    <v:stroke joinstyle="miter"/>
                    <v:imagedata o:title=""/>
                    <o:lock v:ext="edit"/>
                    <v:textbox>
                      <w:txbxContent>
                        <w:p w14:paraId="3F4F11BB">
                          <w:pPr>
                            <w:jc w:val="center"/>
                            <w:rPr>
                              <w:szCs w:val="21"/>
                            </w:rPr>
                          </w:pPr>
                          <w:r>
                            <w:rPr>
                              <w:szCs w:val="21"/>
                            </w:rPr>
                            <w:t>乙醇（</w:t>
                          </w:r>
                          <w:r>
                            <w:rPr>
                              <w:rFonts w:hint="eastAsia"/>
                              <w:szCs w:val="21"/>
                            </w:rPr>
                            <w:t>100%</w:t>
                          </w:r>
                          <w:r>
                            <w:rPr>
                              <w:szCs w:val="21"/>
                            </w:rPr>
                            <w:t>）：</w:t>
                          </w:r>
                        </w:p>
                        <w:p w14:paraId="2AC4F723">
                          <w:pPr>
                            <w:jc w:val="center"/>
                            <w:rPr>
                              <w:szCs w:val="21"/>
                            </w:rPr>
                          </w:pPr>
                          <w:r>
                            <w:rPr>
                              <w:rFonts w:hint="eastAsia"/>
                              <w:szCs w:val="21"/>
                            </w:rPr>
                            <w:t>3.4</w:t>
                          </w:r>
                        </w:p>
                      </w:txbxContent>
                    </v:textbox>
                  </v:shape>
                  <v:shape id="_x0000_s7606" o:spid="_x0000_s7606" o:spt="202" type="#_x0000_t202" style="position:absolute;left:6861;top:3541;height:462;width:1907;" coordsize="21600,21600">
                    <v:path/>
                    <v:fill focussize="0,0"/>
                    <v:stroke joinstyle="miter"/>
                    <v:imagedata o:title=""/>
                    <o:lock v:ext="edit"/>
                    <v:textbox>
                      <w:txbxContent>
                        <w:p w14:paraId="02E613E8">
                          <w:pPr>
                            <w:jc w:val="center"/>
                          </w:pPr>
                          <w:r>
                            <w:t>清洗废气：</w:t>
                          </w:r>
                          <w:r>
                            <w:rPr>
                              <w:rFonts w:hint="eastAsia"/>
                            </w:rPr>
                            <w:t>0.34</w:t>
                          </w:r>
                        </w:p>
                      </w:txbxContent>
                    </v:textbox>
                  </v:shape>
                  <v:shape id="_x0000_s7607" o:spid="_x0000_s7607" o:spt="202" type="#_x0000_t202" style="position:absolute;left:6855;top:5961;height:476;width:1986;" coordsize="21600,21600">
                    <v:path/>
                    <v:fill focussize="0,0"/>
                    <v:stroke joinstyle="miter"/>
                    <v:imagedata o:title=""/>
                    <o:lock v:ext="edit"/>
                    <v:textbox>
                      <w:txbxContent>
                        <w:p w14:paraId="70D10358">
                          <w:r>
                            <w:t>离心废液：</w:t>
                          </w:r>
                          <w:r>
                            <w:rPr>
                              <w:rFonts w:hint="eastAsia"/>
                            </w:rPr>
                            <w:t>0.153</w:t>
                          </w:r>
                        </w:p>
                      </w:txbxContent>
                    </v:textbox>
                  </v:shape>
                  <v:shape id="_x0000_s7608" o:spid="_x0000_s7608" o:spt="202" type="#_x0000_t202" style="position:absolute;left:6855;top:4698;height:452;width:1913;" coordsize="21600,21600">
                    <v:path/>
                    <v:fill focussize="0,0"/>
                    <v:stroke joinstyle="miter"/>
                    <v:imagedata o:title=""/>
                    <o:lock v:ext="edit"/>
                    <v:textbox>
                      <w:txbxContent>
                        <w:p w14:paraId="2A22D6BB">
                          <w:r>
                            <w:t>清洗废液：</w:t>
                          </w:r>
                          <w:r>
                            <w:rPr>
                              <w:rFonts w:hint="eastAsia"/>
                            </w:rPr>
                            <w:t>2.89</w:t>
                          </w:r>
                        </w:p>
                      </w:txbxContent>
                    </v:textbox>
                  </v:shape>
                  <v:shape id="_x0000_s7609" o:spid="_x0000_s7609" o:spt="202" type="#_x0000_t202" style="position:absolute;left:9676;top:2638;height:547;width:2210;" coordsize="21600,21600">
                    <v:path/>
                    <v:fill focussize="0,0"/>
                    <v:stroke joinstyle="miter"/>
                    <v:imagedata o:title=""/>
                    <o:lock v:ext="edit"/>
                    <v:textbox>
                      <w:txbxContent>
                        <w:p w14:paraId="7AC00AEB">
                          <w:r>
                            <w:t>有组织排放：</w:t>
                          </w:r>
                          <w:r>
                            <w:rPr>
                              <w:rFonts w:hint="eastAsia"/>
                            </w:rPr>
                            <w:t>0.0306</w:t>
                          </w:r>
                        </w:p>
                      </w:txbxContent>
                    </v:textbox>
                  </v:shape>
                  <v:shape id="_x0000_s7611" o:spid="_x0000_s7611" o:spt="202" type="#_x0000_t202" style="position:absolute;left:9685;top:3541;height:462;width:2205;" coordsize="21600,21600">
                    <v:path/>
                    <v:fill focussize="0,0"/>
                    <v:stroke joinstyle="miter"/>
                    <v:imagedata o:title=""/>
                    <o:lock v:ext="edit"/>
                    <v:textbox>
                      <w:txbxContent>
                        <w:p w14:paraId="08AB3B83">
                          <w:r>
                            <w:t>无组织排放：</w:t>
                          </w:r>
                          <w:r>
                            <w:rPr>
                              <w:rFonts w:hint="eastAsia"/>
                            </w:rPr>
                            <w:t>0.034</w:t>
                          </w:r>
                        </w:p>
                      </w:txbxContent>
                    </v:textbox>
                  </v:shape>
                  <v:shape id="_x0000_s7612" o:spid="_x0000_s7612" o:spt="202" type="#_x0000_t202" style="position:absolute;left:9682;top:4236;height:551;width:2208;" coordsize="21600,21600">
                    <v:path/>
                    <v:fill focussize="0,0"/>
                    <v:stroke joinstyle="miter"/>
                    <v:imagedata o:title=""/>
                    <o:lock v:ext="edit"/>
                    <v:textbox>
                      <w:txbxContent>
                        <w:p w14:paraId="1240DD22">
                          <w:r>
                            <w:t>活性炭吸附：</w:t>
                          </w:r>
                          <w:r>
                            <w:rPr>
                              <w:rFonts w:hint="eastAsia"/>
                            </w:rPr>
                            <w:t>0.275</w:t>
                          </w:r>
                        </w:p>
                      </w:txbxContent>
                    </v:textbox>
                  </v:shape>
                  <v:shape id="_x0000_s7620" o:spid="_x0000_s7620" o:spt="202" type="#_x0000_t202" style="position:absolute;left:5979;top:3185;height:473;width:624;" stroked="f" coordsize="21600,21600">
                    <v:path/>
                    <v:fill focussize="0,0"/>
                    <v:stroke on="f" joinstyle="miter"/>
                    <v:imagedata o:title=""/>
                    <o:lock v:ext="edit"/>
                    <v:textbox>
                      <w:txbxContent>
                        <w:p w14:paraId="44AF0D22">
                          <w:pPr>
                            <w:rPr>
                              <w:sz w:val="18"/>
                              <w:szCs w:val="18"/>
                            </w:rPr>
                          </w:pPr>
                          <w:r>
                            <w:rPr>
                              <w:rFonts w:hint="eastAsia"/>
                              <w:sz w:val="18"/>
                              <w:szCs w:val="18"/>
                            </w:rPr>
                            <w:t>10%</w:t>
                          </w:r>
                        </w:p>
                      </w:txbxContent>
                    </v:textbox>
                  </v:shape>
                  <v:shape id="_x0000_s7621" o:spid="_x0000_s7621" o:spt="202" type="#_x0000_t202" style="position:absolute;left:6049;top:4314;height:473;width:629;" stroked="f" coordsize="21600,21600">
                    <v:path/>
                    <v:fill focussize="0,0"/>
                    <v:stroke on="f" joinstyle="miter"/>
                    <v:imagedata o:title=""/>
                    <o:lock v:ext="edit"/>
                    <v:textbox>
                      <w:txbxContent>
                        <w:p w14:paraId="46EDF08D">
                          <w:pPr>
                            <w:rPr>
                              <w:sz w:val="18"/>
                              <w:szCs w:val="18"/>
                            </w:rPr>
                          </w:pPr>
                          <w:r>
                            <w:rPr>
                              <w:rFonts w:hint="eastAsia"/>
                              <w:sz w:val="18"/>
                              <w:szCs w:val="18"/>
                            </w:rPr>
                            <w:t>85%%</w:t>
                          </w:r>
                        </w:p>
                      </w:txbxContent>
                    </v:textbox>
                  </v:shape>
                  <v:shape id="_x0000_s7622" o:spid="_x0000_s7622" o:spt="202" type="#_x0000_t202" style="position:absolute;left:6049;top:5627;height:473;width:697;" stroked="f" coordsize="21600,21600">
                    <v:path/>
                    <v:fill focussize="0,0"/>
                    <v:stroke on="f" joinstyle="miter"/>
                    <v:imagedata o:title=""/>
                    <o:lock v:ext="edit"/>
                    <v:textbox>
                      <w:txbxContent>
                        <w:p w14:paraId="537E649A">
                          <w:pPr>
                            <w:rPr>
                              <w:sz w:val="18"/>
                              <w:szCs w:val="18"/>
                            </w:rPr>
                          </w:pPr>
                          <w:r>
                            <w:rPr>
                              <w:rFonts w:hint="eastAsia"/>
                              <w:sz w:val="18"/>
                              <w:szCs w:val="18"/>
                            </w:rPr>
                            <w:t>4.5%</w:t>
                          </w:r>
                        </w:p>
                      </w:txbxContent>
                    </v:textbox>
                  </v:shape>
                  <v:shape id="_x0000_s7627" o:spid="_x0000_s7627" o:spt="202" type="#_x0000_t202" style="position:absolute;left:9764;top:6330;height:546;width:2211;" coordsize="21600,21600">
                    <v:path/>
                    <v:fill focussize="0,0"/>
                    <v:stroke joinstyle="miter"/>
                    <v:imagedata o:title=""/>
                    <o:lock v:ext="edit"/>
                    <v:textbox>
                      <w:txbxContent>
                        <w:p w14:paraId="61CEA6D4">
                          <w:r>
                            <w:t>有组织排放：</w:t>
                          </w:r>
                          <w:r>
                            <w:rPr>
                              <w:rFonts w:hint="eastAsia"/>
                            </w:rPr>
                            <w:t>0.0015</w:t>
                          </w:r>
                        </w:p>
                      </w:txbxContent>
                    </v:textbox>
                  </v:shape>
                  <v:shape id="_x0000_s7628" o:spid="_x0000_s7628" o:spt="202" type="#_x0000_t202" style="position:absolute;left:9764;top:7219;height:475;width:2209;" coordsize="21600,21600">
                    <v:path/>
                    <v:fill focussize="0,0"/>
                    <v:stroke joinstyle="miter"/>
                    <v:imagedata o:title=""/>
                    <o:lock v:ext="edit"/>
                    <v:textbox>
                      <w:txbxContent>
                        <w:p w14:paraId="3D85BF5A">
                          <w:r>
                            <w:t>无组织排放：</w:t>
                          </w:r>
                          <w:r>
                            <w:rPr>
                              <w:rFonts w:hint="eastAsia"/>
                            </w:rPr>
                            <w:t>0.0017</w:t>
                          </w:r>
                        </w:p>
                      </w:txbxContent>
                    </v:textbox>
                  </v:shape>
                  <v:shape id="_x0000_s7629" o:spid="_x0000_s7629" o:spt="202" type="#_x0000_t202" style="position:absolute;left:9764;top:7928;height:552;width:2203;" coordsize="21600,21600">
                    <v:path/>
                    <v:fill focussize="0,0"/>
                    <v:stroke joinstyle="miter"/>
                    <v:imagedata o:title=""/>
                    <o:lock v:ext="edit"/>
                    <v:textbox>
                      <w:txbxContent>
                        <w:p w14:paraId="51F48FFA">
                          <w:r>
                            <w:t>活性炭吸附：</w:t>
                          </w:r>
                          <w:r>
                            <w:rPr>
                              <w:rFonts w:hint="eastAsia"/>
                            </w:rPr>
                            <w:t>0.0138</w:t>
                          </w:r>
                        </w:p>
                      </w:txbxContent>
                    </v:textbox>
                  </v:shape>
                  <v:shape id="_x0000_s7630" o:spid="_x0000_s7630" o:spt="202" type="#_x0000_t202" style="position:absolute;left:6861;top:7219;height:475;width:1986;" coordsize="21600,21600">
                    <v:path/>
                    <v:fill focussize="0,0"/>
                    <v:stroke joinstyle="miter"/>
                    <v:imagedata o:title=""/>
                    <o:lock v:ext="edit"/>
                    <v:textbox>
                      <w:txbxContent>
                        <w:p w14:paraId="1E7153C9">
                          <w:r>
                            <w:t>离心废气：</w:t>
                          </w:r>
                          <w:r>
                            <w:rPr>
                              <w:rFonts w:hint="eastAsia"/>
                            </w:rPr>
                            <w:t>0.017</w:t>
                          </w:r>
                        </w:p>
                      </w:txbxContent>
                    </v:textbox>
                  </v:shape>
                  <v:shape id="_x0000_s7631" o:spid="_x0000_s7631" o:spt="34" type="#_x0000_t34" style="position:absolute;left:5312;top:3773;flip:y;height:1854;width:1549;" o:connectortype="elbow" filled="f" coordsize="21600,21600" adj="10793,65498,-74073">
                    <v:path arrowok="t"/>
                    <v:fill on="f" focussize="0,0"/>
                    <v:stroke endarrow="block" endarrowwidth="narrow"/>
                    <v:imagedata o:title=""/>
                    <o:lock v:ext="edit"/>
                  </v:shape>
                  <v:shape id="_x0000_s7632" o:spid="_x0000_s7632" o:spt="34" type="#_x0000_t34" style="position:absolute;left:5312;top:4924;flip:y;height:703;width:1543;" o:connectortype="elbow" filled="f" coordsize="21600,21600" adj="10793,172677,-74361">
                    <v:path arrowok="t"/>
                    <v:fill on="f" focussize="0,0"/>
                    <v:stroke endarrow="block" endarrowwidth="narrow"/>
                    <v:imagedata o:title=""/>
                    <o:lock v:ext="edit"/>
                  </v:shape>
                  <v:shape id="_x0000_s7633" o:spid="_x0000_s7633" o:spt="34" type="#_x0000_t34" style="position:absolute;left:5312;top:5627;height:573;width:1543;" o:connectortype="elbow" filled="f" coordsize="21600,21600" adj="10793,-212898,-74361">
                    <v:path arrowok="t"/>
                    <v:fill on="f" focussize="0,0"/>
                    <v:stroke endarrow="block" endarrowwidth="narrow"/>
                    <v:imagedata o:title=""/>
                    <o:lock v:ext="edit"/>
                  </v:shape>
                  <v:shape id="_x0000_s7635" o:spid="_x0000_s7635" o:spt="202" type="#_x0000_t202" style="position:absolute;left:6060;top:6746;height:473;width:697;" stroked="f" coordsize="21600,21600">
                    <v:path/>
                    <v:fill focussize="0,0"/>
                    <v:stroke on="f" joinstyle="miter"/>
                    <v:imagedata o:title=""/>
                    <o:lock v:ext="edit"/>
                    <v:textbox>
                      <w:txbxContent>
                        <w:p w14:paraId="342E4DFC">
                          <w:pPr>
                            <w:rPr>
                              <w:sz w:val="18"/>
                              <w:szCs w:val="18"/>
                            </w:rPr>
                          </w:pPr>
                          <w:r>
                            <w:rPr>
                              <w:rFonts w:hint="eastAsia"/>
                              <w:sz w:val="18"/>
                              <w:szCs w:val="18"/>
                            </w:rPr>
                            <w:t>0.5%</w:t>
                          </w:r>
                        </w:p>
                      </w:txbxContent>
                    </v:textbox>
                  </v:shape>
                  <v:shape id="_x0000_s7636" o:spid="_x0000_s7636" o:spt="34" type="#_x0000_t34" style="position:absolute;left:8768;top:2912;flip:y;height:861;width:908;" o:connectortype="elbow" filled="f" coordsize="21600,21600" adj="10776,94739,-208578">
                    <v:path arrowok="t"/>
                    <v:fill on="f" focussize="0,0"/>
                    <v:stroke endarrow="block" endarrowwidth="narrow"/>
                    <v:imagedata o:title=""/>
                    <o:lock v:ext="edit"/>
                  </v:shape>
                  <v:shape id="_x0000_s7637" o:spid="_x0000_s7637" o:spt="34" type="#_x0000_t34" style="position:absolute;left:8768;top:3773;height:739;width:914;" o:connectortype="elbow" filled="f" coordsize="21600,21600" adj="10776,-110102,-207209">
                    <v:path arrowok="t"/>
                    <v:fill on="f" focussize="0,0"/>
                    <v:stroke endarrow="block" endarrowwidth="narrow"/>
                    <v:imagedata o:title=""/>
                    <o:lock v:ext="edit"/>
                  </v:shape>
                  <v:shape id="_x0000_s7639" o:spid="_x0000_s7639" o:spt="32" type="#_x0000_t32" style="position:absolute;left:8768;top:3773;height:2;width:917;" o:connectortype="elbow" filled="f" coordsize="21600,21600" adj="-206531,-1,-206531">
                    <v:path arrowok="t"/>
                    <v:fill on="f" focussize="0,0"/>
                    <v:stroke endarrow="block" endarrowwidth="narrow"/>
                    <v:imagedata o:title=""/>
                    <o:lock v:ext="edit"/>
                  </v:shape>
                  <v:shape id="_x0000_s7640" o:spid="_x0000_s7640" o:spt="34" type="#_x0000_t34" style="position:absolute;left:8847;top:6603;flip:y;height:854;width:917;" o:connectortype="elbow" filled="f" coordsize="21600,21600" adj="10788,188608,-208392">
                    <v:path arrowok="t"/>
                    <v:fill on="f" focussize="0,0"/>
                    <v:stroke endarrow="block" endarrowwidth="narrow"/>
                    <v:imagedata o:title=""/>
                    <o:lock v:ext="edit"/>
                  </v:shape>
                  <v:shape id="_x0000_s7641" o:spid="_x0000_s7641" o:spt="34" type="#_x0000_t34" style="position:absolute;left:8847;top:7457;height:748;width:917;" o:connectortype="elbow" filled="f" coordsize="21600,21600" adj="10788,-215624,-208392">
                    <v:path arrowok="t"/>
                    <v:fill on="f" focussize="0,0"/>
                    <v:stroke endarrow="block" endarrowwidth="narrow"/>
                    <v:imagedata o:title=""/>
                    <o:lock v:ext="edit"/>
                  </v:shape>
                  <v:shape id="_x0000_s7642" o:spid="_x0000_s7642" o:spt="32" type="#_x0000_t32" style="position:absolute;left:8847;top:7457;height:2;width:917;" o:connectortype="elbow" filled="f" coordsize="21600,21600" adj="-208392,-1,-208392">
                    <v:path arrowok="t"/>
                    <v:fill on="f" focussize="0,0"/>
                    <v:stroke endarrow="block" endarrowwidth="narrow"/>
                    <v:imagedata o:title=""/>
                    <o:lock v:ext="edit"/>
                  </v:shape>
                  <v:shape id="_x0000_s7634" o:spid="_x0000_s7634" o:spt="34" type="#_x0000_t34" style="position:absolute;left:5312;top:5627;height:1830;width:1549;" o:connectortype="elbow" filled="f" coordsize="21600,21600" adj="10793,-66465,-74073">
                    <v:path arrowok="t"/>
                    <v:fill on="f" focussize="0,0"/>
                    <v:stroke endarrow="block" endarrowwidth="narrow"/>
                    <v:imagedata o:title=""/>
                    <o:lock v:ext="edit"/>
                  </v:shape>
                  <w10:wrap type="none"/>
                  <w10:anchorlock/>
                </v:group>
              </w:pict>
            </w:r>
          </w:p>
          <w:p w14:paraId="453E80E8">
            <w:pPr>
              <w:spacing w:line="360" w:lineRule="auto"/>
              <w:jc w:val="center"/>
              <w:rPr>
                <w:rFonts w:hAnsi="黑体" w:eastAsia="黑体"/>
                <w:sz w:val="24"/>
              </w:rPr>
            </w:pPr>
            <w:r>
              <w:rPr>
                <w:rFonts w:hAnsi="黑体" w:eastAsia="黑体"/>
                <w:sz w:val="24"/>
              </w:rPr>
              <w:t>图</w:t>
            </w:r>
            <w:r>
              <w:rPr>
                <w:rFonts w:hint="eastAsia" w:eastAsia="黑体"/>
                <w:sz w:val="24"/>
              </w:rPr>
              <w:t>4</w:t>
            </w:r>
            <w:r>
              <w:rPr>
                <w:rFonts w:eastAsia="黑体"/>
                <w:sz w:val="24"/>
              </w:rPr>
              <w:t xml:space="preserve">  本</w:t>
            </w:r>
            <w:r>
              <w:rPr>
                <w:rFonts w:hAnsi="黑体" w:eastAsia="黑体"/>
                <w:sz w:val="24"/>
              </w:rPr>
              <w:t>项目乙醇</w:t>
            </w:r>
            <w:r>
              <w:rPr>
                <w:rFonts w:hint="eastAsia" w:hAnsi="黑体" w:eastAsia="黑体"/>
                <w:sz w:val="24"/>
              </w:rPr>
              <w:t>物料</w:t>
            </w:r>
            <w:r>
              <w:rPr>
                <w:rFonts w:hAnsi="黑体" w:eastAsia="黑体"/>
                <w:sz w:val="24"/>
              </w:rPr>
              <w:t>平衡图</w:t>
            </w:r>
            <w:r>
              <w:rPr>
                <w:rFonts w:hint="eastAsia" w:hAnsi="黑体" w:eastAsia="黑体"/>
                <w:sz w:val="24"/>
              </w:rPr>
              <w:t xml:space="preserve">  单位：t/a</w:t>
            </w:r>
          </w:p>
        </w:tc>
      </w:tr>
    </w:tbl>
    <w:p w14:paraId="74E30410">
      <w:pPr>
        <w:widowControl/>
        <w:spacing w:line="360" w:lineRule="auto"/>
        <w:jc w:val="center"/>
        <w:rPr>
          <w:rFonts w:hAnsi="宋体"/>
          <w:kern w:val="0"/>
          <w:sz w:val="24"/>
        </w:rPr>
        <w:sectPr>
          <w:pgSz w:w="16838" w:h="11906" w:orient="landscape"/>
          <w:pgMar w:top="1797" w:right="1440" w:bottom="1508" w:left="1440" w:header="851" w:footer="992" w:gutter="0"/>
          <w:cols w:space="720" w:num="1"/>
          <w:docGrid w:type="linesAndChars" w:linePitch="312" w:charSpace="0"/>
        </w:sectPr>
      </w:pPr>
    </w:p>
    <w:tbl>
      <w:tblPr>
        <w:tblStyle w:val="34"/>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6"/>
        <w:gridCol w:w="8361"/>
      </w:tblGrid>
      <w:tr w14:paraId="2A685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88" w:hRule="atLeast"/>
        </w:trPr>
        <w:tc>
          <w:tcPr>
            <w:tcW w:w="456" w:type="dxa"/>
            <w:vAlign w:val="center"/>
          </w:tcPr>
          <w:p w14:paraId="4BE61D89">
            <w:pPr>
              <w:widowControl/>
              <w:spacing w:line="360" w:lineRule="auto"/>
              <w:jc w:val="center"/>
              <w:rPr>
                <w:rFonts w:hAnsi="宋体"/>
                <w:kern w:val="0"/>
                <w:sz w:val="24"/>
              </w:rPr>
            </w:pPr>
            <w:r>
              <w:rPr>
                <w:rFonts w:hAnsi="宋体"/>
                <w:kern w:val="0"/>
                <w:sz w:val="24"/>
              </w:rPr>
              <w:t>与项目有关的原有环境污染问题</w:t>
            </w:r>
          </w:p>
        </w:tc>
        <w:tc>
          <w:tcPr>
            <w:tcW w:w="8361" w:type="dxa"/>
          </w:tcPr>
          <w:p w14:paraId="27FB23DD">
            <w:pPr>
              <w:pStyle w:val="16"/>
              <w:spacing w:after="0" w:line="480" w:lineRule="exact"/>
              <w:ind w:left="0" w:leftChars="0" w:firstLine="480" w:firstLineChars="200"/>
              <w:rPr>
                <w:rFonts w:hAnsi="宋体"/>
                <w:bCs/>
                <w:sz w:val="24"/>
              </w:rPr>
            </w:pPr>
            <w:r>
              <w:rPr>
                <w:rFonts w:hint="eastAsia"/>
                <w:kern w:val="0"/>
                <w:sz w:val="24"/>
              </w:rPr>
              <w:t>本项目为新建项目，</w:t>
            </w:r>
            <w:r>
              <w:rPr>
                <w:rFonts w:hint="eastAsia"/>
                <w:sz w:val="24"/>
              </w:rPr>
              <w:t>本项目租赁安徽焦岗湖产业发展有限公司工业城2号楼1层和3层，</w:t>
            </w:r>
            <w:r>
              <w:rPr>
                <w:rFonts w:hint="eastAsia" w:hAnsi="宋体"/>
                <w:bCs/>
                <w:sz w:val="24"/>
              </w:rPr>
              <w:t>经过现场勘查，租赁厂房空置，不存在与本项目有关的原有污染情况及主要环境问题。</w:t>
            </w:r>
          </w:p>
          <w:p w14:paraId="1D8C4732">
            <w:pPr>
              <w:pStyle w:val="16"/>
              <w:spacing w:after="0" w:line="480" w:lineRule="exact"/>
              <w:ind w:left="0" w:leftChars="0" w:firstLine="480" w:firstLineChars="200"/>
              <w:rPr>
                <w:sz w:val="24"/>
              </w:rPr>
            </w:pPr>
          </w:p>
          <w:p w14:paraId="549DFAB5">
            <w:pPr>
              <w:pStyle w:val="16"/>
              <w:spacing w:after="0" w:line="480" w:lineRule="exact"/>
              <w:ind w:left="0" w:leftChars="0" w:firstLine="480" w:firstLineChars="200"/>
              <w:rPr>
                <w:sz w:val="24"/>
              </w:rPr>
            </w:pPr>
          </w:p>
          <w:p w14:paraId="35492315">
            <w:pPr>
              <w:pStyle w:val="16"/>
              <w:spacing w:after="0" w:line="480" w:lineRule="exact"/>
              <w:ind w:left="0" w:leftChars="0" w:firstLine="480" w:firstLineChars="200"/>
              <w:rPr>
                <w:sz w:val="24"/>
              </w:rPr>
            </w:pPr>
          </w:p>
          <w:p w14:paraId="344D6A05">
            <w:pPr>
              <w:pStyle w:val="16"/>
              <w:spacing w:after="0" w:line="480" w:lineRule="exact"/>
              <w:ind w:left="0" w:leftChars="0" w:firstLine="480" w:firstLineChars="200"/>
              <w:rPr>
                <w:sz w:val="24"/>
              </w:rPr>
            </w:pPr>
          </w:p>
          <w:p w14:paraId="7F7A2F06">
            <w:pPr>
              <w:pStyle w:val="16"/>
              <w:spacing w:after="0" w:line="480" w:lineRule="exact"/>
              <w:ind w:left="0" w:leftChars="0" w:firstLine="480" w:firstLineChars="200"/>
              <w:rPr>
                <w:sz w:val="24"/>
              </w:rPr>
            </w:pPr>
          </w:p>
          <w:p w14:paraId="565CC15A">
            <w:pPr>
              <w:pStyle w:val="16"/>
              <w:spacing w:after="0" w:line="480" w:lineRule="exact"/>
              <w:ind w:left="0" w:leftChars="0" w:firstLine="480" w:firstLineChars="200"/>
              <w:rPr>
                <w:rFonts w:hAnsi="宋体"/>
                <w:kern w:val="0"/>
                <w:sz w:val="24"/>
              </w:rPr>
            </w:pPr>
          </w:p>
          <w:p w14:paraId="31C884F7">
            <w:pPr>
              <w:pStyle w:val="16"/>
              <w:spacing w:after="0" w:line="480" w:lineRule="exact"/>
              <w:ind w:left="0" w:leftChars="0" w:firstLine="480" w:firstLineChars="200"/>
              <w:rPr>
                <w:rFonts w:hAnsi="宋体"/>
                <w:kern w:val="0"/>
                <w:sz w:val="24"/>
              </w:rPr>
            </w:pPr>
          </w:p>
          <w:p w14:paraId="498BEC66">
            <w:pPr>
              <w:pStyle w:val="16"/>
              <w:spacing w:after="0" w:line="480" w:lineRule="exact"/>
              <w:ind w:left="0" w:leftChars="0" w:firstLine="480" w:firstLineChars="200"/>
              <w:rPr>
                <w:rFonts w:hAnsi="宋体"/>
                <w:kern w:val="0"/>
                <w:sz w:val="24"/>
              </w:rPr>
            </w:pPr>
          </w:p>
          <w:p w14:paraId="72A48BDF">
            <w:pPr>
              <w:pStyle w:val="16"/>
              <w:spacing w:after="0" w:line="480" w:lineRule="exact"/>
              <w:ind w:left="0" w:leftChars="0" w:firstLine="480" w:firstLineChars="200"/>
              <w:rPr>
                <w:rFonts w:hAnsi="宋体"/>
                <w:kern w:val="0"/>
                <w:sz w:val="24"/>
              </w:rPr>
            </w:pPr>
          </w:p>
          <w:p w14:paraId="0F5C2FA7">
            <w:pPr>
              <w:pStyle w:val="16"/>
              <w:spacing w:after="0" w:line="480" w:lineRule="exact"/>
              <w:ind w:left="0" w:leftChars="0" w:firstLine="480" w:firstLineChars="200"/>
              <w:rPr>
                <w:rFonts w:hAnsi="宋体"/>
                <w:kern w:val="0"/>
                <w:sz w:val="24"/>
              </w:rPr>
            </w:pPr>
          </w:p>
          <w:p w14:paraId="526EAA9C">
            <w:pPr>
              <w:pStyle w:val="16"/>
              <w:spacing w:after="0" w:line="480" w:lineRule="exact"/>
              <w:ind w:left="0" w:leftChars="0" w:firstLine="480" w:firstLineChars="200"/>
              <w:rPr>
                <w:rFonts w:hAnsi="宋体"/>
                <w:kern w:val="0"/>
                <w:sz w:val="24"/>
              </w:rPr>
            </w:pPr>
          </w:p>
          <w:p w14:paraId="532498D2">
            <w:pPr>
              <w:pStyle w:val="16"/>
              <w:spacing w:after="0" w:line="480" w:lineRule="exact"/>
              <w:ind w:left="0" w:leftChars="0" w:firstLine="480" w:firstLineChars="200"/>
              <w:rPr>
                <w:rFonts w:hAnsi="宋体"/>
                <w:kern w:val="0"/>
                <w:sz w:val="24"/>
              </w:rPr>
            </w:pPr>
          </w:p>
          <w:p w14:paraId="25E0DD41">
            <w:pPr>
              <w:pStyle w:val="16"/>
              <w:spacing w:after="0" w:line="480" w:lineRule="exact"/>
              <w:ind w:left="0" w:leftChars="0" w:firstLine="480" w:firstLineChars="200"/>
              <w:rPr>
                <w:kern w:val="0"/>
                <w:sz w:val="24"/>
              </w:rPr>
            </w:pPr>
          </w:p>
          <w:p w14:paraId="21619725">
            <w:pPr>
              <w:pStyle w:val="16"/>
              <w:spacing w:after="0" w:line="480" w:lineRule="exact"/>
              <w:ind w:left="0" w:leftChars="0" w:firstLine="480" w:firstLineChars="200"/>
              <w:rPr>
                <w:kern w:val="0"/>
                <w:sz w:val="24"/>
              </w:rPr>
            </w:pPr>
          </w:p>
          <w:p w14:paraId="0C6D70A7">
            <w:pPr>
              <w:pStyle w:val="16"/>
              <w:spacing w:after="0" w:line="480" w:lineRule="exact"/>
              <w:ind w:left="0" w:leftChars="0" w:firstLine="480" w:firstLineChars="200"/>
              <w:rPr>
                <w:kern w:val="0"/>
                <w:sz w:val="24"/>
              </w:rPr>
            </w:pPr>
          </w:p>
          <w:p w14:paraId="1BD1F774">
            <w:pPr>
              <w:pStyle w:val="16"/>
              <w:spacing w:after="0" w:line="480" w:lineRule="exact"/>
              <w:ind w:left="0" w:leftChars="0" w:firstLine="480" w:firstLineChars="200"/>
              <w:rPr>
                <w:kern w:val="0"/>
                <w:sz w:val="24"/>
              </w:rPr>
            </w:pPr>
          </w:p>
          <w:p w14:paraId="1FB63FB4">
            <w:pPr>
              <w:pStyle w:val="16"/>
              <w:spacing w:after="0" w:line="480" w:lineRule="exact"/>
              <w:ind w:left="0" w:leftChars="0" w:firstLine="480" w:firstLineChars="200"/>
              <w:rPr>
                <w:kern w:val="0"/>
                <w:sz w:val="24"/>
              </w:rPr>
            </w:pPr>
          </w:p>
          <w:p w14:paraId="74999B5C">
            <w:pPr>
              <w:pStyle w:val="16"/>
              <w:spacing w:after="0" w:line="480" w:lineRule="exact"/>
              <w:ind w:left="0" w:leftChars="0" w:firstLine="480" w:firstLineChars="200"/>
              <w:rPr>
                <w:kern w:val="0"/>
                <w:sz w:val="24"/>
              </w:rPr>
            </w:pPr>
          </w:p>
          <w:p w14:paraId="27572224">
            <w:pPr>
              <w:pStyle w:val="16"/>
              <w:spacing w:after="0" w:line="480" w:lineRule="exact"/>
              <w:ind w:left="0" w:leftChars="0" w:firstLine="480" w:firstLineChars="200"/>
              <w:rPr>
                <w:kern w:val="0"/>
                <w:sz w:val="24"/>
              </w:rPr>
            </w:pPr>
          </w:p>
          <w:p w14:paraId="3FFF64C4">
            <w:pPr>
              <w:pStyle w:val="16"/>
              <w:spacing w:after="0" w:line="480" w:lineRule="exact"/>
              <w:ind w:left="0" w:leftChars="0" w:firstLine="480" w:firstLineChars="200"/>
              <w:rPr>
                <w:kern w:val="0"/>
                <w:sz w:val="24"/>
              </w:rPr>
            </w:pPr>
          </w:p>
          <w:p w14:paraId="4D379CEB">
            <w:pPr>
              <w:pStyle w:val="16"/>
              <w:spacing w:after="0" w:line="480" w:lineRule="exact"/>
              <w:ind w:left="0" w:leftChars="0" w:firstLine="480" w:firstLineChars="200"/>
              <w:rPr>
                <w:kern w:val="0"/>
                <w:sz w:val="24"/>
              </w:rPr>
            </w:pPr>
          </w:p>
          <w:p w14:paraId="734EB434">
            <w:pPr>
              <w:pStyle w:val="16"/>
              <w:spacing w:after="0" w:line="480" w:lineRule="exact"/>
              <w:ind w:left="0" w:leftChars="0" w:firstLine="480" w:firstLineChars="200"/>
              <w:rPr>
                <w:kern w:val="0"/>
                <w:sz w:val="24"/>
              </w:rPr>
            </w:pPr>
          </w:p>
          <w:p w14:paraId="03779571">
            <w:pPr>
              <w:pStyle w:val="16"/>
              <w:spacing w:after="0" w:line="480" w:lineRule="exact"/>
              <w:ind w:left="0" w:leftChars="0" w:firstLine="480" w:firstLineChars="200"/>
              <w:rPr>
                <w:kern w:val="0"/>
                <w:sz w:val="24"/>
              </w:rPr>
            </w:pPr>
          </w:p>
          <w:p w14:paraId="5CE352B9">
            <w:pPr>
              <w:pStyle w:val="16"/>
              <w:spacing w:after="0" w:line="480" w:lineRule="exact"/>
              <w:ind w:left="0" w:leftChars="0" w:firstLine="480" w:firstLineChars="200"/>
              <w:rPr>
                <w:kern w:val="0"/>
                <w:sz w:val="24"/>
              </w:rPr>
            </w:pPr>
          </w:p>
          <w:p w14:paraId="763D98E2">
            <w:pPr>
              <w:pStyle w:val="16"/>
              <w:spacing w:after="0" w:line="480" w:lineRule="exact"/>
              <w:ind w:left="0" w:leftChars="0" w:firstLine="480" w:firstLineChars="200"/>
              <w:rPr>
                <w:kern w:val="0"/>
                <w:sz w:val="24"/>
              </w:rPr>
            </w:pPr>
          </w:p>
          <w:p w14:paraId="7EFB1EE9">
            <w:pPr>
              <w:spacing w:line="360" w:lineRule="auto"/>
              <w:jc w:val="center"/>
            </w:pPr>
          </w:p>
        </w:tc>
      </w:tr>
    </w:tbl>
    <w:p w14:paraId="434D010A">
      <w:pPr>
        <w:widowControl/>
        <w:jc w:val="center"/>
        <w:outlineLvl w:val="0"/>
        <w:rPr>
          <w:rFonts w:ascii="宋体" w:hAnsi="宋体"/>
          <w:b/>
          <w:bCs/>
          <w:kern w:val="0"/>
          <w:sz w:val="30"/>
          <w:szCs w:val="30"/>
        </w:rPr>
      </w:pPr>
      <w:bookmarkStart w:id="4" w:name="_Toc243450252"/>
      <w:bookmarkEnd w:id="4"/>
      <w:bookmarkStart w:id="5" w:name="_Toc271726186"/>
      <w:bookmarkEnd w:id="5"/>
      <w:bookmarkStart w:id="6" w:name="_Toc89762009"/>
      <w:bookmarkEnd w:id="6"/>
      <w:bookmarkStart w:id="7" w:name="_Toc306347503"/>
      <w:bookmarkStart w:id="8" w:name="_Toc354926675"/>
      <w:r>
        <w:rPr>
          <w:rFonts w:ascii="宋体" w:hAnsi="宋体"/>
          <w:b/>
          <w:bCs/>
          <w:kern w:val="0"/>
          <w:sz w:val="30"/>
          <w:szCs w:val="30"/>
        </w:rPr>
        <w:br w:type="page"/>
      </w:r>
      <w:r>
        <w:rPr>
          <w:rFonts w:ascii="宋体" w:hAnsi="宋体"/>
          <w:b/>
          <w:bCs/>
          <w:kern w:val="0"/>
          <w:sz w:val="30"/>
          <w:szCs w:val="30"/>
        </w:rPr>
        <w:t>三</w:t>
      </w:r>
      <w:r>
        <w:rPr>
          <w:rFonts w:hint="eastAsia" w:ascii="宋体" w:hAnsi="宋体"/>
          <w:b/>
          <w:bCs/>
          <w:kern w:val="0"/>
          <w:sz w:val="30"/>
          <w:szCs w:val="30"/>
        </w:rPr>
        <w:t>、</w:t>
      </w:r>
      <w:r>
        <w:rPr>
          <w:rFonts w:ascii="宋体" w:hAnsi="宋体"/>
          <w:b/>
          <w:bCs/>
          <w:kern w:val="0"/>
          <w:sz w:val="30"/>
          <w:szCs w:val="30"/>
        </w:rPr>
        <w:t>区域环境质量现状</w:t>
      </w:r>
      <w:bookmarkEnd w:id="7"/>
      <w:bookmarkEnd w:id="8"/>
      <w:r>
        <w:rPr>
          <w:rFonts w:hint="eastAsia" w:ascii="宋体" w:hAnsi="宋体"/>
          <w:b/>
          <w:bCs/>
          <w:kern w:val="0"/>
          <w:sz w:val="30"/>
          <w:szCs w:val="30"/>
        </w:rPr>
        <w:t>、</w:t>
      </w:r>
      <w:r>
        <w:rPr>
          <w:rFonts w:ascii="宋体" w:hAnsi="宋体"/>
          <w:b/>
          <w:bCs/>
          <w:kern w:val="0"/>
          <w:sz w:val="30"/>
          <w:szCs w:val="30"/>
        </w:rPr>
        <w:t>环境保护目标及评价标准</w:t>
      </w:r>
    </w:p>
    <w:tbl>
      <w:tblPr>
        <w:tblStyle w:val="34"/>
        <w:tblW w:w="883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76"/>
        <w:gridCol w:w="7955"/>
      </w:tblGrid>
      <w:tr w14:paraId="3B58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900" w:hRule="atLeast"/>
        </w:trPr>
        <w:tc>
          <w:tcPr>
            <w:tcW w:w="534" w:type="dxa"/>
            <w:vAlign w:val="center"/>
          </w:tcPr>
          <w:p w14:paraId="05BED16F">
            <w:pPr>
              <w:spacing w:line="360" w:lineRule="auto"/>
              <w:ind w:firstLine="480" w:firstLineChars="200"/>
              <w:jc w:val="center"/>
              <w:rPr>
                <w:b/>
                <w:sz w:val="24"/>
                <w:szCs w:val="28"/>
              </w:rPr>
            </w:pPr>
            <w:r>
              <w:rPr>
                <w:rFonts w:hAnsi="宋体"/>
                <w:kern w:val="0"/>
                <w:sz w:val="24"/>
              </w:rPr>
              <w:t>与</w:t>
            </w:r>
            <w:r>
              <w:rPr>
                <w:rFonts w:hint="eastAsia" w:hAnsi="宋体"/>
                <w:kern w:val="0"/>
                <w:sz w:val="24"/>
              </w:rPr>
              <w:t>区域</w:t>
            </w:r>
            <w:r>
              <w:rPr>
                <w:rFonts w:hAnsi="宋体"/>
                <w:kern w:val="0"/>
                <w:sz w:val="24"/>
              </w:rPr>
              <w:t>环境质量现状</w:t>
            </w:r>
          </w:p>
        </w:tc>
        <w:tc>
          <w:tcPr>
            <w:tcW w:w="8297" w:type="dxa"/>
          </w:tcPr>
          <w:p w14:paraId="3D774576">
            <w:pPr>
              <w:spacing w:line="360" w:lineRule="auto"/>
              <w:ind w:firstLine="482" w:firstLineChars="200"/>
              <w:rPr>
                <w:b/>
                <w:sz w:val="24"/>
                <w:szCs w:val="28"/>
              </w:rPr>
            </w:pPr>
            <w:r>
              <w:rPr>
                <w:b/>
                <w:sz w:val="24"/>
                <w:szCs w:val="28"/>
              </w:rPr>
              <w:t>一</w:t>
            </w:r>
            <w:r>
              <w:rPr>
                <w:rFonts w:hint="eastAsia"/>
                <w:b/>
                <w:sz w:val="24"/>
                <w:szCs w:val="28"/>
              </w:rPr>
              <w:t>、环境空气质量现状</w:t>
            </w:r>
          </w:p>
          <w:p w14:paraId="2EB7FF20">
            <w:pPr>
              <w:adjustRightInd w:val="0"/>
              <w:spacing w:line="360" w:lineRule="auto"/>
              <w:ind w:firstLine="480" w:firstLineChars="200"/>
              <w:jc w:val="left"/>
              <w:rPr>
                <w:rFonts w:hAnsi="宋体"/>
                <w:sz w:val="24"/>
              </w:rPr>
            </w:pPr>
            <w:r>
              <w:rPr>
                <w:rFonts w:hint="eastAsia" w:hAnsi="宋体"/>
                <w:sz w:val="24"/>
              </w:rPr>
              <w:t>（1）基本污染物环境质量现状</w:t>
            </w:r>
          </w:p>
          <w:p w14:paraId="0350F362">
            <w:pPr>
              <w:adjustRightInd w:val="0"/>
              <w:spacing w:line="360" w:lineRule="auto"/>
              <w:ind w:firstLine="480" w:firstLineChars="200"/>
              <w:jc w:val="left"/>
              <w:rPr>
                <w:sz w:val="24"/>
              </w:rPr>
            </w:pPr>
            <w:r>
              <w:rPr>
                <w:rFonts w:hAnsi="宋体"/>
                <w:sz w:val="24"/>
              </w:rPr>
              <w:t>本项</w:t>
            </w:r>
            <w:r>
              <w:rPr>
                <w:rFonts w:hAnsi="宋体"/>
                <w:sz w:val="24"/>
                <w:szCs w:val="24"/>
              </w:rPr>
              <w:t>目位于</w:t>
            </w:r>
            <w:r>
              <w:rPr>
                <w:rFonts w:hint="eastAsia"/>
                <w:sz w:val="24"/>
              </w:rPr>
              <w:t>安徽省淮南市毛集经济开发区工业城2号楼1层和3层</w:t>
            </w:r>
            <w:r>
              <w:rPr>
                <w:rFonts w:hAnsi="宋体"/>
                <w:sz w:val="24"/>
                <w:szCs w:val="24"/>
              </w:rPr>
              <w:t>，根据</w:t>
            </w:r>
            <w:r>
              <w:rPr>
                <w:rFonts w:hint="eastAsia" w:hAnsi="宋体"/>
                <w:kern w:val="0"/>
                <w:sz w:val="24"/>
                <w:szCs w:val="24"/>
              </w:rPr>
              <w:t>《</w:t>
            </w:r>
            <w:r>
              <w:rPr>
                <w:kern w:val="0"/>
                <w:sz w:val="24"/>
                <w:szCs w:val="24"/>
              </w:rPr>
              <w:t>202</w:t>
            </w:r>
            <w:r>
              <w:rPr>
                <w:rFonts w:hint="eastAsia"/>
                <w:kern w:val="0"/>
                <w:sz w:val="24"/>
                <w:szCs w:val="24"/>
              </w:rPr>
              <w:t>2</w:t>
            </w:r>
            <w:r>
              <w:rPr>
                <w:rFonts w:hint="eastAsia" w:hAnsi="宋体"/>
                <w:kern w:val="0"/>
                <w:sz w:val="24"/>
                <w:szCs w:val="24"/>
              </w:rPr>
              <w:t>年淮南市环境状况质量公报》可知，</w:t>
            </w:r>
            <w:r>
              <w:rPr>
                <w:kern w:val="0"/>
                <w:sz w:val="24"/>
                <w:szCs w:val="24"/>
              </w:rPr>
              <w:t>202</w:t>
            </w:r>
            <w:r>
              <w:rPr>
                <w:rFonts w:hint="eastAsia"/>
                <w:kern w:val="0"/>
                <w:sz w:val="24"/>
                <w:szCs w:val="24"/>
              </w:rPr>
              <w:t>2年淮南市城区环境空气质量达标天数比例为79.5</w:t>
            </w:r>
            <w:r>
              <w:rPr>
                <w:kern w:val="0"/>
                <w:sz w:val="24"/>
                <w:szCs w:val="24"/>
              </w:rPr>
              <w:t>%</w:t>
            </w:r>
            <w:r>
              <w:rPr>
                <w:rFonts w:hint="eastAsia"/>
                <w:kern w:val="0"/>
                <w:sz w:val="24"/>
                <w:szCs w:val="24"/>
              </w:rPr>
              <w:t>，</w:t>
            </w:r>
            <w:r>
              <w:rPr>
                <w:rFonts w:hint="eastAsia" w:hAnsi="宋体"/>
                <w:kern w:val="0"/>
                <w:sz w:val="24"/>
                <w:szCs w:val="24"/>
              </w:rPr>
              <w:t>二氧化硫（SO</w:t>
            </w:r>
            <w:r>
              <w:rPr>
                <w:rFonts w:hint="eastAsia" w:hAnsi="宋体"/>
                <w:kern w:val="0"/>
                <w:sz w:val="24"/>
                <w:szCs w:val="24"/>
                <w:vertAlign w:val="subscript"/>
              </w:rPr>
              <w:t>2</w:t>
            </w:r>
            <w:r>
              <w:rPr>
                <w:rFonts w:hint="eastAsia" w:hAnsi="宋体"/>
                <w:kern w:val="0"/>
                <w:sz w:val="24"/>
                <w:szCs w:val="24"/>
              </w:rPr>
              <w:t>）、二氧化氮（NO</w:t>
            </w:r>
            <w:r>
              <w:rPr>
                <w:rFonts w:hint="eastAsia" w:hAnsi="宋体"/>
                <w:kern w:val="0"/>
                <w:sz w:val="24"/>
                <w:szCs w:val="24"/>
                <w:vertAlign w:val="subscript"/>
              </w:rPr>
              <w:t>2</w:t>
            </w:r>
            <w:r>
              <w:rPr>
                <w:rFonts w:hint="eastAsia" w:hAnsi="宋体"/>
                <w:kern w:val="0"/>
                <w:sz w:val="24"/>
                <w:szCs w:val="24"/>
              </w:rPr>
              <w:t>）、可吸入颗粒物（</w:t>
            </w:r>
            <w:r>
              <w:rPr>
                <w:rFonts w:hAnsi="宋体"/>
                <w:kern w:val="0"/>
                <w:sz w:val="24"/>
                <w:szCs w:val="24"/>
              </w:rPr>
              <w:t>PM</w:t>
            </w:r>
            <w:r>
              <w:rPr>
                <w:rFonts w:hAnsi="宋体"/>
                <w:kern w:val="0"/>
                <w:sz w:val="24"/>
                <w:szCs w:val="24"/>
                <w:vertAlign w:val="subscript"/>
              </w:rPr>
              <w:t>10</w:t>
            </w:r>
            <w:r>
              <w:rPr>
                <w:rFonts w:hint="eastAsia" w:hAnsi="宋体"/>
                <w:kern w:val="0"/>
                <w:sz w:val="24"/>
                <w:szCs w:val="24"/>
              </w:rPr>
              <w:t>）、细颗粒物（</w:t>
            </w:r>
            <w:r>
              <w:rPr>
                <w:rFonts w:hAnsi="宋体"/>
                <w:kern w:val="0"/>
                <w:sz w:val="24"/>
                <w:szCs w:val="24"/>
              </w:rPr>
              <w:t>PM</w:t>
            </w:r>
            <w:r>
              <w:rPr>
                <w:rFonts w:hAnsi="宋体"/>
                <w:kern w:val="0"/>
                <w:sz w:val="24"/>
                <w:szCs w:val="24"/>
                <w:vertAlign w:val="subscript"/>
              </w:rPr>
              <w:t>2.5</w:t>
            </w:r>
            <w:r>
              <w:rPr>
                <w:rFonts w:hint="eastAsia" w:hAnsi="宋体"/>
                <w:kern w:val="0"/>
                <w:sz w:val="24"/>
                <w:szCs w:val="24"/>
              </w:rPr>
              <w:t>）年平均浓度分别为8微克</w:t>
            </w:r>
            <w:r>
              <w:rPr>
                <w:rFonts w:hAnsi="宋体"/>
                <w:kern w:val="0"/>
                <w:sz w:val="24"/>
                <w:szCs w:val="24"/>
              </w:rPr>
              <w:t>/</w:t>
            </w:r>
            <w:r>
              <w:rPr>
                <w:rFonts w:hint="eastAsia" w:hAnsi="宋体"/>
                <w:kern w:val="0"/>
                <w:sz w:val="24"/>
                <w:szCs w:val="24"/>
              </w:rPr>
              <w:t>立方米、19微克</w:t>
            </w:r>
            <w:r>
              <w:rPr>
                <w:rFonts w:hAnsi="宋体"/>
                <w:kern w:val="0"/>
                <w:sz w:val="24"/>
                <w:szCs w:val="24"/>
              </w:rPr>
              <w:t>/</w:t>
            </w:r>
            <w:r>
              <w:rPr>
                <w:rFonts w:hint="eastAsia" w:hAnsi="宋体"/>
                <w:kern w:val="0"/>
                <w:sz w:val="24"/>
                <w:szCs w:val="24"/>
              </w:rPr>
              <w:t>立方米、67微克</w:t>
            </w:r>
            <w:r>
              <w:rPr>
                <w:rFonts w:hAnsi="宋体"/>
                <w:kern w:val="0"/>
                <w:sz w:val="24"/>
                <w:szCs w:val="24"/>
              </w:rPr>
              <w:t>/</w:t>
            </w:r>
            <w:r>
              <w:rPr>
                <w:rFonts w:hint="eastAsia" w:hAnsi="宋体"/>
                <w:kern w:val="0"/>
                <w:sz w:val="24"/>
                <w:szCs w:val="24"/>
              </w:rPr>
              <w:t>立方米、41微克</w:t>
            </w:r>
            <w:r>
              <w:rPr>
                <w:rFonts w:hAnsi="宋体"/>
                <w:kern w:val="0"/>
                <w:sz w:val="24"/>
                <w:szCs w:val="24"/>
              </w:rPr>
              <w:t>/</w:t>
            </w:r>
            <w:r>
              <w:rPr>
                <w:rFonts w:hint="eastAsia" w:hAnsi="宋体"/>
                <w:kern w:val="0"/>
                <w:sz w:val="24"/>
                <w:szCs w:val="24"/>
              </w:rPr>
              <w:t>立方米，与上年相比下降了2.4%。</w:t>
            </w:r>
          </w:p>
          <w:p w14:paraId="78BB666B">
            <w:pPr>
              <w:adjustRightInd w:val="0"/>
              <w:spacing w:line="360" w:lineRule="auto"/>
              <w:ind w:firstLine="480" w:firstLineChars="200"/>
              <w:jc w:val="left"/>
              <w:rPr>
                <w:sz w:val="24"/>
              </w:rPr>
            </w:pPr>
            <w:r>
              <w:rPr>
                <w:rFonts w:hAnsi="宋体"/>
                <w:sz w:val="24"/>
              </w:rPr>
              <w:t>项目所在区域空气质量现状评价见下表：</w:t>
            </w:r>
          </w:p>
          <w:p w14:paraId="1D886A3A">
            <w:pPr>
              <w:autoSpaceDE w:val="0"/>
              <w:autoSpaceDN w:val="0"/>
              <w:adjustRightInd w:val="0"/>
              <w:snapToGrid w:val="0"/>
              <w:jc w:val="center"/>
              <w:rPr>
                <w:b/>
                <w:szCs w:val="21"/>
              </w:rPr>
            </w:pPr>
            <w:r>
              <w:rPr>
                <w:rFonts w:hAnsi="黑体" w:eastAsia="黑体"/>
                <w:sz w:val="24"/>
                <w:szCs w:val="24"/>
              </w:rPr>
              <w:t>表</w:t>
            </w:r>
            <w:r>
              <w:rPr>
                <w:rFonts w:hint="eastAsia" w:hAnsi="黑体" w:eastAsia="黑体"/>
                <w:sz w:val="24"/>
                <w:szCs w:val="24"/>
              </w:rPr>
              <w:t>23</w:t>
            </w:r>
            <w:r>
              <w:rPr>
                <w:rFonts w:hAnsi="黑体" w:eastAsia="黑体"/>
                <w:sz w:val="24"/>
                <w:szCs w:val="24"/>
              </w:rPr>
              <w:t xml:space="preserve">  区域空气质量现状评价表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98"/>
              <w:gridCol w:w="2185"/>
              <w:gridCol w:w="1398"/>
              <w:gridCol w:w="1232"/>
              <w:gridCol w:w="748"/>
              <w:gridCol w:w="1178"/>
            </w:tblGrid>
            <w:tr w14:paraId="4DEF1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5" w:type="pct"/>
                  <w:tcBorders>
                    <w:top w:val="single" w:color="auto" w:sz="12" w:space="0"/>
                    <w:left w:val="nil"/>
                    <w:bottom w:val="single" w:color="auto" w:sz="4" w:space="0"/>
                    <w:right w:val="single" w:color="auto" w:sz="4" w:space="0"/>
                  </w:tcBorders>
                  <w:vAlign w:val="center"/>
                </w:tcPr>
                <w:p w14:paraId="37308F83">
                  <w:pPr>
                    <w:widowControl/>
                    <w:spacing w:line="276" w:lineRule="auto"/>
                    <w:jc w:val="center"/>
                    <w:rPr>
                      <w:b/>
                      <w:bCs/>
                      <w:kern w:val="0"/>
                      <w:szCs w:val="21"/>
                    </w:rPr>
                  </w:pPr>
                  <w:r>
                    <w:rPr>
                      <w:rFonts w:hint="eastAsia" w:hAnsi="宋体"/>
                      <w:b/>
                      <w:bCs/>
                      <w:kern w:val="0"/>
                      <w:szCs w:val="21"/>
                    </w:rPr>
                    <w:t>污染物</w:t>
                  </w:r>
                </w:p>
              </w:tc>
              <w:tc>
                <w:tcPr>
                  <w:tcW w:w="1412" w:type="pct"/>
                  <w:tcBorders>
                    <w:top w:val="single" w:color="auto" w:sz="12" w:space="0"/>
                    <w:left w:val="single" w:color="auto" w:sz="4" w:space="0"/>
                    <w:bottom w:val="single" w:color="auto" w:sz="4" w:space="0"/>
                    <w:right w:val="single" w:color="auto" w:sz="4" w:space="0"/>
                  </w:tcBorders>
                  <w:vAlign w:val="center"/>
                </w:tcPr>
                <w:p w14:paraId="4C80851F">
                  <w:pPr>
                    <w:widowControl/>
                    <w:spacing w:line="276" w:lineRule="auto"/>
                    <w:jc w:val="center"/>
                    <w:rPr>
                      <w:b/>
                      <w:bCs/>
                      <w:kern w:val="0"/>
                      <w:szCs w:val="21"/>
                    </w:rPr>
                  </w:pPr>
                  <w:r>
                    <w:rPr>
                      <w:rFonts w:hint="eastAsia" w:hAnsi="宋体"/>
                      <w:b/>
                      <w:bCs/>
                      <w:kern w:val="0"/>
                      <w:szCs w:val="21"/>
                    </w:rPr>
                    <w:t>年评价指标</w:t>
                  </w:r>
                </w:p>
              </w:tc>
              <w:tc>
                <w:tcPr>
                  <w:tcW w:w="903" w:type="pct"/>
                  <w:tcBorders>
                    <w:top w:val="single" w:color="auto" w:sz="12" w:space="0"/>
                    <w:left w:val="single" w:color="auto" w:sz="4" w:space="0"/>
                    <w:bottom w:val="single" w:color="auto" w:sz="4" w:space="0"/>
                    <w:right w:val="single" w:color="auto" w:sz="4" w:space="0"/>
                  </w:tcBorders>
                  <w:vAlign w:val="center"/>
                </w:tcPr>
                <w:p w14:paraId="3622C778">
                  <w:pPr>
                    <w:widowControl/>
                    <w:spacing w:line="276" w:lineRule="auto"/>
                    <w:jc w:val="center"/>
                    <w:rPr>
                      <w:b/>
                      <w:bCs/>
                      <w:kern w:val="0"/>
                      <w:szCs w:val="21"/>
                    </w:rPr>
                  </w:pPr>
                  <w:r>
                    <w:rPr>
                      <w:rFonts w:hint="eastAsia" w:hAnsi="宋体"/>
                      <w:b/>
                      <w:bCs/>
                      <w:kern w:val="0"/>
                      <w:szCs w:val="21"/>
                    </w:rPr>
                    <w:t>现状浓度</w:t>
                  </w:r>
                </w:p>
                <w:p w14:paraId="0D3E7705">
                  <w:pPr>
                    <w:widowControl/>
                    <w:spacing w:line="276" w:lineRule="auto"/>
                    <w:jc w:val="center"/>
                    <w:rPr>
                      <w:b/>
                      <w:bCs/>
                      <w:kern w:val="0"/>
                      <w:szCs w:val="21"/>
                    </w:rPr>
                  </w:pPr>
                  <w:r>
                    <w:rPr>
                      <w:rFonts w:hint="eastAsia" w:hAnsi="宋体"/>
                      <w:b/>
                      <w:bCs/>
                      <w:kern w:val="0"/>
                      <w:szCs w:val="21"/>
                    </w:rPr>
                    <w:t>（</w:t>
                  </w:r>
                  <w:r>
                    <w:rPr>
                      <w:b/>
                      <w:bCs/>
                      <w:kern w:val="0"/>
                      <w:szCs w:val="21"/>
                    </w:rPr>
                    <w:t>μg/m</w:t>
                  </w:r>
                  <w:r>
                    <w:rPr>
                      <w:b/>
                      <w:bCs/>
                      <w:kern w:val="0"/>
                      <w:szCs w:val="21"/>
                      <w:vertAlign w:val="superscript"/>
                    </w:rPr>
                    <w:t>3</w:t>
                  </w:r>
                  <w:r>
                    <w:rPr>
                      <w:rFonts w:hint="eastAsia" w:hAnsi="宋体"/>
                      <w:b/>
                      <w:bCs/>
                      <w:kern w:val="0"/>
                      <w:szCs w:val="21"/>
                    </w:rPr>
                    <w:t>）</w:t>
                  </w:r>
                </w:p>
              </w:tc>
              <w:tc>
                <w:tcPr>
                  <w:tcW w:w="796" w:type="pct"/>
                  <w:tcBorders>
                    <w:top w:val="single" w:color="auto" w:sz="12" w:space="0"/>
                    <w:left w:val="single" w:color="auto" w:sz="4" w:space="0"/>
                    <w:bottom w:val="single" w:color="auto" w:sz="4" w:space="0"/>
                    <w:right w:val="single" w:color="auto" w:sz="4" w:space="0"/>
                  </w:tcBorders>
                  <w:vAlign w:val="center"/>
                </w:tcPr>
                <w:p w14:paraId="082A9096">
                  <w:pPr>
                    <w:widowControl/>
                    <w:spacing w:line="276" w:lineRule="auto"/>
                    <w:jc w:val="center"/>
                    <w:rPr>
                      <w:b/>
                      <w:bCs/>
                      <w:kern w:val="0"/>
                      <w:szCs w:val="21"/>
                    </w:rPr>
                  </w:pPr>
                  <w:r>
                    <w:rPr>
                      <w:rFonts w:hint="eastAsia" w:hAnsi="宋体"/>
                      <w:b/>
                      <w:bCs/>
                      <w:kern w:val="0"/>
                      <w:szCs w:val="21"/>
                    </w:rPr>
                    <w:t>标准值</w:t>
                  </w:r>
                </w:p>
                <w:p w14:paraId="664032D1">
                  <w:pPr>
                    <w:widowControl/>
                    <w:spacing w:line="276" w:lineRule="auto"/>
                    <w:jc w:val="center"/>
                    <w:rPr>
                      <w:b/>
                      <w:bCs/>
                      <w:kern w:val="0"/>
                      <w:szCs w:val="21"/>
                    </w:rPr>
                  </w:pPr>
                  <w:r>
                    <w:rPr>
                      <w:rFonts w:hint="eastAsia" w:hAnsi="宋体"/>
                      <w:b/>
                      <w:bCs/>
                      <w:kern w:val="0"/>
                      <w:szCs w:val="21"/>
                    </w:rPr>
                    <w:t>（</w:t>
                  </w:r>
                  <w:r>
                    <w:rPr>
                      <w:b/>
                      <w:bCs/>
                      <w:kern w:val="0"/>
                      <w:szCs w:val="21"/>
                    </w:rPr>
                    <w:t>μg/m</w:t>
                  </w:r>
                  <w:r>
                    <w:rPr>
                      <w:b/>
                      <w:bCs/>
                      <w:kern w:val="0"/>
                      <w:szCs w:val="21"/>
                      <w:vertAlign w:val="superscript"/>
                    </w:rPr>
                    <w:t>3</w:t>
                  </w:r>
                  <w:r>
                    <w:rPr>
                      <w:rFonts w:hint="eastAsia" w:hAnsi="宋体"/>
                      <w:b/>
                      <w:bCs/>
                      <w:kern w:val="0"/>
                      <w:szCs w:val="21"/>
                    </w:rPr>
                    <w:t>）</w:t>
                  </w:r>
                </w:p>
              </w:tc>
              <w:tc>
                <w:tcPr>
                  <w:tcW w:w="483" w:type="pct"/>
                  <w:tcBorders>
                    <w:top w:val="single" w:color="auto" w:sz="12" w:space="0"/>
                    <w:left w:val="single" w:color="auto" w:sz="4" w:space="0"/>
                    <w:bottom w:val="single" w:color="auto" w:sz="4" w:space="0"/>
                    <w:right w:val="single" w:color="auto" w:sz="4" w:space="0"/>
                  </w:tcBorders>
                  <w:vAlign w:val="center"/>
                </w:tcPr>
                <w:p w14:paraId="78A5B8D5">
                  <w:pPr>
                    <w:widowControl/>
                    <w:spacing w:line="276" w:lineRule="auto"/>
                    <w:jc w:val="center"/>
                    <w:rPr>
                      <w:b/>
                      <w:bCs/>
                      <w:kern w:val="0"/>
                      <w:szCs w:val="21"/>
                    </w:rPr>
                  </w:pPr>
                  <w:r>
                    <w:rPr>
                      <w:rFonts w:hint="eastAsia" w:hAnsi="宋体"/>
                      <w:b/>
                      <w:bCs/>
                      <w:kern w:val="0"/>
                      <w:szCs w:val="21"/>
                    </w:rPr>
                    <w:t>占标率（</w:t>
                  </w:r>
                  <w:r>
                    <w:rPr>
                      <w:b/>
                      <w:bCs/>
                      <w:kern w:val="0"/>
                      <w:szCs w:val="21"/>
                    </w:rPr>
                    <w:t>%</w:t>
                  </w:r>
                  <w:r>
                    <w:rPr>
                      <w:rFonts w:hint="eastAsia" w:hAnsi="宋体"/>
                      <w:b/>
                      <w:bCs/>
                      <w:kern w:val="0"/>
                      <w:szCs w:val="21"/>
                    </w:rPr>
                    <w:t>）</w:t>
                  </w:r>
                </w:p>
              </w:tc>
              <w:tc>
                <w:tcPr>
                  <w:tcW w:w="761" w:type="pct"/>
                  <w:tcBorders>
                    <w:top w:val="single" w:color="auto" w:sz="12" w:space="0"/>
                    <w:left w:val="single" w:color="auto" w:sz="4" w:space="0"/>
                    <w:bottom w:val="single" w:color="auto" w:sz="4" w:space="0"/>
                    <w:right w:val="nil"/>
                  </w:tcBorders>
                  <w:vAlign w:val="center"/>
                </w:tcPr>
                <w:p w14:paraId="73BF69D5">
                  <w:pPr>
                    <w:widowControl/>
                    <w:spacing w:line="276" w:lineRule="auto"/>
                    <w:jc w:val="center"/>
                    <w:rPr>
                      <w:b/>
                      <w:bCs/>
                      <w:kern w:val="0"/>
                      <w:szCs w:val="21"/>
                    </w:rPr>
                  </w:pPr>
                  <w:r>
                    <w:rPr>
                      <w:rFonts w:hint="eastAsia" w:hAnsi="宋体"/>
                      <w:b/>
                      <w:bCs/>
                      <w:kern w:val="0"/>
                      <w:szCs w:val="21"/>
                    </w:rPr>
                    <w:t>达标情况</w:t>
                  </w:r>
                </w:p>
              </w:tc>
            </w:tr>
            <w:tr w14:paraId="7F0C71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5" w:type="pct"/>
                  <w:tcBorders>
                    <w:top w:val="single" w:color="auto" w:sz="4" w:space="0"/>
                    <w:left w:val="nil"/>
                    <w:bottom w:val="single" w:color="auto" w:sz="4" w:space="0"/>
                    <w:right w:val="single" w:color="auto" w:sz="4" w:space="0"/>
                  </w:tcBorders>
                  <w:vAlign w:val="center"/>
                </w:tcPr>
                <w:p w14:paraId="523A0B9F">
                  <w:pPr>
                    <w:widowControl/>
                    <w:spacing w:line="276" w:lineRule="auto"/>
                    <w:jc w:val="center"/>
                    <w:rPr>
                      <w:bCs/>
                      <w:kern w:val="0"/>
                      <w:szCs w:val="21"/>
                    </w:rPr>
                  </w:pPr>
                  <w:r>
                    <w:rPr>
                      <w:bCs/>
                      <w:kern w:val="0"/>
                      <w:szCs w:val="21"/>
                    </w:rPr>
                    <w:t>SO</w:t>
                  </w:r>
                  <w:r>
                    <w:rPr>
                      <w:bCs/>
                      <w:kern w:val="0"/>
                      <w:szCs w:val="21"/>
                      <w:vertAlign w:val="subscript"/>
                    </w:rPr>
                    <w:t>2</w:t>
                  </w:r>
                </w:p>
              </w:tc>
              <w:tc>
                <w:tcPr>
                  <w:tcW w:w="1412" w:type="pct"/>
                  <w:tcBorders>
                    <w:top w:val="single" w:color="auto" w:sz="4" w:space="0"/>
                    <w:left w:val="single" w:color="auto" w:sz="4" w:space="0"/>
                    <w:bottom w:val="single" w:color="auto" w:sz="4" w:space="0"/>
                    <w:right w:val="single" w:color="auto" w:sz="4" w:space="0"/>
                  </w:tcBorders>
                  <w:vAlign w:val="center"/>
                </w:tcPr>
                <w:p w14:paraId="09A3AD88">
                  <w:pPr>
                    <w:widowControl/>
                    <w:spacing w:line="276" w:lineRule="auto"/>
                    <w:jc w:val="center"/>
                    <w:rPr>
                      <w:bCs/>
                      <w:kern w:val="0"/>
                      <w:szCs w:val="21"/>
                    </w:rPr>
                  </w:pPr>
                  <w:r>
                    <w:rPr>
                      <w:rFonts w:hint="eastAsia" w:hAnsi="宋体"/>
                      <w:bCs/>
                      <w:kern w:val="0"/>
                      <w:szCs w:val="21"/>
                    </w:rPr>
                    <w:t>年平均质量浓度</w:t>
                  </w:r>
                </w:p>
              </w:tc>
              <w:tc>
                <w:tcPr>
                  <w:tcW w:w="903" w:type="pct"/>
                  <w:tcBorders>
                    <w:top w:val="single" w:color="auto" w:sz="4" w:space="0"/>
                    <w:left w:val="single" w:color="auto" w:sz="4" w:space="0"/>
                    <w:bottom w:val="single" w:color="auto" w:sz="4" w:space="0"/>
                    <w:right w:val="single" w:color="auto" w:sz="4" w:space="0"/>
                  </w:tcBorders>
                  <w:vAlign w:val="center"/>
                </w:tcPr>
                <w:p w14:paraId="3F2EB75D">
                  <w:pPr>
                    <w:widowControl/>
                    <w:spacing w:line="276" w:lineRule="auto"/>
                    <w:jc w:val="center"/>
                    <w:rPr>
                      <w:bCs/>
                      <w:kern w:val="0"/>
                      <w:szCs w:val="21"/>
                    </w:rPr>
                  </w:pPr>
                  <w:r>
                    <w:rPr>
                      <w:rFonts w:hint="eastAsia"/>
                      <w:bCs/>
                      <w:kern w:val="0"/>
                      <w:szCs w:val="21"/>
                    </w:rPr>
                    <w:t>8</w:t>
                  </w:r>
                </w:p>
              </w:tc>
              <w:tc>
                <w:tcPr>
                  <w:tcW w:w="796" w:type="pct"/>
                  <w:tcBorders>
                    <w:top w:val="single" w:color="auto" w:sz="4" w:space="0"/>
                    <w:left w:val="single" w:color="auto" w:sz="4" w:space="0"/>
                    <w:bottom w:val="single" w:color="auto" w:sz="4" w:space="0"/>
                    <w:right w:val="single" w:color="auto" w:sz="4" w:space="0"/>
                  </w:tcBorders>
                  <w:vAlign w:val="center"/>
                </w:tcPr>
                <w:p w14:paraId="3DA93322">
                  <w:pPr>
                    <w:widowControl/>
                    <w:spacing w:line="276" w:lineRule="auto"/>
                    <w:jc w:val="center"/>
                    <w:rPr>
                      <w:bCs/>
                      <w:kern w:val="0"/>
                      <w:szCs w:val="21"/>
                    </w:rPr>
                  </w:pPr>
                  <w:r>
                    <w:rPr>
                      <w:bCs/>
                      <w:kern w:val="0"/>
                      <w:szCs w:val="21"/>
                    </w:rPr>
                    <w:t>60</w:t>
                  </w:r>
                </w:p>
              </w:tc>
              <w:tc>
                <w:tcPr>
                  <w:tcW w:w="483" w:type="pct"/>
                  <w:tcBorders>
                    <w:top w:val="single" w:color="auto" w:sz="4" w:space="0"/>
                    <w:left w:val="single" w:color="auto" w:sz="4" w:space="0"/>
                    <w:bottom w:val="single" w:color="auto" w:sz="4" w:space="0"/>
                    <w:right w:val="single" w:color="auto" w:sz="4" w:space="0"/>
                  </w:tcBorders>
                  <w:vAlign w:val="center"/>
                </w:tcPr>
                <w:p w14:paraId="7C5D5ACC">
                  <w:pPr>
                    <w:widowControl/>
                    <w:spacing w:line="276" w:lineRule="auto"/>
                    <w:jc w:val="center"/>
                    <w:rPr>
                      <w:bCs/>
                      <w:kern w:val="0"/>
                      <w:szCs w:val="21"/>
                    </w:rPr>
                  </w:pPr>
                  <w:r>
                    <w:rPr>
                      <w:bCs/>
                      <w:kern w:val="0"/>
                      <w:szCs w:val="21"/>
                    </w:rPr>
                    <w:t>1</w:t>
                  </w:r>
                  <w:r>
                    <w:rPr>
                      <w:rFonts w:hint="eastAsia"/>
                      <w:bCs/>
                      <w:kern w:val="0"/>
                      <w:szCs w:val="21"/>
                    </w:rPr>
                    <w:t>3.3</w:t>
                  </w:r>
                </w:p>
              </w:tc>
              <w:tc>
                <w:tcPr>
                  <w:tcW w:w="761" w:type="pct"/>
                  <w:tcBorders>
                    <w:top w:val="single" w:color="auto" w:sz="4" w:space="0"/>
                    <w:left w:val="single" w:color="auto" w:sz="4" w:space="0"/>
                    <w:bottom w:val="single" w:color="auto" w:sz="4" w:space="0"/>
                    <w:right w:val="nil"/>
                  </w:tcBorders>
                  <w:vAlign w:val="center"/>
                </w:tcPr>
                <w:p w14:paraId="3732C9F5">
                  <w:pPr>
                    <w:widowControl/>
                    <w:spacing w:line="276" w:lineRule="auto"/>
                    <w:jc w:val="center"/>
                    <w:rPr>
                      <w:bCs/>
                      <w:kern w:val="0"/>
                      <w:szCs w:val="21"/>
                    </w:rPr>
                  </w:pPr>
                  <w:r>
                    <w:rPr>
                      <w:rFonts w:hint="eastAsia" w:hAnsi="宋体"/>
                      <w:bCs/>
                      <w:kern w:val="0"/>
                      <w:szCs w:val="21"/>
                    </w:rPr>
                    <w:t>达标</w:t>
                  </w:r>
                </w:p>
              </w:tc>
            </w:tr>
            <w:tr w14:paraId="1E8F76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1" w:hRule="atLeast"/>
              </w:trPr>
              <w:tc>
                <w:tcPr>
                  <w:tcW w:w="645" w:type="pct"/>
                  <w:tcBorders>
                    <w:top w:val="single" w:color="auto" w:sz="4" w:space="0"/>
                    <w:left w:val="nil"/>
                    <w:bottom w:val="single" w:color="auto" w:sz="4" w:space="0"/>
                    <w:right w:val="single" w:color="auto" w:sz="4" w:space="0"/>
                  </w:tcBorders>
                  <w:vAlign w:val="center"/>
                </w:tcPr>
                <w:p w14:paraId="605180CD">
                  <w:pPr>
                    <w:widowControl/>
                    <w:spacing w:line="276" w:lineRule="auto"/>
                    <w:jc w:val="center"/>
                    <w:rPr>
                      <w:bCs/>
                      <w:kern w:val="0"/>
                      <w:szCs w:val="21"/>
                    </w:rPr>
                  </w:pPr>
                  <w:r>
                    <w:rPr>
                      <w:bCs/>
                      <w:kern w:val="0"/>
                      <w:szCs w:val="21"/>
                    </w:rPr>
                    <w:t>NO</w:t>
                  </w:r>
                  <w:r>
                    <w:rPr>
                      <w:bCs/>
                      <w:kern w:val="0"/>
                      <w:szCs w:val="21"/>
                      <w:vertAlign w:val="subscript"/>
                    </w:rPr>
                    <w:t>2</w:t>
                  </w:r>
                </w:p>
              </w:tc>
              <w:tc>
                <w:tcPr>
                  <w:tcW w:w="1412" w:type="pct"/>
                  <w:tcBorders>
                    <w:top w:val="single" w:color="auto" w:sz="4" w:space="0"/>
                    <w:left w:val="single" w:color="auto" w:sz="4" w:space="0"/>
                    <w:bottom w:val="single" w:color="auto" w:sz="4" w:space="0"/>
                    <w:right w:val="single" w:color="auto" w:sz="4" w:space="0"/>
                  </w:tcBorders>
                  <w:vAlign w:val="center"/>
                </w:tcPr>
                <w:p w14:paraId="3BF3CE04">
                  <w:pPr>
                    <w:widowControl/>
                    <w:spacing w:line="276" w:lineRule="auto"/>
                    <w:jc w:val="center"/>
                    <w:rPr>
                      <w:bCs/>
                      <w:kern w:val="0"/>
                      <w:szCs w:val="21"/>
                    </w:rPr>
                  </w:pPr>
                  <w:r>
                    <w:rPr>
                      <w:rFonts w:hint="eastAsia" w:hAnsi="宋体"/>
                      <w:bCs/>
                      <w:kern w:val="0"/>
                      <w:szCs w:val="21"/>
                    </w:rPr>
                    <w:t>年平均质量浓度</w:t>
                  </w:r>
                </w:p>
              </w:tc>
              <w:tc>
                <w:tcPr>
                  <w:tcW w:w="903" w:type="pct"/>
                  <w:tcBorders>
                    <w:top w:val="single" w:color="auto" w:sz="4" w:space="0"/>
                    <w:left w:val="single" w:color="auto" w:sz="4" w:space="0"/>
                    <w:bottom w:val="single" w:color="auto" w:sz="4" w:space="0"/>
                    <w:right w:val="single" w:color="auto" w:sz="4" w:space="0"/>
                  </w:tcBorders>
                  <w:vAlign w:val="center"/>
                </w:tcPr>
                <w:p w14:paraId="4794FD21">
                  <w:pPr>
                    <w:widowControl/>
                    <w:spacing w:line="276" w:lineRule="auto"/>
                    <w:jc w:val="center"/>
                    <w:rPr>
                      <w:bCs/>
                      <w:kern w:val="0"/>
                      <w:szCs w:val="21"/>
                    </w:rPr>
                  </w:pPr>
                  <w:r>
                    <w:rPr>
                      <w:rFonts w:hint="eastAsia"/>
                      <w:bCs/>
                      <w:kern w:val="0"/>
                      <w:szCs w:val="21"/>
                    </w:rPr>
                    <w:t>19</w:t>
                  </w:r>
                </w:p>
              </w:tc>
              <w:tc>
                <w:tcPr>
                  <w:tcW w:w="796" w:type="pct"/>
                  <w:tcBorders>
                    <w:top w:val="single" w:color="auto" w:sz="4" w:space="0"/>
                    <w:left w:val="single" w:color="auto" w:sz="4" w:space="0"/>
                    <w:bottom w:val="single" w:color="auto" w:sz="4" w:space="0"/>
                    <w:right w:val="single" w:color="auto" w:sz="4" w:space="0"/>
                  </w:tcBorders>
                  <w:vAlign w:val="center"/>
                </w:tcPr>
                <w:p w14:paraId="74B9A5A2">
                  <w:pPr>
                    <w:widowControl/>
                    <w:spacing w:line="276" w:lineRule="auto"/>
                    <w:jc w:val="center"/>
                    <w:rPr>
                      <w:bCs/>
                      <w:kern w:val="0"/>
                      <w:szCs w:val="21"/>
                    </w:rPr>
                  </w:pPr>
                  <w:r>
                    <w:rPr>
                      <w:bCs/>
                      <w:kern w:val="0"/>
                      <w:szCs w:val="21"/>
                    </w:rPr>
                    <w:t>40</w:t>
                  </w:r>
                </w:p>
              </w:tc>
              <w:tc>
                <w:tcPr>
                  <w:tcW w:w="483" w:type="pct"/>
                  <w:tcBorders>
                    <w:top w:val="single" w:color="auto" w:sz="4" w:space="0"/>
                    <w:left w:val="single" w:color="auto" w:sz="4" w:space="0"/>
                    <w:bottom w:val="single" w:color="auto" w:sz="4" w:space="0"/>
                    <w:right w:val="single" w:color="auto" w:sz="4" w:space="0"/>
                  </w:tcBorders>
                  <w:vAlign w:val="center"/>
                </w:tcPr>
                <w:p w14:paraId="3CE7639A">
                  <w:pPr>
                    <w:widowControl/>
                    <w:spacing w:line="276" w:lineRule="auto"/>
                    <w:jc w:val="center"/>
                    <w:rPr>
                      <w:bCs/>
                      <w:kern w:val="0"/>
                      <w:szCs w:val="21"/>
                    </w:rPr>
                  </w:pPr>
                  <w:r>
                    <w:rPr>
                      <w:rFonts w:hint="eastAsia"/>
                      <w:bCs/>
                      <w:kern w:val="0"/>
                      <w:szCs w:val="21"/>
                    </w:rPr>
                    <w:t>47.5</w:t>
                  </w:r>
                </w:p>
              </w:tc>
              <w:tc>
                <w:tcPr>
                  <w:tcW w:w="761" w:type="pct"/>
                  <w:tcBorders>
                    <w:top w:val="single" w:color="auto" w:sz="4" w:space="0"/>
                    <w:left w:val="single" w:color="auto" w:sz="4" w:space="0"/>
                    <w:bottom w:val="single" w:color="auto" w:sz="4" w:space="0"/>
                    <w:right w:val="nil"/>
                  </w:tcBorders>
                  <w:vAlign w:val="center"/>
                </w:tcPr>
                <w:p w14:paraId="5E2A640A">
                  <w:pPr>
                    <w:widowControl/>
                    <w:spacing w:line="276" w:lineRule="auto"/>
                    <w:jc w:val="center"/>
                    <w:rPr>
                      <w:bCs/>
                      <w:kern w:val="0"/>
                      <w:szCs w:val="21"/>
                    </w:rPr>
                  </w:pPr>
                  <w:r>
                    <w:rPr>
                      <w:rFonts w:hint="eastAsia" w:hAnsi="宋体"/>
                      <w:bCs/>
                      <w:kern w:val="0"/>
                      <w:szCs w:val="21"/>
                    </w:rPr>
                    <w:t>达标</w:t>
                  </w:r>
                </w:p>
              </w:tc>
            </w:tr>
            <w:tr w14:paraId="3A110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5" w:type="pct"/>
                  <w:tcBorders>
                    <w:top w:val="single" w:color="auto" w:sz="4" w:space="0"/>
                    <w:left w:val="nil"/>
                    <w:bottom w:val="single" w:color="auto" w:sz="4" w:space="0"/>
                    <w:right w:val="single" w:color="auto" w:sz="4" w:space="0"/>
                  </w:tcBorders>
                  <w:vAlign w:val="center"/>
                </w:tcPr>
                <w:p w14:paraId="5CF9447B">
                  <w:pPr>
                    <w:widowControl/>
                    <w:spacing w:line="276" w:lineRule="auto"/>
                    <w:jc w:val="center"/>
                    <w:rPr>
                      <w:bCs/>
                      <w:kern w:val="0"/>
                      <w:szCs w:val="21"/>
                    </w:rPr>
                  </w:pPr>
                  <w:r>
                    <w:rPr>
                      <w:bCs/>
                      <w:kern w:val="0"/>
                      <w:szCs w:val="21"/>
                    </w:rPr>
                    <w:t>PM</w:t>
                  </w:r>
                  <w:r>
                    <w:rPr>
                      <w:bCs/>
                      <w:kern w:val="0"/>
                      <w:szCs w:val="21"/>
                      <w:vertAlign w:val="subscript"/>
                    </w:rPr>
                    <w:t>10</w:t>
                  </w:r>
                </w:p>
              </w:tc>
              <w:tc>
                <w:tcPr>
                  <w:tcW w:w="1412" w:type="pct"/>
                  <w:tcBorders>
                    <w:top w:val="single" w:color="auto" w:sz="4" w:space="0"/>
                    <w:left w:val="single" w:color="auto" w:sz="4" w:space="0"/>
                    <w:bottom w:val="single" w:color="auto" w:sz="4" w:space="0"/>
                    <w:right w:val="single" w:color="auto" w:sz="4" w:space="0"/>
                  </w:tcBorders>
                  <w:vAlign w:val="center"/>
                </w:tcPr>
                <w:p w14:paraId="7C2D3CF5">
                  <w:pPr>
                    <w:widowControl/>
                    <w:spacing w:line="276" w:lineRule="auto"/>
                    <w:jc w:val="center"/>
                    <w:rPr>
                      <w:bCs/>
                      <w:kern w:val="0"/>
                      <w:szCs w:val="21"/>
                    </w:rPr>
                  </w:pPr>
                  <w:r>
                    <w:rPr>
                      <w:rFonts w:hint="eastAsia" w:hAnsi="宋体"/>
                      <w:bCs/>
                      <w:kern w:val="0"/>
                      <w:szCs w:val="21"/>
                    </w:rPr>
                    <w:t>年平均质量浓度</w:t>
                  </w:r>
                </w:p>
              </w:tc>
              <w:tc>
                <w:tcPr>
                  <w:tcW w:w="903" w:type="pct"/>
                  <w:tcBorders>
                    <w:top w:val="single" w:color="auto" w:sz="4" w:space="0"/>
                    <w:left w:val="single" w:color="auto" w:sz="4" w:space="0"/>
                    <w:bottom w:val="single" w:color="auto" w:sz="4" w:space="0"/>
                    <w:right w:val="single" w:color="auto" w:sz="4" w:space="0"/>
                  </w:tcBorders>
                  <w:vAlign w:val="center"/>
                </w:tcPr>
                <w:p w14:paraId="41639870">
                  <w:pPr>
                    <w:widowControl/>
                    <w:spacing w:line="276" w:lineRule="auto"/>
                    <w:jc w:val="center"/>
                    <w:rPr>
                      <w:bCs/>
                      <w:kern w:val="0"/>
                      <w:szCs w:val="21"/>
                    </w:rPr>
                  </w:pPr>
                  <w:r>
                    <w:rPr>
                      <w:rFonts w:hint="eastAsia"/>
                      <w:bCs/>
                      <w:kern w:val="0"/>
                      <w:szCs w:val="21"/>
                    </w:rPr>
                    <w:t>67</w:t>
                  </w:r>
                </w:p>
              </w:tc>
              <w:tc>
                <w:tcPr>
                  <w:tcW w:w="796" w:type="pct"/>
                  <w:tcBorders>
                    <w:top w:val="single" w:color="auto" w:sz="4" w:space="0"/>
                    <w:left w:val="single" w:color="auto" w:sz="4" w:space="0"/>
                    <w:bottom w:val="single" w:color="auto" w:sz="4" w:space="0"/>
                    <w:right w:val="single" w:color="auto" w:sz="4" w:space="0"/>
                  </w:tcBorders>
                  <w:vAlign w:val="center"/>
                </w:tcPr>
                <w:p w14:paraId="3A33F8D1">
                  <w:pPr>
                    <w:widowControl/>
                    <w:spacing w:line="276" w:lineRule="auto"/>
                    <w:jc w:val="center"/>
                    <w:rPr>
                      <w:bCs/>
                      <w:kern w:val="0"/>
                      <w:szCs w:val="21"/>
                    </w:rPr>
                  </w:pPr>
                  <w:r>
                    <w:rPr>
                      <w:bCs/>
                      <w:kern w:val="0"/>
                      <w:szCs w:val="21"/>
                    </w:rPr>
                    <w:t>70</w:t>
                  </w:r>
                </w:p>
              </w:tc>
              <w:tc>
                <w:tcPr>
                  <w:tcW w:w="483" w:type="pct"/>
                  <w:tcBorders>
                    <w:top w:val="single" w:color="auto" w:sz="4" w:space="0"/>
                    <w:left w:val="single" w:color="auto" w:sz="4" w:space="0"/>
                    <w:bottom w:val="single" w:color="auto" w:sz="4" w:space="0"/>
                    <w:right w:val="single" w:color="auto" w:sz="4" w:space="0"/>
                  </w:tcBorders>
                  <w:vAlign w:val="center"/>
                </w:tcPr>
                <w:p w14:paraId="0951F9E5">
                  <w:pPr>
                    <w:widowControl/>
                    <w:spacing w:line="276" w:lineRule="auto"/>
                    <w:jc w:val="center"/>
                    <w:rPr>
                      <w:bCs/>
                      <w:kern w:val="0"/>
                      <w:szCs w:val="21"/>
                    </w:rPr>
                  </w:pPr>
                  <w:r>
                    <w:rPr>
                      <w:rFonts w:hint="eastAsia"/>
                      <w:bCs/>
                      <w:kern w:val="0"/>
                      <w:szCs w:val="21"/>
                    </w:rPr>
                    <w:t>95.7</w:t>
                  </w:r>
                </w:p>
              </w:tc>
              <w:tc>
                <w:tcPr>
                  <w:tcW w:w="761" w:type="pct"/>
                  <w:tcBorders>
                    <w:top w:val="single" w:color="auto" w:sz="4" w:space="0"/>
                    <w:left w:val="single" w:color="auto" w:sz="4" w:space="0"/>
                    <w:bottom w:val="single" w:color="auto" w:sz="4" w:space="0"/>
                    <w:right w:val="nil"/>
                  </w:tcBorders>
                  <w:vAlign w:val="center"/>
                </w:tcPr>
                <w:p w14:paraId="579F2BC9">
                  <w:pPr>
                    <w:widowControl/>
                    <w:spacing w:line="276" w:lineRule="auto"/>
                    <w:jc w:val="center"/>
                    <w:rPr>
                      <w:bCs/>
                      <w:kern w:val="0"/>
                      <w:szCs w:val="21"/>
                    </w:rPr>
                  </w:pPr>
                  <w:r>
                    <w:rPr>
                      <w:bCs/>
                      <w:kern w:val="0"/>
                      <w:szCs w:val="21"/>
                    </w:rPr>
                    <w:t>达标</w:t>
                  </w:r>
                </w:p>
              </w:tc>
            </w:tr>
            <w:tr w14:paraId="5DFCD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5" w:type="pct"/>
                  <w:tcBorders>
                    <w:top w:val="single" w:color="auto" w:sz="4" w:space="0"/>
                    <w:left w:val="nil"/>
                    <w:bottom w:val="single" w:color="auto" w:sz="4" w:space="0"/>
                    <w:right w:val="single" w:color="auto" w:sz="4" w:space="0"/>
                  </w:tcBorders>
                  <w:vAlign w:val="center"/>
                </w:tcPr>
                <w:p w14:paraId="24526AFE">
                  <w:pPr>
                    <w:widowControl/>
                    <w:spacing w:line="276" w:lineRule="auto"/>
                    <w:jc w:val="center"/>
                    <w:rPr>
                      <w:bCs/>
                      <w:kern w:val="0"/>
                      <w:szCs w:val="21"/>
                    </w:rPr>
                  </w:pPr>
                  <w:r>
                    <w:rPr>
                      <w:bCs/>
                      <w:kern w:val="0"/>
                      <w:szCs w:val="21"/>
                    </w:rPr>
                    <w:t>PM</w:t>
                  </w:r>
                  <w:r>
                    <w:rPr>
                      <w:bCs/>
                      <w:kern w:val="0"/>
                      <w:szCs w:val="21"/>
                      <w:vertAlign w:val="subscript"/>
                    </w:rPr>
                    <w:t>2.5</w:t>
                  </w:r>
                </w:p>
              </w:tc>
              <w:tc>
                <w:tcPr>
                  <w:tcW w:w="1412" w:type="pct"/>
                  <w:tcBorders>
                    <w:top w:val="single" w:color="auto" w:sz="4" w:space="0"/>
                    <w:left w:val="single" w:color="auto" w:sz="4" w:space="0"/>
                    <w:bottom w:val="single" w:color="auto" w:sz="4" w:space="0"/>
                    <w:right w:val="single" w:color="auto" w:sz="4" w:space="0"/>
                  </w:tcBorders>
                  <w:vAlign w:val="center"/>
                </w:tcPr>
                <w:p w14:paraId="1BB052D3">
                  <w:pPr>
                    <w:widowControl/>
                    <w:spacing w:line="276" w:lineRule="auto"/>
                    <w:jc w:val="center"/>
                    <w:rPr>
                      <w:bCs/>
                      <w:kern w:val="0"/>
                      <w:szCs w:val="21"/>
                    </w:rPr>
                  </w:pPr>
                  <w:r>
                    <w:rPr>
                      <w:rFonts w:hint="eastAsia" w:hAnsi="宋体"/>
                      <w:bCs/>
                      <w:kern w:val="0"/>
                      <w:szCs w:val="21"/>
                    </w:rPr>
                    <w:t>年平均质量浓度</w:t>
                  </w:r>
                </w:p>
              </w:tc>
              <w:tc>
                <w:tcPr>
                  <w:tcW w:w="903" w:type="pct"/>
                  <w:tcBorders>
                    <w:top w:val="single" w:color="auto" w:sz="4" w:space="0"/>
                    <w:left w:val="single" w:color="auto" w:sz="4" w:space="0"/>
                    <w:bottom w:val="single" w:color="auto" w:sz="4" w:space="0"/>
                    <w:right w:val="single" w:color="auto" w:sz="4" w:space="0"/>
                  </w:tcBorders>
                  <w:vAlign w:val="center"/>
                </w:tcPr>
                <w:p w14:paraId="7517D378">
                  <w:pPr>
                    <w:widowControl/>
                    <w:spacing w:line="276" w:lineRule="auto"/>
                    <w:jc w:val="center"/>
                    <w:rPr>
                      <w:bCs/>
                      <w:kern w:val="0"/>
                      <w:szCs w:val="21"/>
                    </w:rPr>
                  </w:pPr>
                  <w:r>
                    <w:rPr>
                      <w:rFonts w:hint="eastAsia"/>
                      <w:bCs/>
                      <w:kern w:val="0"/>
                      <w:szCs w:val="21"/>
                    </w:rPr>
                    <w:t>41</w:t>
                  </w:r>
                </w:p>
              </w:tc>
              <w:tc>
                <w:tcPr>
                  <w:tcW w:w="796" w:type="pct"/>
                  <w:tcBorders>
                    <w:top w:val="single" w:color="auto" w:sz="4" w:space="0"/>
                    <w:left w:val="single" w:color="auto" w:sz="4" w:space="0"/>
                    <w:bottom w:val="single" w:color="auto" w:sz="4" w:space="0"/>
                    <w:right w:val="single" w:color="auto" w:sz="4" w:space="0"/>
                  </w:tcBorders>
                  <w:vAlign w:val="center"/>
                </w:tcPr>
                <w:p w14:paraId="1A20A41F">
                  <w:pPr>
                    <w:widowControl/>
                    <w:spacing w:line="276" w:lineRule="auto"/>
                    <w:jc w:val="center"/>
                    <w:rPr>
                      <w:bCs/>
                      <w:kern w:val="0"/>
                      <w:szCs w:val="21"/>
                    </w:rPr>
                  </w:pPr>
                  <w:r>
                    <w:rPr>
                      <w:bCs/>
                      <w:kern w:val="0"/>
                      <w:szCs w:val="21"/>
                    </w:rPr>
                    <w:t>35</w:t>
                  </w:r>
                </w:p>
              </w:tc>
              <w:tc>
                <w:tcPr>
                  <w:tcW w:w="483" w:type="pct"/>
                  <w:tcBorders>
                    <w:top w:val="single" w:color="auto" w:sz="4" w:space="0"/>
                    <w:left w:val="single" w:color="auto" w:sz="4" w:space="0"/>
                    <w:bottom w:val="single" w:color="auto" w:sz="4" w:space="0"/>
                    <w:right w:val="single" w:color="auto" w:sz="4" w:space="0"/>
                  </w:tcBorders>
                  <w:vAlign w:val="center"/>
                </w:tcPr>
                <w:p w14:paraId="0CE94B9D">
                  <w:pPr>
                    <w:widowControl/>
                    <w:spacing w:line="276" w:lineRule="auto"/>
                    <w:jc w:val="center"/>
                    <w:rPr>
                      <w:bCs/>
                      <w:kern w:val="0"/>
                      <w:szCs w:val="21"/>
                    </w:rPr>
                  </w:pPr>
                  <w:r>
                    <w:rPr>
                      <w:rFonts w:hint="eastAsia"/>
                      <w:bCs/>
                      <w:kern w:val="0"/>
                      <w:szCs w:val="21"/>
                    </w:rPr>
                    <w:t>117</w:t>
                  </w:r>
                </w:p>
              </w:tc>
              <w:tc>
                <w:tcPr>
                  <w:tcW w:w="761" w:type="pct"/>
                  <w:tcBorders>
                    <w:top w:val="single" w:color="auto" w:sz="4" w:space="0"/>
                    <w:left w:val="single" w:color="auto" w:sz="4" w:space="0"/>
                    <w:bottom w:val="single" w:color="auto" w:sz="4" w:space="0"/>
                    <w:right w:val="nil"/>
                  </w:tcBorders>
                  <w:vAlign w:val="center"/>
                </w:tcPr>
                <w:p w14:paraId="15D9510E">
                  <w:pPr>
                    <w:widowControl/>
                    <w:spacing w:line="276" w:lineRule="auto"/>
                    <w:jc w:val="center"/>
                    <w:rPr>
                      <w:bCs/>
                      <w:kern w:val="0"/>
                      <w:szCs w:val="21"/>
                    </w:rPr>
                  </w:pPr>
                  <w:r>
                    <w:rPr>
                      <w:bCs/>
                      <w:kern w:val="0"/>
                      <w:szCs w:val="21"/>
                    </w:rPr>
                    <w:t>不达标</w:t>
                  </w:r>
                </w:p>
              </w:tc>
            </w:tr>
            <w:tr w14:paraId="4FB41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5" w:type="pct"/>
                  <w:tcBorders>
                    <w:top w:val="single" w:color="auto" w:sz="4" w:space="0"/>
                    <w:left w:val="nil"/>
                    <w:bottom w:val="single" w:color="auto" w:sz="4" w:space="0"/>
                    <w:right w:val="single" w:color="auto" w:sz="4" w:space="0"/>
                  </w:tcBorders>
                  <w:vAlign w:val="center"/>
                </w:tcPr>
                <w:p w14:paraId="4F724375">
                  <w:pPr>
                    <w:widowControl/>
                    <w:spacing w:line="276" w:lineRule="auto"/>
                    <w:jc w:val="center"/>
                    <w:rPr>
                      <w:bCs/>
                      <w:kern w:val="0"/>
                      <w:szCs w:val="21"/>
                    </w:rPr>
                  </w:pPr>
                  <w:r>
                    <w:rPr>
                      <w:bCs/>
                      <w:kern w:val="0"/>
                      <w:szCs w:val="21"/>
                    </w:rPr>
                    <w:t>CO</w:t>
                  </w:r>
                </w:p>
              </w:tc>
              <w:tc>
                <w:tcPr>
                  <w:tcW w:w="1412" w:type="pct"/>
                  <w:tcBorders>
                    <w:top w:val="single" w:color="auto" w:sz="4" w:space="0"/>
                    <w:left w:val="single" w:color="auto" w:sz="4" w:space="0"/>
                    <w:bottom w:val="single" w:color="auto" w:sz="4" w:space="0"/>
                    <w:right w:val="single" w:color="auto" w:sz="4" w:space="0"/>
                  </w:tcBorders>
                  <w:vAlign w:val="center"/>
                </w:tcPr>
                <w:p w14:paraId="4C25F954">
                  <w:pPr>
                    <w:widowControl/>
                    <w:spacing w:line="276" w:lineRule="auto"/>
                    <w:jc w:val="center"/>
                    <w:rPr>
                      <w:bCs/>
                      <w:kern w:val="0"/>
                      <w:szCs w:val="21"/>
                    </w:rPr>
                  </w:pPr>
                  <w:r>
                    <w:rPr>
                      <w:rFonts w:hint="eastAsia" w:hAnsi="宋体"/>
                      <w:bCs/>
                      <w:kern w:val="0"/>
                      <w:szCs w:val="21"/>
                    </w:rPr>
                    <w:t>第</w:t>
                  </w:r>
                  <w:r>
                    <w:rPr>
                      <w:bCs/>
                      <w:kern w:val="0"/>
                      <w:szCs w:val="21"/>
                    </w:rPr>
                    <w:t>95</w:t>
                  </w:r>
                  <w:r>
                    <w:rPr>
                      <w:rFonts w:hint="eastAsia" w:hAnsi="宋体"/>
                      <w:bCs/>
                      <w:kern w:val="0"/>
                      <w:szCs w:val="21"/>
                    </w:rPr>
                    <w:t>百分位数日平均质量浓度</w:t>
                  </w:r>
                </w:p>
              </w:tc>
              <w:tc>
                <w:tcPr>
                  <w:tcW w:w="903" w:type="pct"/>
                  <w:tcBorders>
                    <w:top w:val="single" w:color="auto" w:sz="4" w:space="0"/>
                    <w:left w:val="single" w:color="auto" w:sz="4" w:space="0"/>
                    <w:bottom w:val="single" w:color="auto" w:sz="4" w:space="0"/>
                    <w:right w:val="single" w:color="auto" w:sz="4" w:space="0"/>
                  </w:tcBorders>
                  <w:vAlign w:val="center"/>
                </w:tcPr>
                <w:p w14:paraId="292F693B">
                  <w:pPr>
                    <w:widowControl/>
                    <w:spacing w:line="276" w:lineRule="auto"/>
                    <w:jc w:val="center"/>
                    <w:rPr>
                      <w:bCs/>
                      <w:kern w:val="0"/>
                      <w:szCs w:val="21"/>
                    </w:rPr>
                  </w:pPr>
                  <w:r>
                    <w:rPr>
                      <w:rFonts w:hint="eastAsia"/>
                      <w:bCs/>
                      <w:kern w:val="0"/>
                      <w:szCs w:val="21"/>
                    </w:rPr>
                    <w:t>800</w:t>
                  </w:r>
                </w:p>
              </w:tc>
              <w:tc>
                <w:tcPr>
                  <w:tcW w:w="796" w:type="pct"/>
                  <w:tcBorders>
                    <w:top w:val="single" w:color="auto" w:sz="4" w:space="0"/>
                    <w:left w:val="single" w:color="auto" w:sz="4" w:space="0"/>
                    <w:bottom w:val="single" w:color="auto" w:sz="4" w:space="0"/>
                    <w:right w:val="single" w:color="auto" w:sz="4" w:space="0"/>
                  </w:tcBorders>
                  <w:vAlign w:val="center"/>
                </w:tcPr>
                <w:p w14:paraId="3A98C3BA">
                  <w:pPr>
                    <w:widowControl/>
                    <w:spacing w:line="276" w:lineRule="auto"/>
                    <w:jc w:val="center"/>
                    <w:rPr>
                      <w:bCs/>
                      <w:kern w:val="0"/>
                      <w:szCs w:val="21"/>
                    </w:rPr>
                  </w:pPr>
                  <w:r>
                    <w:rPr>
                      <w:bCs/>
                      <w:kern w:val="0"/>
                      <w:szCs w:val="21"/>
                    </w:rPr>
                    <w:t>4000</w:t>
                  </w:r>
                </w:p>
              </w:tc>
              <w:tc>
                <w:tcPr>
                  <w:tcW w:w="483" w:type="pct"/>
                  <w:tcBorders>
                    <w:top w:val="single" w:color="auto" w:sz="4" w:space="0"/>
                    <w:left w:val="single" w:color="auto" w:sz="4" w:space="0"/>
                    <w:bottom w:val="single" w:color="auto" w:sz="4" w:space="0"/>
                    <w:right w:val="single" w:color="auto" w:sz="4" w:space="0"/>
                  </w:tcBorders>
                  <w:vAlign w:val="center"/>
                </w:tcPr>
                <w:p w14:paraId="43A742A9">
                  <w:pPr>
                    <w:widowControl/>
                    <w:spacing w:line="276" w:lineRule="auto"/>
                    <w:jc w:val="center"/>
                    <w:rPr>
                      <w:bCs/>
                      <w:kern w:val="0"/>
                      <w:szCs w:val="21"/>
                    </w:rPr>
                  </w:pPr>
                  <w:r>
                    <w:rPr>
                      <w:rFonts w:hint="eastAsia"/>
                      <w:bCs/>
                      <w:kern w:val="0"/>
                      <w:szCs w:val="21"/>
                    </w:rPr>
                    <w:t>20</w:t>
                  </w:r>
                </w:p>
              </w:tc>
              <w:tc>
                <w:tcPr>
                  <w:tcW w:w="761" w:type="pct"/>
                  <w:tcBorders>
                    <w:top w:val="single" w:color="auto" w:sz="4" w:space="0"/>
                    <w:left w:val="single" w:color="auto" w:sz="4" w:space="0"/>
                    <w:bottom w:val="single" w:color="auto" w:sz="4" w:space="0"/>
                    <w:right w:val="nil"/>
                  </w:tcBorders>
                  <w:vAlign w:val="center"/>
                </w:tcPr>
                <w:p w14:paraId="33A7BB22">
                  <w:pPr>
                    <w:widowControl/>
                    <w:spacing w:line="276" w:lineRule="auto"/>
                    <w:jc w:val="center"/>
                    <w:rPr>
                      <w:bCs/>
                      <w:kern w:val="0"/>
                      <w:szCs w:val="21"/>
                    </w:rPr>
                  </w:pPr>
                  <w:r>
                    <w:rPr>
                      <w:rFonts w:hint="eastAsia" w:hAnsi="宋体"/>
                      <w:bCs/>
                      <w:kern w:val="0"/>
                      <w:szCs w:val="21"/>
                    </w:rPr>
                    <w:t>达标</w:t>
                  </w:r>
                </w:p>
              </w:tc>
            </w:tr>
            <w:tr w14:paraId="03928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645" w:type="pct"/>
                  <w:tcBorders>
                    <w:top w:val="single" w:color="auto" w:sz="4" w:space="0"/>
                    <w:left w:val="nil"/>
                    <w:bottom w:val="single" w:color="auto" w:sz="12" w:space="0"/>
                    <w:right w:val="single" w:color="auto" w:sz="4" w:space="0"/>
                  </w:tcBorders>
                  <w:vAlign w:val="center"/>
                </w:tcPr>
                <w:p w14:paraId="340DAA5A">
                  <w:pPr>
                    <w:widowControl/>
                    <w:spacing w:line="276" w:lineRule="auto"/>
                    <w:jc w:val="center"/>
                    <w:rPr>
                      <w:bCs/>
                      <w:kern w:val="0"/>
                      <w:szCs w:val="21"/>
                    </w:rPr>
                  </w:pPr>
                  <w:r>
                    <w:rPr>
                      <w:bCs/>
                      <w:kern w:val="0"/>
                      <w:szCs w:val="21"/>
                    </w:rPr>
                    <w:t>O</w:t>
                  </w:r>
                  <w:r>
                    <w:rPr>
                      <w:bCs/>
                      <w:kern w:val="0"/>
                      <w:szCs w:val="21"/>
                      <w:vertAlign w:val="subscript"/>
                    </w:rPr>
                    <w:t>3</w:t>
                  </w:r>
                </w:p>
              </w:tc>
              <w:tc>
                <w:tcPr>
                  <w:tcW w:w="1412" w:type="pct"/>
                  <w:tcBorders>
                    <w:top w:val="single" w:color="auto" w:sz="4" w:space="0"/>
                    <w:left w:val="single" w:color="auto" w:sz="4" w:space="0"/>
                    <w:bottom w:val="single" w:color="auto" w:sz="12" w:space="0"/>
                    <w:right w:val="single" w:color="auto" w:sz="4" w:space="0"/>
                  </w:tcBorders>
                  <w:vAlign w:val="center"/>
                </w:tcPr>
                <w:p w14:paraId="4BDA213B">
                  <w:pPr>
                    <w:widowControl/>
                    <w:spacing w:line="276" w:lineRule="auto"/>
                    <w:jc w:val="center"/>
                    <w:rPr>
                      <w:bCs/>
                      <w:kern w:val="0"/>
                      <w:szCs w:val="21"/>
                    </w:rPr>
                  </w:pPr>
                  <w:r>
                    <w:rPr>
                      <w:rFonts w:hint="eastAsia"/>
                      <w:bCs/>
                      <w:szCs w:val="21"/>
                    </w:rPr>
                    <w:t>第</w:t>
                  </w:r>
                  <w:r>
                    <w:rPr>
                      <w:bCs/>
                      <w:szCs w:val="21"/>
                    </w:rPr>
                    <w:t>90</w:t>
                  </w:r>
                  <w:r>
                    <w:rPr>
                      <w:rFonts w:hint="eastAsia"/>
                      <w:bCs/>
                      <w:szCs w:val="21"/>
                    </w:rPr>
                    <w:t>百分位数</w:t>
                  </w:r>
                  <w:r>
                    <w:rPr>
                      <w:rFonts w:hint="eastAsia" w:hAnsi="宋体"/>
                      <w:bCs/>
                      <w:kern w:val="0"/>
                      <w:szCs w:val="21"/>
                    </w:rPr>
                    <w:t>日平均质量浓度</w:t>
                  </w:r>
                </w:p>
              </w:tc>
              <w:tc>
                <w:tcPr>
                  <w:tcW w:w="903" w:type="pct"/>
                  <w:tcBorders>
                    <w:top w:val="single" w:color="auto" w:sz="4" w:space="0"/>
                    <w:left w:val="single" w:color="auto" w:sz="4" w:space="0"/>
                    <w:bottom w:val="single" w:color="auto" w:sz="12" w:space="0"/>
                    <w:right w:val="single" w:color="auto" w:sz="4" w:space="0"/>
                  </w:tcBorders>
                  <w:vAlign w:val="center"/>
                </w:tcPr>
                <w:p w14:paraId="5D31E290">
                  <w:pPr>
                    <w:widowControl/>
                    <w:spacing w:line="276" w:lineRule="auto"/>
                    <w:jc w:val="center"/>
                    <w:rPr>
                      <w:bCs/>
                      <w:kern w:val="0"/>
                      <w:szCs w:val="21"/>
                    </w:rPr>
                  </w:pPr>
                  <w:r>
                    <w:rPr>
                      <w:rFonts w:hint="eastAsia"/>
                      <w:bCs/>
                      <w:kern w:val="0"/>
                      <w:szCs w:val="21"/>
                    </w:rPr>
                    <w:t>152</w:t>
                  </w:r>
                </w:p>
              </w:tc>
              <w:tc>
                <w:tcPr>
                  <w:tcW w:w="796" w:type="pct"/>
                  <w:tcBorders>
                    <w:top w:val="single" w:color="auto" w:sz="4" w:space="0"/>
                    <w:left w:val="single" w:color="auto" w:sz="4" w:space="0"/>
                    <w:bottom w:val="single" w:color="auto" w:sz="12" w:space="0"/>
                    <w:right w:val="single" w:color="auto" w:sz="4" w:space="0"/>
                  </w:tcBorders>
                  <w:vAlign w:val="center"/>
                </w:tcPr>
                <w:p w14:paraId="7773F2A3">
                  <w:pPr>
                    <w:widowControl/>
                    <w:spacing w:line="276" w:lineRule="auto"/>
                    <w:jc w:val="center"/>
                    <w:rPr>
                      <w:bCs/>
                      <w:kern w:val="0"/>
                      <w:szCs w:val="21"/>
                    </w:rPr>
                  </w:pPr>
                  <w:r>
                    <w:rPr>
                      <w:bCs/>
                      <w:kern w:val="0"/>
                      <w:szCs w:val="21"/>
                    </w:rPr>
                    <w:t>160</w:t>
                  </w:r>
                </w:p>
              </w:tc>
              <w:tc>
                <w:tcPr>
                  <w:tcW w:w="483" w:type="pct"/>
                  <w:tcBorders>
                    <w:top w:val="single" w:color="auto" w:sz="4" w:space="0"/>
                    <w:left w:val="single" w:color="auto" w:sz="4" w:space="0"/>
                    <w:bottom w:val="single" w:color="auto" w:sz="12" w:space="0"/>
                    <w:right w:val="single" w:color="auto" w:sz="4" w:space="0"/>
                  </w:tcBorders>
                  <w:vAlign w:val="center"/>
                </w:tcPr>
                <w:p w14:paraId="1C80E2C4">
                  <w:pPr>
                    <w:widowControl/>
                    <w:spacing w:line="276" w:lineRule="auto"/>
                    <w:jc w:val="center"/>
                    <w:rPr>
                      <w:bCs/>
                      <w:kern w:val="0"/>
                      <w:szCs w:val="21"/>
                    </w:rPr>
                  </w:pPr>
                  <w:r>
                    <w:rPr>
                      <w:rFonts w:hint="eastAsia"/>
                      <w:bCs/>
                      <w:kern w:val="0"/>
                      <w:szCs w:val="21"/>
                    </w:rPr>
                    <w:t>95</w:t>
                  </w:r>
                </w:p>
              </w:tc>
              <w:tc>
                <w:tcPr>
                  <w:tcW w:w="761" w:type="pct"/>
                  <w:tcBorders>
                    <w:top w:val="single" w:color="auto" w:sz="4" w:space="0"/>
                    <w:left w:val="single" w:color="auto" w:sz="4" w:space="0"/>
                    <w:bottom w:val="single" w:color="auto" w:sz="12" w:space="0"/>
                    <w:right w:val="nil"/>
                  </w:tcBorders>
                  <w:vAlign w:val="center"/>
                </w:tcPr>
                <w:p w14:paraId="1EB96047">
                  <w:pPr>
                    <w:widowControl/>
                    <w:spacing w:line="276" w:lineRule="auto"/>
                    <w:jc w:val="center"/>
                    <w:rPr>
                      <w:bCs/>
                      <w:kern w:val="0"/>
                      <w:szCs w:val="21"/>
                    </w:rPr>
                  </w:pPr>
                  <w:r>
                    <w:rPr>
                      <w:rFonts w:hint="eastAsia" w:hAnsi="宋体"/>
                      <w:bCs/>
                      <w:kern w:val="0"/>
                      <w:szCs w:val="21"/>
                    </w:rPr>
                    <w:t>达标</w:t>
                  </w:r>
                </w:p>
              </w:tc>
            </w:tr>
          </w:tbl>
          <w:p w14:paraId="2158E82E">
            <w:pPr>
              <w:widowControl/>
              <w:spacing w:line="360" w:lineRule="auto"/>
              <w:ind w:firstLine="480" w:firstLineChars="200"/>
              <w:rPr>
                <w:rFonts w:hAnsi="宋体"/>
                <w:kern w:val="0"/>
                <w:sz w:val="24"/>
                <w:szCs w:val="24"/>
              </w:rPr>
            </w:pPr>
            <w:r>
              <w:rPr>
                <w:rFonts w:hint="eastAsia" w:hAnsi="宋体"/>
                <w:kern w:val="0"/>
                <w:sz w:val="24"/>
                <w:szCs w:val="24"/>
              </w:rPr>
              <w:t>根据《</w:t>
            </w:r>
            <w:r>
              <w:rPr>
                <w:kern w:val="0"/>
                <w:sz w:val="24"/>
                <w:szCs w:val="24"/>
              </w:rPr>
              <w:t>202</w:t>
            </w:r>
            <w:r>
              <w:rPr>
                <w:rFonts w:hint="eastAsia"/>
                <w:kern w:val="0"/>
                <w:sz w:val="24"/>
                <w:szCs w:val="24"/>
              </w:rPr>
              <w:t>2</w:t>
            </w:r>
            <w:r>
              <w:rPr>
                <w:rFonts w:hint="eastAsia" w:hAnsi="宋体"/>
                <w:kern w:val="0"/>
                <w:sz w:val="24"/>
                <w:szCs w:val="24"/>
              </w:rPr>
              <w:t>年淮南市环境质量公报》并结合《环境空气质量标准》（</w:t>
            </w:r>
            <w:r>
              <w:rPr>
                <w:rFonts w:hAnsi="宋体"/>
                <w:kern w:val="0"/>
                <w:sz w:val="24"/>
                <w:szCs w:val="24"/>
              </w:rPr>
              <w:t>GB3095-2012</w:t>
            </w:r>
            <w:r>
              <w:rPr>
                <w:rFonts w:hint="eastAsia" w:hAnsi="宋体"/>
                <w:kern w:val="0"/>
                <w:sz w:val="24"/>
                <w:szCs w:val="24"/>
              </w:rPr>
              <w:t>）及</w:t>
            </w:r>
            <w:r>
              <w:rPr>
                <w:rFonts w:hAnsi="宋体"/>
                <w:kern w:val="0"/>
                <w:sz w:val="24"/>
                <w:szCs w:val="24"/>
              </w:rPr>
              <w:t>2018</w:t>
            </w:r>
            <w:r>
              <w:rPr>
                <w:rFonts w:hint="eastAsia" w:hAnsi="宋体"/>
                <w:kern w:val="0"/>
                <w:sz w:val="24"/>
                <w:szCs w:val="24"/>
              </w:rPr>
              <w:t>年修改单中二级标准可知，城市环境空气质量达标情况评价指标为</w:t>
            </w:r>
            <w:r>
              <w:rPr>
                <w:sz w:val="24"/>
                <w:szCs w:val="24"/>
              </w:rPr>
              <w:t>PM</w:t>
            </w:r>
            <w:r>
              <w:rPr>
                <w:sz w:val="24"/>
                <w:szCs w:val="24"/>
                <w:vertAlign w:val="subscript"/>
              </w:rPr>
              <w:t>2.5</w:t>
            </w:r>
            <w:r>
              <w:rPr>
                <w:sz w:val="24"/>
                <w:szCs w:val="24"/>
              </w:rPr>
              <w:t>未达到二级标准限值要求。</w:t>
            </w:r>
            <w:r>
              <w:rPr>
                <w:rFonts w:hint="eastAsia" w:hAnsi="宋体"/>
                <w:kern w:val="0"/>
                <w:sz w:val="24"/>
                <w:szCs w:val="24"/>
              </w:rPr>
              <w:t>因此，项目所在区域判定为不达标区。</w:t>
            </w:r>
          </w:p>
          <w:p w14:paraId="05C386C2">
            <w:pPr>
              <w:widowControl/>
              <w:spacing w:line="360" w:lineRule="auto"/>
              <w:ind w:firstLine="480" w:firstLineChars="200"/>
              <w:rPr>
                <w:rFonts w:hAnsi="宋体"/>
                <w:kern w:val="0"/>
                <w:sz w:val="24"/>
                <w:szCs w:val="24"/>
              </w:rPr>
            </w:pPr>
            <w:r>
              <w:rPr>
                <w:rFonts w:hint="eastAsia" w:hAnsi="宋体"/>
                <w:kern w:val="0"/>
                <w:sz w:val="24"/>
                <w:szCs w:val="24"/>
              </w:rPr>
              <w:t>淮南市生态环境局就空气质量不达标提出一系列举措，2018年12月28日发布《关于转发（安徽省大气办关于开展打赢〈蓝天保卫战三年行动计划〉2018年实施情况自查的函）的函》（淮大气办[2018]193号）；2018年12月18日发布《关于进一步开展全市生活散煤治理工作的通知》（淮大气办[2018]192号）；2018年12月25日发布《关于转发《关于继续加强秸秆禁烧工作的紧急通知》的通知》（淮大气办[2018]194号）；2018年12月29日《关于印发2019年临时特别管控工业企业清单的通知》（淮大气办[2018]199号）；根据《淮南市2018-2019年秋冬季大气污染综合治理攻坚行动实施方案》（淮环委办〔2018〕204号）、《淮南市大气污染防治行动计划实施方案》、《淮南市“十四五”生态环境保护规划》等工作文件，为加强大气污染防治工作，持续改善环境空气质量淮南市通过集中专项整治“小散乱污”企业，企业清洁生产技术改造、小锅炉升级改造、燃煤机组超低排放改造，整治散装物料堆场，督促企业完成挥发性有机物整改任务，强化建筑施工扬尘监管，加强道路扬尘清理、责令餐饮油烟单位安装油烟净化装置，取缔室外露天烧烤点，开展秸秆禁烧，淘汰黄标车，禁限放烟花爆竹等措施改善环境空气质量。</w:t>
            </w:r>
          </w:p>
          <w:p w14:paraId="2AF1D1CF">
            <w:pPr>
              <w:adjustRightInd w:val="0"/>
              <w:spacing w:line="360" w:lineRule="auto"/>
              <w:ind w:firstLine="480" w:firstLineChars="200"/>
              <w:jc w:val="left"/>
              <w:rPr>
                <w:rFonts w:hAnsi="宋体"/>
                <w:sz w:val="24"/>
              </w:rPr>
            </w:pPr>
            <w:r>
              <w:rPr>
                <w:rFonts w:hint="eastAsia" w:hAnsi="宋体"/>
                <w:sz w:val="24"/>
              </w:rPr>
              <w:t>（2）特征污染物环境空气质量现状</w:t>
            </w:r>
          </w:p>
          <w:p w14:paraId="3683676F">
            <w:pPr>
              <w:spacing w:line="360" w:lineRule="auto"/>
              <w:ind w:firstLine="480" w:firstLineChars="200"/>
              <w:rPr>
                <w:sz w:val="24"/>
                <w:szCs w:val="24"/>
              </w:rPr>
            </w:pPr>
            <w:r>
              <w:rPr>
                <w:rFonts w:hint="eastAsia"/>
                <w:sz w:val="24"/>
                <w:szCs w:val="24"/>
              </w:rPr>
              <w:t>与本项目有关的其他特征污染物为非甲烷总烃，为了解区域大气环境中非甲烷总烃现状，评价数据引用《</w:t>
            </w:r>
            <w:r>
              <w:rPr>
                <w:kern w:val="0"/>
                <w:sz w:val="24"/>
              </w:rPr>
              <w:t>淮南市日通包装制品有限公司年产3000吨泡沫塑料包装制品生产线项目环境影响报告表》（以下简称“评估报告”）相关数据</w:t>
            </w:r>
            <w:r>
              <w:rPr>
                <w:rFonts w:hint="eastAsia"/>
                <w:sz w:val="24"/>
                <w:szCs w:val="24"/>
              </w:rPr>
              <w:t>。监测点位于陆庄新村，距离项目所在地约2030m，监测日期为2022年2月1日-2022年2月3日，属于本项目周边5公里范围内近三年的现有监测数据，引用该数据符合规定要求。</w:t>
            </w:r>
          </w:p>
          <w:p w14:paraId="671205B7">
            <w:pPr>
              <w:spacing w:line="360" w:lineRule="auto"/>
              <w:ind w:firstLine="480" w:firstLineChars="200"/>
              <w:rPr>
                <w:sz w:val="24"/>
                <w:szCs w:val="24"/>
              </w:rPr>
            </w:pPr>
            <w:r>
              <w:rPr>
                <w:rFonts w:hint="eastAsia"/>
                <w:sz w:val="24"/>
                <w:szCs w:val="24"/>
              </w:rPr>
              <w:t>引用数据监测点位位置如下图所示。</w:t>
            </w:r>
          </w:p>
          <w:p w14:paraId="1AA845E7">
            <w:pPr>
              <w:rPr>
                <w:sz w:val="24"/>
                <w:szCs w:val="24"/>
              </w:rPr>
            </w:pPr>
          </w:p>
          <w:p w14:paraId="5AD31B9D">
            <w:pPr>
              <w:rPr>
                <w:sz w:val="24"/>
                <w:szCs w:val="24"/>
              </w:rPr>
            </w:pPr>
          </w:p>
          <w:p w14:paraId="20080115">
            <w:pPr>
              <w:rPr>
                <w:sz w:val="24"/>
                <w:szCs w:val="24"/>
              </w:rPr>
            </w:pPr>
          </w:p>
          <w:p w14:paraId="1417AD22">
            <w:pPr>
              <w:rPr>
                <w:sz w:val="24"/>
                <w:szCs w:val="24"/>
              </w:rPr>
            </w:pPr>
          </w:p>
          <w:p w14:paraId="47155B0A">
            <w:pPr>
              <w:rPr>
                <w:sz w:val="24"/>
                <w:szCs w:val="24"/>
              </w:rPr>
            </w:pPr>
          </w:p>
          <w:p w14:paraId="6433AAEF">
            <w:pPr>
              <w:jc w:val="center"/>
              <w:rPr>
                <w:sz w:val="24"/>
                <w:szCs w:val="24"/>
              </w:rPr>
            </w:pPr>
          </w:p>
          <w:p w14:paraId="6D9E191E">
            <w:pPr>
              <w:jc w:val="center"/>
              <w:rPr>
                <w:sz w:val="24"/>
                <w:szCs w:val="24"/>
              </w:rPr>
            </w:pPr>
          </w:p>
          <w:p w14:paraId="7D864456">
            <w:pPr>
              <w:jc w:val="center"/>
              <w:rPr>
                <w:sz w:val="24"/>
                <w:szCs w:val="24"/>
              </w:rPr>
            </w:pPr>
          </w:p>
          <w:p w14:paraId="2C153480">
            <w:pPr>
              <w:jc w:val="center"/>
              <w:rPr>
                <w:sz w:val="24"/>
                <w:szCs w:val="24"/>
              </w:rPr>
            </w:pPr>
          </w:p>
          <w:p w14:paraId="030F9C7C">
            <w:pPr>
              <w:jc w:val="center"/>
              <w:rPr>
                <w:sz w:val="24"/>
                <w:szCs w:val="24"/>
              </w:rPr>
            </w:pPr>
          </w:p>
          <w:p w14:paraId="37148592">
            <w:pPr>
              <w:jc w:val="center"/>
              <w:rPr>
                <w:sz w:val="24"/>
                <w:szCs w:val="24"/>
              </w:rPr>
            </w:pPr>
          </w:p>
          <w:p w14:paraId="3BB97000">
            <w:pPr>
              <w:jc w:val="center"/>
              <w:rPr>
                <w:sz w:val="24"/>
                <w:szCs w:val="24"/>
              </w:rPr>
            </w:pPr>
          </w:p>
          <w:p w14:paraId="191B9AA4">
            <w:pPr>
              <w:jc w:val="center"/>
              <w:rPr>
                <w:sz w:val="24"/>
                <w:szCs w:val="24"/>
              </w:rPr>
            </w:pPr>
          </w:p>
          <w:p w14:paraId="551D463F">
            <w:pPr>
              <w:jc w:val="center"/>
              <w:rPr>
                <w:sz w:val="24"/>
                <w:szCs w:val="24"/>
              </w:rPr>
            </w:pPr>
          </w:p>
          <w:p w14:paraId="33215BDB">
            <w:pPr>
              <w:jc w:val="center"/>
              <w:rPr>
                <w:sz w:val="24"/>
                <w:szCs w:val="24"/>
              </w:rPr>
            </w:pPr>
          </w:p>
          <w:p w14:paraId="3450C3A3">
            <w:pPr>
              <w:jc w:val="center"/>
              <w:rPr>
                <w:sz w:val="24"/>
                <w:szCs w:val="24"/>
              </w:rPr>
            </w:pPr>
          </w:p>
          <w:p w14:paraId="061AB5BD">
            <w:pPr>
              <w:jc w:val="center"/>
              <w:rPr>
                <w:sz w:val="24"/>
                <w:szCs w:val="24"/>
              </w:rPr>
            </w:pPr>
          </w:p>
          <w:p w14:paraId="2D055773">
            <w:pPr>
              <w:jc w:val="center"/>
              <w:rPr>
                <w:sz w:val="24"/>
                <w:szCs w:val="24"/>
              </w:rPr>
            </w:pPr>
          </w:p>
          <w:p w14:paraId="75B9E9F1">
            <w:pPr>
              <w:jc w:val="center"/>
              <w:rPr>
                <w:sz w:val="24"/>
                <w:szCs w:val="24"/>
              </w:rPr>
            </w:pPr>
          </w:p>
          <w:p w14:paraId="694580BF">
            <w:pPr>
              <w:jc w:val="center"/>
              <w:rPr>
                <w:sz w:val="24"/>
                <w:szCs w:val="24"/>
              </w:rPr>
            </w:pPr>
          </w:p>
          <w:p w14:paraId="0F74C2A1">
            <w:pPr>
              <w:jc w:val="center"/>
              <w:rPr>
                <w:sz w:val="24"/>
                <w:szCs w:val="24"/>
              </w:rPr>
            </w:pPr>
          </w:p>
          <w:p w14:paraId="627A6F2A">
            <w:pPr>
              <w:spacing w:line="360" w:lineRule="auto"/>
              <w:jc w:val="center"/>
              <w:rPr>
                <w:sz w:val="24"/>
                <w:szCs w:val="24"/>
              </w:rPr>
            </w:pPr>
            <w:r>
              <w:rPr>
                <w:b/>
                <w:sz w:val="24"/>
                <w:szCs w:val="28"/>
              </w:rPr>
              <w:drawing>
                <wp:anchor distT="0" distB="0" distL="114300" distR="114300" simplePos="0" relativeHeight="251662336" behindDoc="0" locked="0" layoutInCell="1" allowOverlap="1">
                  <wp:simplePos x="0" y="0"/>
                  <wp:positionH relativeFrom="column">
                    <wp:posOffset>4114165</wp:posOffset>
                  </wp:positionH>
                  <wp:positionV relativeFrom="paragraph">
                    <wp:posOffset>38100</wp:posOffset>
                  </wp:positionV>
                  <wp:extent cx="551815" cy="466725"/>
                  <wp:effectExtent l="19050" t="19050" r="19685" b="28575"/>
                  <wp:wrapNone/>
                  <wp:docPr id="3" name="图片 2" descr="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水系图"/>
                          <pic:cNvPicPr>
                            <a:picLocks noChangeAspect="1" noChangeArrowheads="1"/>
                          </pic:cNvPicPr>
                        </pic:nvPicPr>
                        <pic:blipFill>
                          <a:blip r:embed="rId9" cstate="print"/>
                          <a:srcRect l="81236" t="2312" r="3206" b="82085"/>
                          <a:stretch>
                            <a:fillRect/>
                          </a:stretch>
                        </pic:blipFill>
                        <pic:spPr>
                          <a:xfrm>
                            <a:off x="0" y="0"/>
                            <a:ext cx="551815" cy="466725"/>
                          </a:xfrm>
                          <a:prstGeom prst="rect">
                            <a:avLst/>
                          </a:prstGeom>
                          <a:noFill/>
                          <a:ln w="19050">
                            <a:solidFill>
                              <a:schemeClr val="tx1"/>
                            </a:solidFill>
                            <a:miter lim="800000"/>
                            <a:headEnd/>
                            <a:tailEnd/>
                          </a:ln>
                        </pic:spPr>
                      </pic:pic>
                    </a:graphicData>
                  </a:graphic>
                </wp:anchor>
              </w:drawing>
            </w:r>
            <w:r>
              <w:rPr>
                <w:b/>
                <w:sz w:val="24"/>
                <w:szCs w:val="28"/>
              </w:rPr>
              <w:pict>
                <v:group id="_x0000_s7777" o:spid="_x0000_s7777" o:spt="203" style="position:absolute;left:0pt;margin-left:119.55pt;margin-top:39.3pt;height:282.4pt;width:121.4pt;z-index:251661312;mso-width-relative:page;mso-height-relative:page;" coordorigin="4722,2241" coordsize="2428,5648">
                  <o:lock v:ext="edit"/>
                  <v:shape id="_x0000_s7579" o:spid="_x0000_s7579" o:spt="32" type="#_x0000_t32" style="position:absolute;left:5522;top:2692;flip:x y;height:4746;width:526;" o:connectortype="straight" filled="f" stroked="t" coordsize="21600,21600">
                    <v:path arrowok="t"/>
                    <v:fill on="f" focussize="0,0"/>
                    <v:stroke color="#FF0000" startarrow="block" startarrowwidth="narrow" startarrowlength="long" endarrow="block" endarrowwidth="narrow" endarrowlength="long"/>
                    <v:imagedata o:title=""/>
                    <o:lock v:ext="edit"/>
                  </v:shape>
                  <v:shape id="_x0000_s7580" o:spid="_x0000_s7580" o:spt="202" type="#_x0000_t202" style="position:absolute;left:5780;top:4583;height:451;width:1370;" filled="f" stroked="f" coordsize="21600,21600">
                    <v:path/>
                    <v:fill on="f" focussize="0,0"/>
                    <v:stroke on="f" joinstyle="miter"/>
                    <v:imagedata o:title=""/>
                    <o:lock v:ext="edit"/>
                    <v:textbox>
                      <w:txbxContent>
                        <w:p w14:paraId="39478B98">
                          <w:pPr>
                            <w:rPr>
                              <w:rFonts w:ascii="黑体" w:hAnsi="黑体" w:eastAsia="黑体"/>
                              <w:color w:val="FF0000"/>
                              <w:sz w:val="18"/>
                            </w:rPr>
                          </w:pPr>
                          <w:r>
                            <w:rPr>
                              <w:rFonts w:hint="eastAsia" w:ascii="黑体" w:hAnsi="黑体" w:eastAsia="黑体"/>
                              <w:color w:val="FF0000"/>
                              <w:sz w:val="18"/>
                            </w:rPr>
                            <w:t>约2030m</w:t>
                          </w:r>
                        </w:p>
                      </w:txbxContent>
                    </v:textbox>
                  </v:shape>
                  <v:shape id="_x0000_s7774" o:spid="_x0000_s7774" o:spt="202" type="#_x0000_t202" style="position:absolute;left:5334;top:7438;height:451;width:1633;" filled="f" stroked="f" coordsize="21600,21600">
                    <v:path/>
                    <v:fill on="f" focussize="0,0"/>
                    <v:stroke on="f" joinstyle="miter"/>
                    <v:imagedata o:title=""/>
                    <o:lock v:ext="edit"/>
                    <v:textbox>
                      <w:txbxContent>
                        <w:p w14:paraId="6EC372EF">
                          <w:pPr>
                            <w:rPr>
                              <w:rFonts w:ascii="黑体" w:hAnsi="黑体" w:eastAsia="黑体"/>
                              <w:color w:val="FF0000"/>
                              <w:sz w:val="18"/>
                            </w:rPr>
                          </w:pPr>
                          <w:r>
                            <w:rPr>
                              <w:rFonts w:hint="eastAsia" w:ascii="黑体" w:hAnsi="黑体" w:eastAsia="黑体"/>
                              <w:color w:val="FF0000"/>
                              <w:sz w:val="18"/>
                            </w:rPr>
                            <w:t>本项目所在地</w:t>
                          </w:r>
                        </w:p>
                      </w:txbxContent>
                    </v:textbox>
                  </v:shape>
                  <v:shape id="_x0000_s7776" o:spid="_x0000_s7776" o:spt="202" type="#_x0000_t202" style="position:absolute;left:4722;top:2241;height:451;width:1163;" filled="f" stroked="f" coordsize="21600,21600">
                    <v:path/>
                    <v:fill on="f" focussize="0,0"/>
                    <v:stroke on="f" joinstyle="miter"/>
                    <v:imagedata o:title=""/>
                    <o:lock v:ext="edit"/>
                    <v:textbox>
                      <w:txbxContent>
                        <w:p w14:paraId="737F971E">
                          <w:pPr>
                            <w:rPr>
                              <w:rFonts w:ascii="黑体" w:hAnsi="黑体" w:eastAsia="黑体"/>
                              <w:color w:val="FF0000"/>
                              <w:sz w:val="18"/>
                            </w:rPr>
                          </w:pPr>
                          <w:r>
                            <w:rPr>
                              <w:rFonts w:hint="eastAsia" w:ascii="黑体" w:hAnsi="黑体" w:eastAsia="黑体"/>
                              <w:color w:val="FF0000"/>
                              <w:sz w:val="18"/>
                            </w:rPr>
                            <w:t>陆庄新村</w:t>
                          </w:r>
                        </w:p>
                      </w:txbxContent>
                    </v:textbox>
                  </v:shape>
                </v:group>
              </w:pict>
            </w:r>
            <w:r>
              <w:rPr>
                <w:sz w:val="24"/>
                <w:szCs w:val="24"/>
              </w:rPr>
              <w:drawing>
                <wp:inline distT="0" distB="0" distL="0" distR="0">
                  <wp:extent cx="4190365" cy="4472940"/>
                  <wp:effectExtent l="38100" t="19050" r="19604" b="22711"/>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srcRect/>
                          <a:stretch>
                            <a:fillRect/>
                          </a:stretch>
                        </pic:blipFill>
                        <pic:spPr>
                          <a:xfrm>
                            <a:off x="0" y="0"/>
                            <a:ext cx="4192428" cy="4475205"/>
                          </a:xfrm>
                          <a:prstGeom prst="rect">
                            <a:avLst/>
                          </a:prstGeom>
                          <a:noFill/>
                          <a:ln w="9525">
                            <a:solidFill>
                              <a:schemeClr val="tx1"/>
                            </a:solidFill>
                            <a:miter lim="800000"/>
                            <a:headEnd/>
                            <a:tailEnd/>
                          </a:ln>
                        </pic:spPr>
                      </pic:pic>
                    </a:graphicData>
                  </a:graphic>
                </wp:inline>
              </w:drawing>
            </w:r>
          </w:p>
          <w:p w14:paraId="28751A28">
            <w:pPr>
              <w:jc w:val="center"/>
              <w:rPr>
                <w:rFonts w:hAnsi="黑体" w:eastAsia="黑体"/>
                <w:kern w:val="0"/>
                <w:sz w:val="24"/>
                <w:szCs w:val="24"/>
              </w:rPr>
            </w:pPr>
            <w:r>
              <w:rPr>
                <w:rFonts w:hAnsi="黑体" w:eastAsia="黑体"/>
                <w:kern w:val="0"/>
                <w:sz w:val="24"/>
                <w:szCs w:val="24"/>
              </w:rPr>
              <w:t>图</w:t>
            </w:r>
            <w:r>
              <w:rPr>
                <w:rFonts w:hint="eastAsia" w:hAnsi="黑体" w:eastAsia="黑体"/>
                <w:kern w:val="0"/>
                <w:sz w:val="24"/>
                <w:szCs w:val="24"/>
              </w:rPr>
              <w:t>5  项目与引用点位关系图</w:t>
            </w:r>
          </w:p>
          <w:p w14:paraId="0786EFDD">
            <w:pPr>
              <w:spacing w:line="360" w:lineRule="auto"/>
              <w:ind w:firstLine="480" w:firstLineChars="200"/>
              <w:rPr>
                <w:rFonts w:hAnsi="宋体"/>
                <w:sz w:val="24"/>
                <w:szCs w:val="24"/>
              </w:rPr>
            </w:pPr>
            <w:r>
              <w:rPr>
                <w:rFonts w:hint="eastAsia" w:hAnsi="宋体"/>
                <w:sz w:val="24"/>
                <w:szCs w:val="24"/>
              </w:rPr>
              <w:t>引用监测结果统计见下表：</w:t>
            </w:r>
          </w:p>
          <w:p w14:paraId="0ECEC9C1">
            <w:pPr>
              <w:autoSpaceDE w:val="0"/>
              <w:autoSpaceDN w:val="0"/>
              <w:adjustRightInd w:val="0"/>
              <w:snapToGrid w:val="0"/>
              <w:jc w:val="center"/>
              <w:rPr>
                <w:rFonts w:ascii="黑体" w:hAnsi="黑体" w:eastAsia="黑体"/>
                <w:szCs w:val="21"/>
              </w:rPr>
            </w:pPr>
            <w:r>
              <w:rPr>
                <w:rFonts w:hint="eastAsia" w:hAnsi="黑体" w:eastAsia="黑体"/>
                <w:sz w:val="24"/>
                <w:szCs w:val="24"/>
              </w:rPr>
              <w:t>表24</w:t>
            </w:r>
            <w:r>
              <w:rPr>
                <w:rFonts w:hAnsi="黑体" w:eastAsia="黑体"/>
                <w:sz w:val="24"/>
                <w:szCs w:val="24"/>
              </w:rPr>
              <w:t xml:space="preserve">  大气环境现状监测数据表</w:t>
            </w:r>
          </w:p>
          <w:tbl>
            <w:tblPr>
              <w:tblStyle w:val="35"/>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850"/>
              <w:gridCol w:w="841"/>
              <w:gridCol w:w="1219"/>
              <w:gridCol w:w="1253"/>
              <w:gridCol w:w="1145"/>
              <w:gridCol w:w="951"/>
              <w:gridCol w:w="670"/>
            </w:tblGrid>
            <w:tr w14:paraId="2E9DD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90" w:type="dxa"/>
                  <w:vAlign w:val="center"/>
                </w:tcPr>
                <w:p w14:paraId="07193753">
                  <w:pPr>
                    <w:adjustRightInd w:val="0"/>
                    <w:spacing w:line="276" w:lineRule="auto"/>
                    <w:jc w:val="center"/>
                    <w:rPr>
                      <w:b/>
                      <w:kern w:val="0"/>
                    </w:rPr>
                  </w:pPr>
                  <w:r>
                    <w:rPr>
                      <w:b/>
                      <w:kern w:val="0"/>
                    </w:rPr>
                    <w:t>监测</w:t>
                  </w:r>
                </w:p>
                <w:p w14:paraId="76A65FED">
                  <w:pPr>
                    <w:adjustRightInd w:val="0"/>
                    <w:spacing w:line="276" w:lineRule="auto"/>
                    <w:jc w:val="center"/>
                    <w:rPr>
                      <w:b/>
                      <w:kern w:val="0"/>
                    </w:rPr>
                  </w:pPr>
                  <w:r>
                    <w:rPr>
                      <w:b/>
                      <w:kern w:val="0"/>
                    </w:rPr>
                    <w:t>点位</w:t>
                  </w:r>
                </w:p>
              </w:tc>
              <w:tc>
                <w:tcPr>
                  <w:tcW w:w="938" w:type="dxa"/>
                  <w:vAlign w:val="center"/>
                </w:tcPr>
                <w:p w14:paraId="19D07C0D">
                  <w:pPr>
                    <w:adjustRightInd w:val="0"/>
                    <w:spacing w:line="276" w:lineRule="auto"/>
                    <w:jc w:val="center"/>
                    <w:rPr>
                      <w:b/>
                      <w:kern w:val="0"/>
                    </w:rPr>
                  </w:pPr>
                  <w:r>
                    <w:rPr>
                      <w:b/>
                      <w:kern w:val="0"/>
                    </w:rPr>
                    <w:t>监测</w:t>
                  </w:r>
                </w:p>
                <w:p w14:paraId="7E71AF35">
                  <w:pPr>
                    <w:adjustRightInd w:val="0"/>
                    <w:spacing w:line="276" w:lineRule="auto"/>
                    <w:jc w:val="center"/>
                    <w:rPr>
                      <w:b/>
                      <w:kern w:val="0"/>
                    </w:rPr>
                  </w:pPr>
                  <w:r>
                    <w:rPr>
                      <w:b/>
                      <w:kern w:val="0"/>
                    </w:rPr>
                    <w:t>因子</w:t>
                  </w:r>
                </w:p>
              </w:tc>
              <w:tc>
                <w:tcPr>
                  <w:tcW w:w="927" w:type="dxa"/>
                  <w:vAlign w:val="center"/>
                </w:tcPr>
                <w:p w14:paraId="6307E0C1">
                  <w:pPr>
                    <w:adjustRightInd w:val="0"/>
                    <w:spacing w:line="276" w:lineRule="auto"/>
                    <w:jc w:val="center"/>
                    <w:rPr>
                      <w:b/>
                      <w:kern w:val="0"/>
                    </w:rPr>
                  </w:pPr>
                  <w:r>
                    <w:rPr>
                      <w:b/>
                      <w:kern w:val="0"/>
                    </w:rPr>
                    <w:t>平均</w:t>
                  </w:r>
                </w:p>
                <w:p w14:paraId="6EB158C2">
                  <w:pPr>
                    <w:adjustRightInd w:val="0"/>
                    <w:spacing w:line="276" w:lineRule="auto"/>
                    <w:jc w:val="center"/>
                    <w:rPr>
                      <w:b/>
                      <w:kern w:val="0"/>
                    </w:rPr>
                  </w:pPr>
                  <w:r>
                    <w:rPr>
                      <w:b/>
                      <w:kern w:val="0"/>
                    </w:rPr>
                    <w:t>时间</w:t>
                  </w:r>
                </w:p>
              </w:tc>
              <w:tc>
                <w:tcPr>
                  <w:tcW w:w="1165" w:type="dxa"/>
                  <w:vAlign w:val="center"/>
                </w:tcPr>
                <w:p w14:paraId="370C60D4">
                  <w:pPr>
                    <w:adjustRightInd w:val="0"/>
                    <w:spacing w:line="276" w:lineRule="auto"/>
                    <w:jc w:val="center"/>
                    <w:rPr>
                      <w:b/>
                      <w:kern w:val="0"/>
                    </w:rPr>
                  </w:pPr>
                  <w:r>
                    <w:rPr>
                      <w:b/>
                      <w:kern w:val="0"/>
                    </w:rPr>
                    <w:t>评价标准（mg/m</w:t>
                  </w:r>
                  <w:r>
                    <w:rPr>
                      <w:b/>
                      <w:kern w:val="0"/>
                      <w:vertAlign w:val="superscript"/>
                    </w:rPr>
                    <w:t>3</w:t>
                  </w:r>
                  <w:r>
                    <w:rPr>
                      <w:b/>
                      <w:kern w:val="0"/>
                    </w:rPr>
                    <w:t>）</w:t>
                  </w:r>
                </w:p>
              </w:tc>
              <w:tc>
                <w:tcPr>
                  <w:tcW w:w="1260" w:type="dxa"/>
                  <w:vAlign w:val="center"/>
                </w:tcPr>
                <w:p w14:paraId="08A67DEF">
                  <w:pPr>
                    <w:adjustRightInd w:val="0"/>
                    <w:spacing w:line="276" w:lineRule="auto"/>
                    <w:jc w:val="center"/>
                    <w:rPr>
                      <w:b/>
                      <w:kern w:val="0"/>
                    </w:rPr>
                  </w:pPr>
                  <w:r>
                    <w:rPr>
                      <w:b/>
                      <w:kern w:val="0"/>
                    </w:rPr>
                    <w:t>监测浓度范围（mg/m</w:t>
                  </w:r>
                  <w:r>
                    <w:rPr>
                      <w:b/>
                      <w:kern w:val="0"/>
                      <w:vertAlign w:val="superscript"/>
                    </w:rPr>
                    <w:t>3</w:t>
                  </w:r>
                  <w:r>
                    <w:rPr>
                      <w:b/>
                      <w:kern w:val="0"/>
                    </w:rPr>
                    <w:t>）</w:t>
                  </w:r>
                </w:p>
              </w:tc>
              <w:tc>
                <w:tcPr>
                  <w:tcW w:w="1207" w:type="dxa"/>
                  <w:vAlign w:val="center"/>
                </w:tcPr>
                <w:p w14:paraId="289A4280">
                  <w:pPr>
                    <w:adjustRightInd w:val="0"/>
                    <w:spacing w:line="276" w:lineRule="auto"/>
                    <w:jc w:val="center"/>
                    <w:rPr>
                      <w:b/>
                      <w:kern w:val="0"/>
                    </w:rPr>
                  </w:pPr>
                  <w:r>
                    <w:rPr>
                      <w:b/>
                      <w:kern w:val="0"/>
                    </w:rPr>
                    <w:t>最大浓度占标率（%）</w:t>
                  </w:r>
                </w:p>
              </w:tc>
              <w:tc>
                <w:tcPr>
                  <w:tcW w:w="973" w:type="dxa"/>
                  <w:vAlign w:val="center"/>
                </w:tcPr>
                <w:p w14:paraId="33B02ED0">
                  <w:pPr>
                    <w:adjustRightInd w:val="0"/>
                    <w:spacing w:line="276" w:lineRule="auto"/>
                    <w:jc w:val="center"/>
                    <w:rPr>
                      <w:b/>
                      <w:kern w:val="0"/>
                    </w:rPr>
                  </w:pPr>
                  <w:r>
                    <w:rPr>
                      <w:b/>
                      <w:kern w:val="0"/>
                    </w:rPr>
                    <w:t>超标率（%）</w:t>
                  </w:r>
                </w:p>
              </w:tc>
              <w:tc>
                <w:tcPr>
                  <w:tcW w:w="721" w:type="dxa"/>
                  <w:vAlign w:val="center"/>
                </w:tcPr>
                <w:p w14:paraId="60701239">
                  <w:pPr>
                    <w:adjustRightInd w:val="0"/>
                    <w:spacing w:line="276" w:lineRule="auto"/>
                    <w:jc w:val="center"/>
                    <w:rPr>
                      <w:b/>
                      <w:kern w:val="0"/>
                    </w:rPr>
                  </w:pPr>
                  <w:r>
                    <w:rPr>
                      <w:b/>
                      <w:kern w:val="0"/>
                    </w:rPr>
                    <w:t>达标情况</w:t>
                  </w:r>
                </w:p>
              </w:tc>
            </w:tr>
            <w:tr w14:paraId="6405A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0" w:type="dxa"/>
                  <w:vAlign w:val="center"/>
                </w:tcPr>
                <w:p w14:paraId="5F09CDE1">
                  <w:pPr>
                    <w:adjustRightInd w:val="0"/>
                    <w:spacing w:line="276" w:lineRule="auto"/>
                    <w:jc w:val="center"/>
                    <w:rPr>
                      <w:kern w:val="0"/>
                    </w:rPr>
                  </w:pPr>
                  <w:r>
                    <w:rPr>
                      <w:kern w:val="0"/>
                    </w:rPr>
                    <w:t>陆庄新村</w:t>
                  </w:r>
                </w:p>
              </w:tc>
              <w:tc>
                <w:tcPr>
                  <w:tcW w:w="938" w:type="dxa"/>
                  <w:vAlign w:val="center"/>
                </w:tcPr>
                <w:p w14:paraId="1FFB1A8B">
                  <w:pPr>
                    <w:adjustRightInd w:val="0"/>
                    <w:spacing w:line="276" w:lineRule="auto"/>
                    <w:jc w:val="center"/>
                    <w:rPr>
                      <w:kern w:val="0"/>
                    </w:rPr>
                  </w:pPr>
                  <w:r>
                    <w:rPr>
                      <w:kern w:val="0"/>
                    </w:rPr>
                    <w:t>非甲烷总烃</w:t>
                  </w:r>
                </w:p>
              </w:tc>
              <w:tc>
                <w:tcPr>
                  <w:tcW w:w="927" w:type="dxa"/>
                  <w:vAlign w:val="center"/>
                </w:tcPr>
                <w:p w14:paraId="43D2232D">
                  <w:pPr>
                    <w:adjustRightInd w:val="0"/>
                    <w:spacing w:line="276" w:lineRule="auto"/>
                    <w:jc w:val="center"/>
                    <w:rPr>
                      <w:kern w:val="0"/>
                    </w:rPr>
                  </w:pPr>
                  <w:r>
                    <w:rPr>
                      <w:rFonts w:hint="eastAsia"/>
                      <w:kern w:val="0"/>
                    </w:rPr>
                    <w:t>1</w:t>
                  </w:r>
                  <w:r>
                    <w:rPr>
                      <w:kern w:val="0"/>
                    </w:rPr>
                    <w:t>小时</w:t>
                  </w:r>
                </w:p>
                <w:p w14:paraId="06365734">
                  <w:pPr>
                    <w:adjustRightInd w:val="0"/>
                    <w:spacing w:line="276" w:lineRule="auto"/>
                    <w:jc w:val="center"/>
                    <w:rPr>
                      <w:kern w:val="0"/>
                    </w:rPr>
                  </w:pPr>
                  <w:r>
                    <w:rPr>
                      <w:rFonts w:hint="eastAsia"/>
                      <w:kern w:val="0"/>
                    </w:rPr>
                    <w:t>均值</w:t>
                  </w:r>
                </w:p>
              </w:tc>
              <w:tc>
                <w:tcPr>
                  <w:tcW w:w="1165" w:type="dxa"/>
                  <w:vAlign w:val="center"/>
                </w:tcPr>
                <w:p w14:paraId="4B6B3AF2">
                  <w:pPr>
                    <w:adjustRightInd w:val="0"/>
                    <w:spacing w:line="276" w:lineRule="auto"/>
                    <w:jc w:val="center"/>
                    <w:rPr>
                      <w:kern w:val="0"/>
                    </w:rPr>
                  </w:pPr>
                  <w:r>
                    <w:rPr>
                      <w:kern w:val="0"/>
                    </w:rPr>
                    <w:t>2.0</w:t>
                  </w:r>
                </w:p>
              </w:tc>
              <w:tc>
                <w:tcPr>
                  <w:tcW w:w="1260" w:type="dxa"/>
                  <w:vAlign w:val="center"/>
                </w:tcPr>
                <w:p w14:paraId="30AE8392">
                  <w:pPr>
                    <w:adjustRightInd w:val="0"/>
                    <w:spacing w:line="276" w:lineRule="auto"/>
                    <w:jc w:val="center"/>
                    <w:rPr>
                      <w:kern w:val="0"/>
                    </w:rPr>
                  </w:pPr>
                  <w:r>
                    <w:rPr>
                      <w:kern w:val="0"/>
                    </w:rPr>
                    <w:t>0.</w:t>
                  </w:r>
                  <w:r>
                    <w:rPr>
                      <w:rFonts w:hint="eastAsia"/>
                      <w:kern w:val="0"/>
                    </w:rPr>
                    <w:t>68</w:t>
                  </w:r>
                  <w:r>
                    <w:rPr>
                      <w:kern w:val="0"/>
                    </w:rPr>
                    <w:t>~0.80</w:t>
                  </w:r>
                </w:p>
              </w:tc>
              <w:tc>
                <w:tcPr>
                  <w:tcW w:w="1207" w:type="dxa"/>
                  <w:vAlign w:val="center"/>
                </w:tcPr>
                <w:p w14:paraId="09A09759">
                  <w:pPr>
                    <w:adjustRightInd w:val="0"/>
                    <w:spacing w:line="276" w:lineRule="auto"/>
                    <w:jc w:val="center"/>
                    <w:rPr>
                      <w:kern w:val="0"/>
                    </w:rPr>
                  </w:pPr>
                  <w:r>
                    <w:rPr>
                      <w:rFonts w:hint="eastAsia"/>
                      <w:kern w:val="0"/>
                    </w:rPr>
                    <w:t>40</w:t>
                  </w:r>
                </w:p>
              </w:tc>
              <w:tc>
                <w:tcPr>
                  <w:tcW w:w="973" w:type="dxa"/>
                  <w:vAlign w:val="center"/>
                </w:tcPr>
                <w:p w14:paraId="36914C27">
                  <w:pPr>
                    <w:adjustRightInd w:val="0"/>
                    <w:spacing w:line="276" w:lineRule="auto"/>
                    <w:jc w:val="center"/>
                    <w:rPr>
                      <w:kern w:val="0"/>
                    </w:rPr>
                  </w:pPr>
                  <w:r>
                    <w:rPr>
                      <w:rFonts w:hint="eastAsia"/>
                      <w:kern w:val="0"/>
                    </w:rPr>
                    <w:t>/</w:t>
                  </w:r>
                </w:p>
              </w:tc>
              <w:tc>
                <w:tcPr>
                  <w:tcW w:w="721" w:type="dxa"/>
                  <w:vAlign w:val="center"/>
                </w:tcPr>
                <w:p w14:paraId="3929E467">
                  <w:pPr>
                    <w:adjustRightInd w:val="0"/>
                    <w:spacing w:line="276" w:lineRule="auto"/>
                    <w:jc w:val="center"/>
                    <w:rPr>
                      <w:kern w:val="0"/>
                    </w:rPr>
                  </w:pPr>
                  <w:r>
                    <w:rPr>
                      <w:kern w:val="0"/>
                    </w:rPr>
                    <w:t>达标</w:t>
                  </w:r>
                </w:p>
              </w:tc>
            </w:tr>
          </w:tbl>
          <w:p w14:paraId="6AD20D24">
            <w:pPr>
              <w:pStyle w:val="108"/>
              <w:spacing w:line="360" w:lineRule="auto"/>
              <w:ind w:firstLine="480" w:firstLineChars="200"/>
              <w:rPr>
                <w:color w:val="auto"/>
              </w:rPr>
            </w:pPr>
            <w:r>
              <w:rPr>
                <w:rFonts w:hint="eastAsia"/>
                <w:color w:val="auto"/>
              </w:rPr>
              <w:t>根据上述监测结果可知，陆庄新村监测点</w:t>
            </w:r>
            <w:r>
              <w:rPr>
                <w:rFonts w:hint="eastAsia" w:hAnsi="宋体"/>
                <w:bCs/>
                <w:color w:val="auto"/>
                <w:szCs w:val="21"/>
              </w:rPr>
              <w:t>非甲烷总烃1小时均值现状监测结果</w:t>
            </w:r>
            <w:r>
              <w:rPr>
                <w:color w:val="auto"/>
              </w:rPr>
              <w:t>满足</w:t>
            </w:r>
            <w:r>
              <w:rPr>
                <w:rFonts w:hint="eastAsia" w:hAnsi="宋体"/>
                <w:color w:val="auto"/>
              </w:rPr>
              <w:t>《大气污染物综合排放标准详解》中的2.0mg/m</w:t>
            </w:r>
            <w:r>
              <w:rPr>
                <w:rFonts w:hint="eastAsia" w:hAnsi="宋体"/>
                <w:color w:val="auto"/>
                <w:vertAlign w:val="superscript"/>
              </w:rPr>
              <w:t>3</w:t>
            </w:r>
            <w:r>
              <w:rPr>
                <w:rFonts w:hint="eastAsia" w:hAnsi="宋体"/>
                <w:color w:val="auto"/>
              </w:rPr>
              <w:t>的浓度限值。</w:t>
            </w:r>
          </w:p>
          <w:p w14:paraId="3166B20E">
            <w:pPr>
              <w:spacing w:line="360" w:lineRule="auto"/>
              <w:ind w:firstLine="482" w:firstLineChars="200"/>
              <w:rPr>
                <w:b/>
                <w:sz w:val="24"/>
                <w:szCs w:val="28"/>
              </w:rPr>
            </w:pPr>
            <w:r>
              <w:rPr>
                <w:rFonts w:hint="eastAsia"/>
                <w:b/>
                <w:sz w:val="24"/>
                <w:szCs w:val="28"/>
              </w:rPr>
              <w:t>二、地表水质量现状</w:t>
            </w:r>
          </w:p>
          <w:p w14:paraId="02A73597">
            <w:pPr>
              <w:autoSpaceDE w:val="0"/>
              <w:autoSpaceDN w:val="0"/>
              <w:spacing w:line="360" w:lineRule="auto"/>
              <w:ind w:firstLine="480" w:firstLineChars="200"/>
              <w:rPr>
                <w:rFonts w:hAnsi="宋体"/>
                <w:sz w:val="24"/>
                <w:szCs w:val="24"/>
              </w:rPr>
            </w:pPr>
            <w:r>
              <w:rPr>
                <w:rFonts w:hint="eastAsia" w:hAnsi="宋体"/>
                <w:sz w:val="24"/>
                <w:szCs w:val="24"/>
              </w:rPr>
              <w:t>本项目废水处理后接管市政污水管网，排到毛集实验区污水处理厂处理达标后丁家沟，最终排入西淝河。根据淮南市生态环境局统一发布的水环境状况信息。</w:t>
            </w:r>
          </w:p>
          <w:p w14:paraId="394EB191">
            <w:pPr>
              <w:autoSpaceDE w:val="0"/>
              <w:autoSpaceDN w:val="0"/>
              <w:spacing w:line="360" w:lineRule="auto"/>
              <w:ind w:firstLine="480" w:firstLineChars="200"/>
              <w:rPr>
                <w:rFonts w:hAnsi="宋体"/>
                <w:sz w:val="24"/>
                <w:szCs w:val="24"/>
              </w:rPr>
            </w:pPr>
            <w:r>
              <w:rPr>
                <w:rFonts w:hint="eastAsia" w:hAnsi="宋体"/>
                <w:sz w:val="24"/>
                <w:szCs w:val="24"/>
              </w:rPr>
              <w:t>本评价收集了淮南市生态环境监测站关于丁家沟、西淝河断面2023年8月、9月监测统计数据，丁家沟、西淝河断面水质评价结果见下表：</w:t>
            </w:r>
          </w:p>
          <w:p w14:paraId="0EAC5108">
            <w:pPr>
              <w:autoSpaceDE w:val="0"/>
              <w:autoSpaceDN w:val="0"/>
              <w:adjustRightInd w:val="0"/>
              <w:snapToGrid w:val="0"/>
              <w:jc w:val="center"/>
              <w:rPr>
                <w:rFonts w:eastAsia="黑体"/>
                <w:szCs w:val="21"/>
              </w:rPr>
            </w:pPr>
            <w:r>
              <w:rPr>
                <w:rFonts w:hAnsi="黑体" w:eastAsia="黑体"/>
                <w:sz w:val="24"/>
                <w:szCs w:val="24"/>
              </w:rPr>
              <w:t>表</w:t>
            </w:r>
            <w:r>
              <w:rPr>
                <w:rFonts w:hint="eastAsia" w:hAnsi="黑体" w:eastAsia="黑体"/>
                <w:sz w:val="24"/>
                <w:szCs w:val="24"/>
              </w:rPr>
              <w:t xml:space="preserve">25 </w:t>
            </w:r>
            <w:r>
              <w:rPr>
                <w:rFonts w:hAnsi="黑体" w:eastAsia="黑体"/>
                <w:sz w:val="24"/>
                <w:szCs w:val="24"/>
              </w:rPr>
              <w:t xml:space="preserve"> 地表水环境质量监测结果</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28"/>
              <w:gridCol w:w="1726"/>
              <w:gridCol w:w="2130"/>
              <w:gridCol w:w="2155"/>
            </w:tblGrid>
            <w:tr w14:paraId="2D1CD1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pct"/>
                  <w:vMerge w:val="restart"/>
                  <w:vAlign w:val="center"/>
                </w:tcPr>
                <w:p w14:paraId="365922BD">
                  <w:pPr>
                    <w:autoSpaceDE w:val="0"/>
                    <w:autoSpaceDN w:val="0"/>
                    <w:spacing w:line="276" w:lineRule="auto"/>
                    <w:jc w:val="center"/>
                    <w:rPr>
                      <w:b/>
                      <w:szCs w:val="21"/>
                    </w:rPr>
                  </w:pPr>
                  <w:r>
                    <w:rPr>
                      <w:rFonts w:hAnsi="宋体"/>
                      <w:b/>
                      <w:szCs w:val="21"/>
                    </w:rPr>
                    <w:t>河流名称</w:t>
                  </w:r>
                </w:p>
              </w:tc>
              <w:tc>
                <w:tcPr>
                  <w:tcW w:w="1115" w:type="pct"/>
                  <w:vMerge w:val="restart"/>
                  <w:vAlign w:val="center"/>
                </w:tcPr>
                <w:p w14:paraId="04F4D79B">
                  <w:pPr>
                    <w:wordWrap w:val="0"/>
                    <w:autoSpaceDE w:val="0"/>
                    <w:autoSpaceDN w:val="0"/>
                    <w:spacing w:line="276" w:lineRule="auto"/>
                    <w:jc w:val="center"/>
                    <w:rPr>
                      <w:b/>
                      <w:szCs w:val="21"/>
                    </w:rPr>
                  </w:pPr>
                  <w:r>
                    <w:rPr>
                      <w:rFonts w:hAnsi="宋体"/>
                      <w:b/>
                      <w:szCs w:val="21"/>
                    </w:rPr>
                    <w:t>断面名称</w:t>
                  </w:r>
                </w:p>
              </w:tc>
              <w:tc>
                <w:tcPr>
                  <w:tcW w:w="2768" w:type="pct"/>
                  <w:gridSpan w:val="2"/>
                  <w:vAlign w:val="center"/>
                </w:tcPr>
                <w:p w14:paraId="18F304E9">
                  <w:pPr>
                    <w:wordWrap w:val="0"/>
                    <w:autoSpaceDE w:val="0"/>
                    <w:autoSpaceDN w:val="0"/>
                    <w:spacing w:line="276" w:lineRule="auto"/>
                    <w:jc w:val="center"/>
                    <w:rPr>
                      <w:b/>
                      <w:szCs w:val="21"/>
                    </w:rPr>
                  </w:pPr>
                  <w:r>
                    <w:rPr>
                      <w:rFonts w:hAnsi="宋体"/>
                      <w:b/>
                      <w:szCs w:val="21"/>
                    </w:rPr>
                    <w:t>水质类别评价</w:t>
                  </w:r>
                </w:p>
              </w:tc>
            </w:tr>
            <w:tr w14:paraId="35FEEE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pct"/>
                  <w:vMerge w:val="continue"/>
                  <w:vAlign w:val="center"/>
                </w:tcPr>
                <w:p w14:paraId="0A6147C4">
                  <w:pPr>
                    <w:wordWrap w:val="0"/>
                    <w:autoSpaceDE w:val="0"/>
                    <w:autoSpaceDN w:val="0"/>
                    <w:spacing w:line="276" w:lineRule="auto"/>
                    <w:jc w:val="center"/>
                    <w:rPr>
                      <w:b/>
                      <w:szCs w:val="21"/>
                    </w:rPr>
                  </w:pPr>
                </w:p>
              </w:tc>
              <w:tc>
                <w:tcPr>
                  <w:tcW w:w="1115" w:type="pct"/>
                  <w:vMerge w:val="continue"/>
                  <w:vAlign w:val="center"/>
                </w:tcPr>
                <w:p w14:paraId="22F6518D">
                  <w:pPr>
                    <w:wordWrap w:val="0"/>
                    <w:autoSpaceDE w:val="0"/>
                    <w:autoSpaceDN w:val="0"/>
                    <w:spacing w:line="276" w:lineRule="auto"/>
                    <w:jc w:val="center"/>
                    <w:rPr>
                      <w:b/>
                      <w:szCs w:val="21"/>
                    </w:rPr>
                  </w:pPr>
                </w:p>
              </w:tc>
              <w:tc>
                <w:tcPr>
                  <w:tcW w:w="1376" w:type="pct"/>
                  <w:vAlign w:val="center"/>
                </w:tcPr>
                <w:p w14:paraId="6F28B7E7">
                  <w:pPr>
                    <w:wordWrap w:val="0"/>
                    <w:autoSpaceDE w:val="0"/>
                    <w:autoSpaceDN w:val="0"/>
                    <w:spacing w:line="276" w:lineRule="auto"/>
                    <w:jc w:val="center"/>
                    <w:rPr>
                      <w:b/>
                      <w:szCs w:val="21"/>
                    </w:rPr>
                  </w:pPr>
                  <w:r>
                    <w:rPr>
                      <w:rFonts w:hint="eastAsia"/>
                      <w:b/>
                      <w:szCs w:val="21"/>
                    </w:rPr>
                    <w:t>8</w:t>
                  </w:r>
                  <w:r>
                    <w:rPr>
                      <w:rFonts w:hAnsi="宋体"/>
                      <w:b/>
                      <w:szCs w:val="21"/>
                    </w:rPr>
                    <w:t>月</w:t>
                  </w:r>
                </w:p>
              </w:tc>
              <w:tc>
                <w:tcPr>
                  <w:tcW w:w="1392" w:type="pct"/>
                  <w:vAlign w:val="center"/>
                </w:tcPr>
                <w:p w14:paraId="7EF19CAB">
                  <w:pPr>
                    <w:wordWrap w:val="0"/>
                    <w:autoSpaceDE w:val="0"/>
                    <w:autoSpaceDN w:val="0"/>
                    <w:spacing w:line="276" w:lineRule="auto"/>
                    <w:jc w:val="center"/>
                    <w:rPr>
                      <w:b/>
                      <w:szCs w:val="21"/>
                    </w:rPr>
                  </w:pPr>
                  <w:r>
                    <w:rPr>
                      <w:rFonts w:hint="eastAsia"/>
                      <w:b/>
                      <w:szCs w:val="21"/>
                    </w:rPr>
                    <w:t>9</w:t>
                  </w:r>
                  <w:r>
                    <w:rPr>
                      <w:rFonts w:hAnsi="宋体"/>
                      <w:b/>
                      <w:szCs w:val="21"/>
                    </w:rPr>
                    <w:t>月</w:t>
                  </w:r>
                </w:p>
              </w:tc>
            </w:tr>
            <w:tr w14:paraId="46389B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pct"/>
                  <w:vMerge w:val="restart"/>
                  <w:vAlign w:val="center"/>
                </w:tcPr>
                <w:p w14:paraId="49B7A39D">
                  <w:pPr>
                    <w:wordWrap w:val="0"/>
                    <w:autoSpaceDE w:val="0"/>
                    <w:autoSpaceDN w:val="0"/>
                    <w:spacing w:line="276" w:lineRule="auto"/>
                    <w:jc w:val="center"/>
                    <w:rPr>
                      <w:szCs w:val="21"/>
                    </w:rPr>
                  </w:pPr>
                  <w:r>
                    <w:rPr>
                      <w:rFonts w:hAnsi="宋体"/>
                      <w:szCs w:val="21"/>
                    </w:rPr>
                    <w:t>西淝河</w:t>
                  </w:r>
                </w:p>
              </w:tc>
              <w:tc>
                <w:tcPr>
                  <w:tcW w:w="1115" w:type="pct"/>
                  <w:vMerge w:val="restart"/>
                  <w:vAlign w:val="center"/>
                </w:tcPr>
                <w:p w14:paraId="48DD03D6">
                  <w:pPr>
                    <w:wordWrap w:val="0"/>
                    <w:autoSpaceDE w:val="0"/>
                    <w:autoSpaceDN w:val="0"/>
                    <w:spacing w:line="276" w:lineRule="auto"/>
                    <w:jc w:val="center"/>
                    <w:rPr>
                      <w:szCs w:val="21"/>
                    </w:rPr>
                  </w:pPr>
                  <w:r>
                    <w:rPr>
                      <w:rFonts w:hAnsi="宋体"/>
                      <w:szCs w:val="21"/>
                    </w:rPr>
                    <w:t>西淝河闸下</w:t>
                  </w:r>
                </w:p>
              </w:tc>
              <w:tc>
                <w:tcPr>
                  <w:tcW w:w="1376" w:type="pct"/>
                  <w:vAlign w:val="center"/>
                </w:tcPr>
                <w:p w14:paraId="3EE42F9B">
                  <w:pPr>
                    <w:wordWrap w:val="0"/>
                    <w:autoSpaceDE w:val="0"/>
                    <w:autoSpaceDN w:val="0"/>
                    <w:spacing w:line="276" w:lineRule="auto"/>
                    <w:jc w:val="center"/>
                    <w:rPr>
                      <w:szCs w:val="21"/>
                    </w:rPr>
                  </w:pPr>
                  <w:r>
                    <w:rPr>
                      <w:szCs w:val="21"/>
                    </w:rPr>
                    <w:t>Ⅳ</w:t>
                  </w:r>
                </w:p>
              </w:tc>
              <w:tc>
                <w:tcPr>
                  <w:tcW w:w="1392" w:type="pct"/>
                  <w:vAlign w:val="center"/>
                </w:tcPr>
                <w:p w14:paraId="12904446">
                  <w:pPr>
                    <w:wordWrap w:val="0"/>
                    <w:autoSpaceDE w:val="0"/>
                    <w:autoSpaceDN w:val="0"/>
                    <w:spacing w:line="276" w:lineRule="auto"/>
                    <w:jc w:val="center"/>
                    <w:rPr>
                      <w:szCs w:val="21"/>
                    </w:rPr>
                  </w:pPr>
                  <w:r>
                    <w:rPr>
                      <w:szCs w:val="21"/>
                    </w:rPr>
                    <w:t>Ⅳ</w:t>
                  </w:r>
                </w:p>
              </w:tc>
            </w:tr>
            <w:tr w14:paraId="6E7E2A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pct"/>
                  <w:vMerge w:val="continue"/>
                  <w:vAlign w:val="center"/>
                </w:tcPr>
                <w:p w14:paraId="1DD351E7">
                  <w:pPr>
                    <w:wordWrap w:val="0"/>
                    <w:autoSpaceDE w:val="0"/>
                    <w:autoSpaceDN w:val="0"/>
                    <w:spacing w:line="276" w:lineRule="auto"/>
                    <w:jc w:val="center"/>
                    <w:rPr>
                      <w:szCs w:val="21"/>
                    </w:rPr>
                  </w:pPr>
                </w:p>
              </w:tc>
              <w:tc>
                <w:tcPr>
                  <w:tcW w:w="1115" w:type="pct"/>
                  <w:vMerge w:val="continue"/>
                  <w:vAlign w:val="center"/>
                </w:tcPr>
                <w:p w14:paraId="0CE0C16A">
                  <w:pPr>
                    <w:wordWrap w:val="0"/>
                    <w:autoSpaceDE w:val="0"/>
                    <w:autoSpaceDN w:val="0"/>
                    <w:spacing w:line="276" w:lineRule="auto"/>
                    <w:jc w:val="center"/>
                    <w:rPr>
                      <w:szCs w:val="21"/>
                    </w:rPr>
                  </w:pPr>
                </w:p>
              </w:tc>
              <w:tc>
                <w:tcPr>
                  <w:tcW w:w="2768" w:type="pct"/>
                  <w:gridSpan w:val="2"/>
                  <w:vAlign w:val="center"/>
                </w:tcPr>
                <w:p w14:paraId="569A2081">
                  <w:pPr>
                    <w:wordWrap w:val="0"/>
                    <w:autoSpaceDE w:val="0"/>
                    <w:autoSpaceDN w:val="0"/>
                    <w:spacing w:line="276" w:lineRule="auto"/>
                    <w:jc w:val="center"/>
                    <w:rPr>
                      <w:szCs w:val="21"/>
                    </w:rPr>
                  </w:pPr>
                  <w:r>
                    <w:rPr>
                      <w:szCs w:val="21"/>
                    </w:rPr>
                    <w:t>主要污染物及超标倍数</w:t>
                  </w:r>
                </w:p>
              </w:tc>
            </w:tr>
            <w:tr w14:paraId="641D0E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pct"/>
                  <w:vMerge w:val="continue"/>
                  <w:vAlign w:val="center"/>
                </w:tcPr>
                <w:p w14:paraId="424502F8">
                  <w:pPr>
                    <w:wordWrap w:val="0"/>
                    <w:autoSpaceDE w:val="0"/>
                    <w:autoSpaceDN w:val="0"/>
                    <w:spacing w:line="276" w:lineRule="auto"/>
                    <w:jc w:val="center"/>
                    <w:rPr>
                      <w:szCs w:val="21"/>
                    </w:rPr>
                  </w:pPr>
                </w:p>
              </w:tc>
              <w:tc>
                <w:tcPr>
                  <w:tcW w:w="1115" w:type="pct"/>
                  <w:vMerge w:val="continue"/>
                  <w:vAlign w:val="center"/>
                </w:tcPr>
                <w:p w14:paraId="4903DA89">
                  <w:pPr>
                    <w:wordWrap w:val="0"/>
                    <w:autoSpaceDE w:val="0"/>
                    <w:autoSpaceDN w:val="0"/>
                    <w:spacing w:line="276" w:lineRule="auto"/>
                    <w:jc w:val="center"/>
                    <w:rPr>
                      <w:szCs w:val="21"/>
                    </w:rPr>
                  </w:pPr>
                </w:p>
              </w:tc>
              <w:tc>
                <w:tcPr>
                  <w:tcW w:w="1" w:type="pct"/>
                  <w:gridSpan w:val="2"/>
                  <w:vAlign w:val="center"/>
                </w:tcPr>
                <w:p w14:paraId="58FCF072">
                  <w:pPr>
                    <w:wordWrap w:val="0"/>
                    <w:autoSpaceDE w:val="0"/>
                    <w:autoSpaceDN w:val="0"/>
                    <w:spacing w:line="276" w:lineRule="auto"/>
                    <w:jc w:val="center"/>
                    <w:rPr>
                      <w:szCs w:val="21"/>
                    </w:rPr>
                  </w:pPr>
                  <w:r>
                    <w:rPr>
                      <w:rFonts w:hint="eastAsia"/>
                      <w:szCs w:val="21"/>
                    </w:rPr>
                    <w:t>溶解氧</w:t>
                  </w:r>
                </w:p>
              </w:tc>
            </w:tr>
            <w:tr w14:paraId="1EA94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pct"/>
                  <w:vMerge w:val="restart"/>
                  <w:vAlign w:val="center"/>
                </w:tcPr>
                <w:p w14:paraId="56328F32">
                  <w:pPr>
                    <w:wordWrap w:val="0"/>
                    <w:autoSpaceDE w:val="0"/>
                    <w:autoSpaceDN w:val="0"/>
                    <w:spacing w:line="276" w:lineRule="auto"/>
                    <w:jc w:val="center"/>
                    <w:rPr>
                      <w:szCs w:val="21"/>
                    </w:rPr>
                  </w:pPr>
                  <w:r>
                    <w:rPr>
                      <w:szCs w:val="21"/>
                    </w:rPr>
                    <w:t>丁家沟</w:t>
                  </w:r>
                </w:p>
              </w:tc>
              <w:tc>
                <w:tcPr>
                  <w:tcW w:w="1115" w:type="pct"/>
                  <w:vMerge w:val="restart"/>
                  <w:vAlign w:val="center"/>
                </w:tcPr>
                <w:p w14:paraId="61E90E3A">
                  <w:pPr>
                    <w:wordWrap w:val="0"/>
                    <w:autoSpaceDE w:val="0"/>
                    <w:autoSpaceDN w:val="0"/>
                    <w:spacing w:line="276" w:lineRule="auto"/>
                    <w:jc w:val="center"/>
                    <w:rPr>
                      <w:rFonts w:hAnsi="宋体"/>
                      <w:szCs w:val="21"/>
                    </w:rPr>
                  </w:pPr>
                  <w:r>
                    <w:rPr>
                      <w:rFonts w:hAnsi="宋体"/>
                      <w:szCs w:val="21"/>
                    </w:rPr>
                    <w:t>丁家沟河口</w:t>
                  </w:r>
                </w:p>
              </w:tc>
              <w:tc>
                <w:tcPr>
                  <w:tcW w:w="1376" w:type="pct"/>
                  <w:vAlign w:val="center"/>
                </w:tcPr>
                <w:p w14:paraId="7F1B610A">
                  <w:pPr>
                    <w:wordWrap w:val="0"/>
                    <w:autoSpaceDE w:val="0"/>
                    <w:autoSpaceDN w:val="0"/>
                    <w:spacing w:line="276" w:lineRule="auto"/>
                    <w:jc w:val="center"/>
                  </w:pPr>
                  <w:r>
                    <w:t>Ⅲ</w:t>
                  </w:r>
                </w:p>
              </w:tc>
              <w:tc>
                <w:tcPr>
                  <w:tcW w:w="1392" w:type="pct"/>
                  <w:vAlign w:val="center"/>
                </w:tcPr>
                <w:p w14:paraId="2232F3E2">
                  <w:pPr>
                    <w:wordWrap w:val="0"/>
                    <w:autoSpaceDE w:val="0"/>
                    <w:autoSpaceDN w:val="0"/>
                    <w:spacing w:line="276" w:lineRule="auto"/>
                    <w:jc w:val="center"/>
                  </w:pPr>
                  <w:r>
                    <w:rPr>
                      <w:szCs w:val="21"/>
                    </w:rPr>
                    <w:t>Ⅳ</w:t>
                  </w:r>
                </w:p>
              </w:tc>
            </w:tr>
            <w:tr w14:paraId="094EA2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pct"/>
                  <w:vMerge w:val="continue"/>
                  <w:vAlign w:val="center"/>
                </w:tcPr>
                <w:p w14:paraId="165D6981">
                  <w:pPr>
                    <w:wordWrap w:val="0"/>
                    <w:autoSpaceDE w:val="0"/>
                    <w:autoSpaceDN w:val="0"/>
                    <w:spacing w:line="276" w:lineRule="auto"/>
                    <w:jc w:val="center"/>
                    <w:rPr>
                      <w:szCs w:val="21"/>
                    </w:rPr>
                  </w:pPr>
                </w:p>
              </w:tc>
              <w:tc>
                <w:tcPr>
                  <w:tcW w:w="1115" w:type="pct"/>
                  <w:vMerge w:val="continue"/>
                  <w:vAlign w:val="center"/>
                </w:tcPr>
                <w:p w14:paraId="2EA48EB8">
                  <w:pPr>
                    <w:wordWrap w:val="0"/>
                    <w:autoSpaceDE w:val="0"/>
                    <w:autoSpaceDN w:val="0"/>
                    <w:spacing w:line="276" w:lineRule="auto"/>
                    <w:jc w:val="center"/>
                    <w:rPr>
                      <w:rFonts w:hAnsi="宋体"/>
                      <w:szCs w:val="21"/>
                    </w:rPr>
                  </w:pPr>
                </w:p>
              </w:tc>
              <w:tc>
                <w:tcPr>
                  <w:tcW w:w="2768" w:type="pct"/>
                  <w:gridSpan w:val="2"/>
                  <w:vAlign w:val="center"/>
                </w:tcPr>
                <w:p w14:paraId="48F3CE19">
                  <w:pPr>
                    <w:wordWrap w:val="0"/>
                    <w:autoSpaceDE w:val="0"/>
                    <w:autoSpaceDN w:val="0"/>
                    <w:spacing w:line="276" w:lineRule="auto"/>
                    <w:jc w:val="center"/>
                    <w:rPr>
                      <w:szCs w:val="21"/>
                    </w:rPr>
                  </w:pPr>
                  <w:r>
                    <w:rPr>
                      <w:szCs w:val="21"/>
                    </w:rPr>
                    <w:t>主要超标因子及倍数</w:t>
                  </w:r>
                </w:p>
              </w:tc>
            </w:tr>
            <w:tr w14:paraId="408ACD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17" w:type="pct"/>
                  <w:vMerge w:val="continue"/>
                  <w:vAlign w:val="center"/>
                </w:tcPr>
                <w:p w14:paraId="299F73AB">
                  <w:pPr>
                    <w:wordWrap w:val="0"/>
                    <w:autoSpaceDE w:val="0"/>
                    <w:autoSpaceDN w:val="0"/>
                    <w:spacing w:line="276" w:lineRule="auto"/>
                    <w:jc w:val="center"/>
                    <w:rPr>
                      <w:b/>
                      <w:szCs w:val="21"/>
                    </w:rPr>
                  </w:pPr>
                </w:p>
              </w:tc>
              <w:tc>
                <w:tcPr>
                  <w:tcW w:w="1115" w:type="pct"/>
                  <w:vMerge w:val="continue"/>
                  <w:vAlign w:val="center"/>
                </w:tcPr>
                <w:p w14:paraId="4B52F652">
                  <w:pPr>
                    <w:wordWrap w:val="0"/>
                    <w:autoSpaceDE w:val="0"/>
                    <w:autoSpaceDN w:val="0"/>
                    <w:spacing w:line="276" w:lineRule="auto"/>
                    <w:jc w:val="center"/>
                    <w:rPr>
                      <w:rFonts w:hAnsi="宋体"/>
                      <w:szCs w:val="21"/>
                    </w:rPr>
                  </w:pPr>
                </w:p>
              </w:tc>
              <w:tc>
                <w:tcPr>
                  <w:tcW w:w="1376" w:type="pct"/>
                  <w:vAlign w:val="center"/>
                </w:tcPr>
                <w:p w14:paraId="45C7A28D">
                  <w:pPr>
                    <w:wordWrap w:val="0"/>
                    <w:autoSpaceDE w:val="0"/>
                    <w:autoSpaceDN w:val="0"/>
                    <w:spacing w:line="276" w:lineRule="auto"/>
                    <w:jc w:val="center"/>
                    <w:rPr>
                      <w:szCs w:val="21"/>
                    </w:rPr>
                  </w:pPr>
                  <w:r>
                    <w:rPr>
                      <w:rFonts w:hint="eastAsia"/>
                      <w:szCs w:val="21"/>
                    </w:rPr>
                    <w:t>—</w:t>
                  </w:r>
                </w:p>
              </w:tc>
              <w:tc>
                <w:tcPr>
                  <w:tcW w:w="1392" w:type="pct"/>
                  <w:vAlign w:val="center"/>
                </w:tcPr>
                <w:p w14:paraId="03362037">
                  <w:pPr>
                    <w:wordWrap w:val="0"/>
                    <w:autoSpaceDE w:val="0"/>
                    <w:autoSpaceDN w:val="0"/>
                    <w:spacing w:line="276" w:lineRule="auto"/>
                    <w:jc w:val="center"/>
                    <w:rPr>
                      <w:szCs w:val="21"/>
                    </w:rPr>
                  </w:pPr>
                  <w:r>
                    <w:rPr>
                      <w:rFonts w:hint="eastAsia"/>
                      <w:szCs w:val="21"/>
                    </w:rPr>
                    <w:t>氟化物（0.29）</w:t>
                  </w:r>
                </w:p>
              </w:tc>
            </w:tr>
          </w:tbl>
          <w:p w14:paraId="2FB9795E">
            <w:pPr>
              <w:spacing w:line="360" w:lineRule="auto"/>
              <w:ind w:firstLine="480" w:firstLineChars="200"/>
              <w:rPr>
                <w:b/>
                <w:bCs/>
                <w:sz w:val="24"/>
                <w:szCs w:val="28"/>
              </w:rPr>
            </w:pPr>
            <w:r>
              <w:rPr>
                <w:sz w:val="24"/>
                <w:szCs w:val="24"/>
              </w:rPr>
              <w:t>根据</w:t>
            </w:r>
            <w:r>
              <w:rPr>
                <w:rFonts w:hint="eastAsia"/>
                <w:sz w:val="24"/>
                <w:szCs w:val="24"/>
              </w:rPr>
              <w:t>2023年8、9月淮南市水环境质量结果表明，项目所在区域地表水西淝河、</w:t>
            </w:r>
            <w:r>
              <w:rPr>
                <w:rFonts w:hint="eastAsia" w:hAnsi="宋体"/>
                <w:sz w:val="24"/>
                <w:szCs w:val="24"/>
              </w:rPr>
              <w:t>丁家沟水体环境质量均满足</w:t>
            </w:r>
            <w:r>
              <w:rPr>
                <w:rFonts w:hint="eastAsia"/>
                <w:sz w:val="24"/>
                <w:szCs w:val="24"/>
              </w:rPr>
              <w:t>《地表水环境质量标准》</w:t>
            </w:r>
            <w:r>
              <w:rPr>
                <w:rFonts w:hint="eastAsia" w:hAnsi="宋体"/>
                <w:sz w:val="24"/>
                <w:szCs w:val="24"/>
              </w:rPr>
              <w:t>（GB3838-2002）</w:t>
            </w:r>
            <w:r>
              <w:rPr>
                <w:sz w:val="24"/>
                <w:szCs w:val="24"/>
              </w:rPr>
              <w:t>Ⅲ、Ⅳ</w:t>
            </w:r>
            <w:r>
              <w:rPr>
                <w:rFonts w:hint="eastAsia" w:hAnsi="宋体"/>
                <w:sz w:val="24"/>
                <w:szCs w:val="24"/>
              </w:rPr>
              <w:t>类标准，区域地表水总体水质为轻度污染。</w:t>
            </w:r>
          </w:p>
          <w:p w14:paraId="29BFF9EB">
            <w:pPr>
              <w:spacing w:line="360" w:lineRule="auto"/>
              <w:ind w:firstLine="482" w:firstLineChars="200"/>
              <w:rPr>
                <w:b/>
                <w:bCs/>
                <w:sz w:val="24"/>
                <w:szCs w:val="28"/>
              </w:rPr>
            </w:pPr>
            <w:r>
              <w:rPr>
                <w:rFonts w:hint="eastAsia"/>
                <w:b/>
                <w:bCs/>
                <w:sz w:val="24"/>
                <w:szCs w:val="28"/>
              </w:rPr>
              <w:t>三、声环境质量现状</w:t>
            </w:r>
          </w:p>
          <w:p w14:paraId="07F129D3">
            <w:pPr>
              <w:spacing w:line="360" w:lineRule="auto"/>
              <w:ind w:firstLine="480" w:firstLineChars="200"/>
              <w:rPr>
                <w:sz w:val="24"/>
              </w:rPr>
            </w:pPr>
            <w:r>
              <w:rPr>
                <w:rFonts w:hint="eastAsia"/>
                <w:sz w:val="24"/>
              </w:rPr>
              <w:t>根据现场勘查，项目厂界外50m范围内无声环境保护目标，无需进行声环境现状质量监测。</w:t>
            </w:r>
          </w:p>
          <w:p w14:paraId="0DA69171">
            <w:pPr>
              <w:spacing w:line="360" w:lineRule="auto"/>
              <w:ind w:firstLine="482" w:firstLineChars="200"/>
              <w:rPr>
                <w:b/>
                <w:bCs/>
                <w:sz w:val="24"/>
                <w:szCs w:val="28"/>
              </w:rPr>
            </w:pPr>
            <w:r>
              <w:rPr>
                <w:rFonts w:hint="eastAsia"/>
                <w:b/>
                <w:bCs/>
                <w:sz w:val="24"/>
                <w:szCs w:val="28"/>
              </w:rPr>
              <w:t>四、生态环境</w:t>
            </w:r>
          </w:p>
          <w:p w14:paraId="37206E00">
            <w:pPr>
              <w:spacing w:line="440" w:lineRule="exact"/>
              <w:ind w:firstLine="480" w:firstLineChars="200"/>
              <w:rPr>
                <w:sz w:val="24"/>
              </w:rPr>
            </w:pPr>
            <w:r>
              <w:rPr>
                <w:rFonts w:hAnsi="宋体"/>
                <w:sz w:val="24"/>
                <w:szCs w:val="24"/>
              </w:rPr>
              <w:t>本项目租赁</w:t>
            </w:r>
            <w:r>
              <w:rPr>
                <w:rFonts w:hint="eastAsia" w:hAnsi="宋体"/>
                <w:sz w:val="24"/>
                <w:szCs w:val="24"/>
              </w:rPr>
              <w:t>安徽焦岗湖产业发展有限公司工业城2号楼1层和3层</w:t>
            </w:r>
            <w:r>
              <w:rPr>
                <w:rFonts w:hint="eastAsia"/>
                <w:sz w:val="24"/>
              </w:rPr>
              <w:t>，</w:t>
            </w:r>
            <w:r>
              <w:rPr>
                <w:rFonts w:hint="eastAsia"/>
                <w:sz w:val="24"/>
                <w:szCs w:val="28"/>
              </w:rPr>
              <w:t>不新增用地，现建设</w:t>
            </w:r>
            <w:r>
              <w:rPr>
                <w:rFonts w:hint="eastAsia"/>
                <w:sz w:val="24"/>
              </w:rPr>
              <w:t>用地范围内，无生态环境保护目标，</w:t>
            </w:r>
            <w:r>
              <w:rPr>
                <w:rFonts w:hint="eastAsia"/>
                <w:sz w:val="24"/>
                <w:szCs w:val="28"/>
              </w:rPr>
              <w:t>无需进行生态现状调查。</w:t>
            </w:r>
          </w:p>
          <w:p w14:paraId="223B1FE6">
            <w:pPr>
              <w:spacing w:line="440" w:lineRule="exact"/>
              <w:ind w:firstLine="482" w:firstLineChars="200"/>
              <w:rPr>
                <w:b/>
                <w:sz w:val="24"/>
              </w:rPr>
            </w:pPr>
            <w:r>
              <w:rPr>
                <w:rFonts w:hint="eastAsia"/>
                <w:b/>
                <w:sz w:val="24"/>
              </w:rPr>
              <w:t>五、地下水、土壤环境</w:t>
            </w:r>
          </w:p>
          <w:p w14:paraId="06159D59">
            <w:pPr>
              <w:spacing w:line="440" w:lineRule="exact"/>
              <w:ind w:firstLine="480" w:firstLineChars="200"/>
              <w:rPr>
                <w:sz w:val="24"/>
              </w:rPr>
            </w:pPr>
            <w:r>
              <w:rPr>
                <w:rFonts w:hint="eastAsia"/>
                <w:sz w:val="24"/>
              </w:rPr>
              <w:t>根据《建设项目环境影响报告表编制技术指南（污染影响类）（试行）》，本项目非新增用地，原则上不对地下水和土壤开展环境质量现状调查。本项目租赁安徽焦岗湖产业发展有限公司内已建成的标准化厂房，厂区地面已硬化，不具备采样条件。因此，本次不开展地下水和土壤环境现状监测。</w:t>
            </w:r>
          </w:p>
          <w:p w14:paraId="052351B5">
            <w:pPr>
              <w:spacing w:line="440" w:lineRule="exact"/>
              <w:ind w:firstLine="480" w:firstLineChars="200"/>
              <w:rPr>
                <w:sz w:val="24"/>
              </w:rPr>
            </w:pPr>
          </w:p>
          <w:p w14:paraId="64637625">
            <w:pPr>
              <w:spacing w:line="440" w:lineRule="exact"/>
              <w:ind w:firstLine="480" w:firstLineChars="200"/>
              <w:rPr>
                <w:sz w:val="24"/>
              </w:rPr>
            </w:pPr>
          </w:p>
          <w:p w14:paraId="38D5184A">
            <w:pPr>
              <w:spacing w:line="440" w:lineRule="exact"/>
              <w:ind w:firstLine="480" w:firstLineChars="200"/>
              <w:rPr>
                <w:sz w:val="24"/>
              </w:rPr>
            </w:pPr>
          </w:p>
          <w:p w14:paraId="7E318ACD">
            <w:pPr>
              <w:spacing w:line="440" w:lineRule="exact"/>
              <w:ind w:firstLine="480" w:firstLineChars="200"/>
              <w:rPr>
                <w:sz w:val="24"/>
              </w:rPr>
            </w:pPr>
          </w:p>
          <w:p w14:paraId="2C256933">
            <w:pPr>
              <w:spacing w:line="440" w:lineRule="exact"/>
              <w:ind w:firstLine="480" w:firstLineChars="200"/>
              <w:rPr>
                <w:sz w:val="24"/>
              </w:rPr>
            </w:pPr>
          </w:p>
          <w:p w14:paraId="537BB4E5">
            <w:pPr>
              <w:spacing w:line="440" w:lineRule="exact"/>
              <w:ind w:firstLine="480" w:firstLineChars="200"/>
              <w:rPr>
                <w:sz w:val="24"/>
              </w:rPr>
            </w:pPr>
          </w:p>
          <w:p w14:paraId="2820B62B">
            <w:pPr>
              <w:spacing w:line="440" w:lineRule="exact"/>
              <w:ind w:firstLine="420" w:firstLineChars="200"/>
            </w:pPr>
          </w:p>
        </w:tc>
      </w:tr>
    </w:tbl>
    <w:p w14:paraId="08CE42A0">
      <w:pPr>
        <w:widowControl/>
        <w:outlineLvl w:val="0"/>
        <w:rPr>
          <w:rFonts w:ascii="宋体" w:hAnsi="宋体"/>
          <w:b/>
          <w:bCs/>
          <w:kern w:val="0"/>
          <w:sz w:val="30"/>
          <w:szCs w:val="30"/>
        </w:rPr>
        <w:sectPr>
          <w:pgSz w:w="11906" w:h="16838"/>
          <w:pgMar w:top="1440" w:right="1508" w:bottom="1440" w:left="1797" w:header="851" w:footer="992" w:gutter="0"/>
          <w:cols w:space="720" w:num="1"/>
          <w:docGrid w:type="lines" w:linePitch="312" w:charSpace="0"/>
        </w:sectPr>
      </w:pPr>
      <w:bookmarkStart w:id="9" w:name="_Toc354926676"/>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8361"/>
      </w:tblGrid>
      <w:tr w14:paraId="77A74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dxa"/>
            <w:vAlign w:val="center"/>
          </w:tcPr>
          <w:p w14:paraId="375A702F">
            <w:pPr>
              <w:pStyle w:val="178"/>
              <w:spacing w:line="360" w:lineRule="auto"/>
              <w:ind w:left="0" w:right="0" w:firstLine="0"/>
              <w:jc w:val="center"/>
              <w:rPr>
                <w:rFonts w:hAnsi="宋体"/>
                <w:szCs w:val="22"/>
              </w:rPr>
            </w:pPr>
            <w:r>
              <w:rPr>
                <w:rFonts w:hAnsi="宋体"/>
                <w:szCs w:val="22"/>
              </w:rPr>
              <w:t>环境保护目标</w:t>
            </w:r>
          </w:p>
        </w:tc>
        <w:tc>
          <w:tcPr>
            <w:tcW w:w="8361" w:type="dxa"/>
          </w:tcPr>
          <w:p w14:paraId="5F9370AA">
            <w:pPr>
              <w:pStyle w:val="3"/>
              <w:keepNext w:val="0"/>
              <w:keepLines w:val="0"/>
              <w:spacing w:line="360" w:lineRule="auto"/>
              <w:jc w:val="left"/>
              <w:rPr>
                <w:rFonts w:ascii="宋体" w:hAnsi="宋体" w:eastAsia="宋体"/>
                <w:sz w:val="24"/>
                <w:szCs w:val="24"/>
              </w:rPr>
            </w:pPr>
            <w:r>
              <w:rPr>
                <w:rFonts w:hint="eastAsia" w:ascii="宋体" w:hAnsi="宋体" w:eastAsia="宋体"/>
                <w:sz w:val="24"/>
                <w:szCs w:val="24"/>
              </w:rPr>
              <w:t>主要环境保护目标（列出名单及保护级别）</w:t>
            </w:r>
          </w:p>
          <w:p w14:paraId="6E3BE9CB">
            <w:pPr>
              <w:spacing w:line="360" w:lineRule="auto"/>
              <w:ind w:firstLine="480" w:firstLineChars="200"/>
              <w:jc w:val="left"/>
              <w:rPr>
                <w:bCs/>
                <w:kern w:val="0"/>
                <w:sz w:val="24"/>
              </w:rPr>
            </w:pPr>
            <w:r>
              <w:rPr>
                <w:bCs/>
                <w:kern w:val="0"/>
                <w:sz w:val="24"/>
              </w:rPr>
              <w:t>根据建设项目地理位置和性质，项目</w:t>
            </w:r>
            <w:r>
              <w:rPr>
                <w:rFonts w:hint="eastAsia"/>
                <w:bCs/>
                <w:kern w:val="0"/>
                <w:sz w:val="24"/>
              </w:rPr>
              <w:t>500m范围内存在大气环境保护目标，本项目</w:t>
            </w:r>
            <w:r>
              <w:rPr>
                <w:bCs/>
                <w:kern w:val="0"/>
                <w:sz w:val="24"/>
              </w:rPr>
              <w:t>周边主要环境保护对象见下表</w:t>
            </w:r>
            <w:r>
              <w:rPr>
                <w:rFonts w:hint="eastAsia"/>
                <w:bCs/>
                <w:kern w:val="0"/>
                <w:sz w:val="24"/>
              </w:rPr>
              <w:t>26</w:t>
            </w:r>
            <w:r>
              <w:rPr>
                <w:bCs/>
                <w:kern w:val="0"/>
                <w:sz w:val="24"/>
              </w:rPr>
              <w:t>及图</w:t>
            </w:r>
            <w:r>
              <w:rPr>
                <w:rFonts w:hint="eastAsia"/>
                <w:bCs/>
                <w:kern w:val="0"/>
                <w:sz w:val="24"/>
              </w:rPr>
              <w:t>6</w:t>
            </w:r>
            <w:r>
              <w:rPr>
                <w:bCs/>
                <w:kern w:val="0"/>
                <w:sz w:val="24"/>
              </w:rPr>
              <w:t>。</w:t>
            </w:r>
          </w:p>
          <w:p w14:paraId="1161C206">
            <w:pPr>
              <w:jc w:val="center"/>
              <w:rPr>
                <w:rFonts w:eastAsia="黑体"/>
                <w:bCs/>
                <w:sz w:val="24"/>
                <w:szCs w:val="24"/>
              </w:rPr>
            </w:pPr>
            <w:r>
              <w:rPr>
                <w:rFonts w:eastAsia="黑体"/>
                <w:sz w:val="24"/>
                <w:szCs w:val="24"/>
              </w:rPr>
              <w:t>表</w:t>
            </w:r>
            <w:r>
              <w:rPr>
                <w:rFonts w:hint="eastAsia" w:eastAsia="黑体"/>
                <w:sz w:val="24"/>
                <w:szCs w:val="24"/>
              </w:rPr>
              <w:t xml:space="preserve">26  </w:t>
            </w:r>
            <w:r>
              <w:rPr>
                <w:rFonts w:eastAsia="黑体"/>
                <w:sz w:val="24"/>
                <w:szCs w:val="24"/>
              </w:rPr>
              <w:t>项目主要环境保护目标</w:t>
            </w:r>
            <w:r>
              <w:rPr>
                <w:rFonts w:hint="eastAsia" w:eastAsia="黑体"/>
                <w:sz w:val="24"/>
                <w:szCs w:val="24"/>
              </w:rPr>
              <w:t>一览表</w:t>
            </w:r>
          </w:p>
          <w:tbl>
            <w:tblPr>
              <w:tblStyle w:val="34"/>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911"/>
              <w:gridCol w:w="393"/>
              <w:gridCol w:w="730"/>
              <w:gridCol w:w="642"/>
              <w:gridCol w:w="624"/>
              <w:gridCol w:w="904"/>
              <w:gridCol w:w="900"/>
              <w:gridCol w:w="551"/>
              <w:gridCol w:w="848"/>
              <w:gridCol w:w="1635"/>
            </w:tblGrid>
            <w:tr w14:paraId="05942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3" w:type="pct"/>
                  <w:gridSpan w:val="2"/>
                  <w:vMerge w:val="restart"/>
                  <w:tcMar>
                    <w:top w:w="0" w:type="dxa"/>
                    <w:left w:w="6" w:type="dxa"/>
                    <w:bottom w:w="0" w:type="dxa"/>
                    <w:right w:w="6" w:type="dxa"/>
                  </w:tcMar>
                  <w:vAlign w:val="center"/>
                </w:tcPr>
                <w:p w14:paraId="532EA2CB">
                  <w:pPr>
                    <w:jc w:val="center"/>
                    <w:rPr>
                      <w:b/>
                      <w:szCs w:val="21"/>
                    </w:rPr>
                  </w:pPr>
                  <w:r>
                    <w:rPr>
                      <w:b/>
                      <w:szCs w:val="21"/>
                    </w:rPr>
                    <w:t>保护项目</w:t>
                  </w:r>
                </w:p>
              </w:tc>
              <w:tc>
                <w:tcPr>
                  <w:tcW w:w="480" w:type="pct"/>
                  <w:vMerge w:val="restart"/>
                  <w:tcMar>
                    <w:top w:w="0" w:type="dxa"/>
                    <w:left w:w="6" w:type="dxa"/>
                    <w:bottom w:w="0" w:type="dxa"/>
                    <w:right w:w="6" w:type="dxa"/>
                  </w:tcMar>
                  <w:vAlign w:val="center"/>
                </w:tcPr>
                <w:p w14:paraId="50F95BD2">
                  <w:pPr>
                    <w:jc w:val="center"/>
                    <w:rPr>
                      <w:b/>
                      <w:szCs w:val="21"/>
                    </w:rPr>
                  </w:pPr>
                  <w:r>
                    <w:rPr>
                      <w:b/>
                      <w:szCs w:val="21"/>
                    </w:rPr>
                    <w:t>名称</w:t>
                  </w:r>
                </w:p>
              </w:tc>
              <w:tc>
                <w:tcPr>
                  <w:tcW w:w="841" w:type="pct"/>
                  <w:gridSpan w:val="2"/>
                  <w:tcMar>
                    <w:top w:w="0" w:type="dxa"/>
                    <w:left w:w="6" w:type="dxa"/>
                    <w:bottom w:w="0" w:type="dxa"/>
                    <w:right w:w="6" w:type="dxa"/>
                  </w:tcMar>
                  <w:vAlign w:val="center"/>
                </w:tcPr>
                <w:p w14:paraId="1263A852">
                  <w:pPr>
                    <w:jc w:val="center"/>
                    <w:rPr>
                      <w:b/>
                      <w:szCs w:val="21"/>
                    </w:rPr>
                  </w:pPr>
                  <w:r>
                    <w:rPr>
                      <w:b/>
                      <w:szCs w:val="21"/>
                    </w:rPr>
                    <w:t>坐标</w:t>
                  </w:r>
                </w:p>
              </w:tc>
              <w:tc>
                <w:tcPr>
                  <w:tcW w:w="587" w:type="pct"/>
                  <w:vMerge w:val="restart"/>
                  <w:tcMar>
                    <w:top w:w="0" w:type="dxa"/>
                    <w:left w:w="6" w:type="dxa"/>
                    <w:bottom w:w="0" w:type="dxa"/>
                    <w:right w:w="6" w:type="dxa"/>
                  </w:tcMar>
                  <w:vAlign w:val="center"/>
                </w:tcPr>
                <w:p w14:paraId="4E75328B">
                  <w:pPr>
                    <w:pStyle w:val="241"/>
                    <w:adjustRightInd w:val="0"/>
                    <w:snapToGrid w:val="0"/>
                    <w:spacing w:line="240" w:lineRule="auto"/>
                    <w:ind w:firstLine="0" w:firstLineChars="0"/>
                    <w:jc w:val="center"/>
                    <w:rPr>
                      <w:rFonts w:ascii="Times New Roman" w:hAnsi="Times New Roman"/>
                      <w:b/>
                      <w:sz w:val="21"/>
                      <w:szCs w:val="21"/>
                    </w:rPr>
                  </w:pPr>
                  <w:r>
                    <w:rPr>
                      <w:rFonts w:ascii="Times New Roman" w:hAnsi="Times New Roman"/>
                      <w:b/>
                      <w:sz w:val="21"/>
                      <w:szCs w:val="21"/>
                    </w:rPr>
                    <w:t>保护对象</w:t>
                  </w:r>
                </w:p>
              </w:tc>
              <w:tc>
                <w:tcPr>
                  <w:tcW w:w="584" w:type="pct"/>
                  <w:vMerge w:val="restart"/>
                  <w:tcMar>
                    <w:top w:w="0" w:type="dxa"/>
                    <w:left w:w="6" w:type="dxa"/>
                    <w:bottom w:w="0" w:type="dxa"/>
                    <w:right w:w="6" w:type="dxa"/>
                  </w:tcMar>
                  <w:vAlign w:val="center"/>
                </w:tcPr>
                <w:p w14:paraId="0D6B14F5">
                  <w:pPr>
                    <w:jc w:val="center"/>
                    <w:rPr>
                      <w:b/>
                      <w:szCs w:val="21"/>
                    </w:rPr>
                  </w:pPr>
                  <w:r>
                    <w:rPr>
                      <w:b/>
                      <w:szCs w:val="21"/>
                    </w:rPr>
                    <w:t>规模</w:t>
                  </w:r>
                </w:p>
              </w:tc>
              <w:tc>
                <w:tcPr>
                  <w:tcW w:w="370" w:type="pct"/>
                  <w:vMerge w:val="restart"/>
                  <w:tcMar>
                    <w:top w:w="0" w:type="dxa"/>
                    <w:left w:w="6" w:type="dxa"/>
                    <w:bottom w:w="0" w:type="dxa"/>
                    <w:right w:w="6" w:type="dxa"/>
                  </w:tcMar>
                  <w:vAlign w:val="center"/>
                </w:tcPr>
                <w:p w14:paraId="7C13291A">
                  <w:pPr>
                    <w:jc w:val="center"/>
                    <w:rPr>
                      <w:b/>
                      <w:szCs w:val="21"/>
                    </w:rPr>
                  </w:pPr>
                  <w:r>
                    <w:rPr>
                      <w:b/>
                      <w:szCs w:val="21"/>
                    </w:rPr>
                    <w:t>相对厂址方位</w:t>
                  </w:r>
                </w:p>
              </w:tc>
              <w:tc>
                <w:tcPr>
                  <w:tcW w:w="552" w:type="pct"/>
                  <w:vMerge w:val="restart"/>
                  <w:tcMar>
                    <w:top w:w="0" w:type="dxa"/>
                    <w:left w:w="6" w:type="dxa"/>
                    <w:bottom w:w="0" w:type="dxa"/>
                    <w:right w:w="6" w:type="dxa"/>
                  </w:tcMar>
                  <w:vAlign w:val="center"/>
                </w:tcPr>
                <w:p w14:paraId="4ED83CBC">
                  <w:pPr>
                    <w:jc w:val="center"/>
                    <w:rPr>
                      <w:b/>
                      <w:szCs w:val="21"/>
                    </w:rPr>
                  </w:pPr>
                  <w:r>
                    <w:rPr>
                      <w:b/>
                      <w:szCs w:val="21"/>
                    </w:rPr>
                    <w:t>相对厂界距离</w:t>
                  </w:r>
                </w:p>
              </w:tc>
              <w:tc>
                <w:tcPr>
                  <w:tcW w:w="753" w:type="pct"/>
                  <w:vMerge w:val="restart"/>
                  <w:tcMar>
                    <w:top w:w="0" w:type="dxa"/>
                    <w:left w:w="6" w:type="dxa"/>
                    <w:bottom w:w="0" w:type="dxa"/>
                    <w:right w:w="6" w:type="dxa"/>
                  </w:tcMar>
                  <w:vAlign w:val="center"/>
                </w:tcPr>
                <w:p w14:paraId="6F0BCA23">
                  <w:pPr>
                    <w:jc w:val="center"/>
                    <w:rPr>
                      <w:b/>
                      <w:szCs w:val="21"/>
                    </w:rPr>
                  </w:pPr>
                  <w:r>
                    <w:rPr>
                      <w:b/>
                      <w:szCs w:val="21"/>
                    </w:rPr>
                    <w:t>保护级别</w:t>
                  </w:r>
                </w:p>
              </w:tc>
            </w:tr>
            <w:tr w14:paraId="350CA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3" w:type="pct"/>
                  <w:gridSpan w:val="2"/>
                  <w:vMerge w:val="continue"/>
                  <w:tcMar>
                    <w:top w:w="0" w:type="dxa"/>
                    <w:left w:w="6" w:type="dxa"/>
                    <w:bottom w:w="0" w:type="dxa"/>
                    <w:right w:w="6" w:type="dxa"/>
                  </w:tcMar>
                  <w:vAlign w:val="center"/>
                </w:tcPr>
                <w:p w14:paraId="7F24AFEC">
                  <w:pPr>
                    <w:jc w:val="center"/>
                    <w:rPr>
                      <w:b/>
                      <w:szCs w:val="21"/>
                    </w:rPr>
                  </w:pPr>
                </w:p>
              </w:tc>
              <w:tc>
                <w:tcPr>
                  <w:tcW w:w="480" w:type="pct"/>
                  <w:vMerge w:val="continue"/>
                  <w:tcMar>
                    <w:top w:w="0" w:type="dxa"/>
                    <w:left w:w="6" w:type="dxa"/>
                    <w:bottom w:w="0" w:type="dxa"/>
                    <w:right w:w="6" w:type="dxa"/>
                  </w:tcMar>
                  <w:vAlign w:val="center"/>
                </w:tcPr>
                <w:p w14:paraId="26FC1768">
                  <w:pPr>
                    <w:jc w:val="center"/>
                    <w:rPr>
                      <w:b/>
                      <w:szCs w:val="21"/>
                    </w:rPr>
                  </w:pPr>
                </w:p>
              </w:tc>
              <w:tc>
                <w:tcPr>
                  <w:tcW w:w="426" w:type="pct"/>
                  <w:tcMar>
                    <w:top w:w="0" w:type="dxa"/>
                    <w:left w:w="6" w:type="dxa"/>
                    <w:bottom w:w="0" w:type="dxa"/>
                    <w:right w:w="6" w:type="dxa"/>
                  </w:tcMar>
                  <w:vAlign w:val="center"/>
                </w:tcPr>
                <w:p w14:paraId="5DB2B299">
                  <w:pPr>
                    <w:jc w:val="center"/>
                    <w:rPr>
                      <w:b/>
                      <w:szCs w:val="21"/>
                    </w:rPr>
                  </w:pPr>
                  <w:r>
                    <w:rPr>
                      <w:b/>
                      <w:szCs w:val="21"/>
                    </w:rPr>
                    <w:t>X</w:t>
                  </w:r>
                </w:p>
              </w:tc>
              <w:tc>
                <w:tcPr>
                  <w:tcW w:w="414" w:type="pct"/>
                  <w:tcMar>
                    <w:top w:w="0" w:type="dxa"/>
                    <w:left w:w="6" w:type="dxa"/>
                    <w:bottom w:w="0" w:type="dxa"/>
                    <w:right w:w="6" w:type="dxa"/>
                  </w:tcMar>
                  <w:vAlign w:val="center"/>
                </w:tcPr>
                <w:p w14:paraId="60FD7E57">
                  <w:pPr>
                    <w:jc w:val="center"/>
                    <w:rPr>
                      <w:b/>
                      <w:szCs w:val="21"/>
                    </w:rPr>
                  </w:pPr>
                  <w:r>
                    <w:rPr>
                      <w:b/>
                      <w:szCs w:val="21"/>
                    </w:rPr>
                    <w:t>Y</w:t>
                  </w:r>
                </w:p>
              </w:tc>
              <w:tc>
                <w:tcPr>
                  <w:tcW w:w="587" w:type="pct"/>
                  <w:vMerge w:val="continue"/>
                  <w:tcMar>
                    <w:top w:w="0" w:type="dxa"/>
                    <w:left w:w="6" w:type="dxa"/>
                    <w:bottom w:w="0" w:type="dxa"/>
                    <w:right w:w="6" w:type="dxa"/>
                  </w:tcMar>
                  <w:vAlign w:val="center"/>
                </w:tcPr>
                <w:p w14:paraId="11CA14FC">
                  <w:pPr>
                    <w:jc w:val="center"/>
                    <w:rPr>
                      <w:b/>
                      <w:szCs w:val="21"/>
                    </w:rPr>
                  </w:pPr>
                </w:p>
              </w:tc>
              <w:tc>
                <w:tcPr>
                  <w:tcW w:w="584" w:type="pct"/>
                  <w:vMerge w:val="continue"/>
                  <w:tcMar>
                    <w:top w:w="0" w:type="dxa"/>
                    <w:left w:w="6" w:type="dxa"/>
                    <w:bottom w:w="0" w:type="dxa"/>
                    <w:right w:w="6" w:type="dxa"/>
                  </w:tcMar>
                  <w:vAlign w:val="center"/>
                </w:tcPr>
                <w:p w14:paraId="67B0F9B7">
                  <w:pPr>
                    <w:jc w:val="center"/>
                    <w:rPr>
                      <w:b/>
                      <w:szCs w:val="21"/>
                    </w:rPr>
                  </w:pPr>
                </w:p>
              </w:tc>
              <w:tc>
                <w:tcPr>
                  <w:tcW w:w="370" w:type="pct"/>
                  <w:vMerge w:val="continue"/>
                  <w:tcMar>
                    <w:top w:w="0" w:type="dxa"/>
                    <w:left w:w="6" w:type="dxa"/>
                    <w:bottom w:w="0" w:type="dxa"/>
                    <w:right w:w="6" w:type="dxa"/>
                  </w:tcMar>
                  <w:vAlign w:val="center"/>
                </w:tcPr>
                <w:p w14:paraId="19B587E8">
                  <w:pPr>
                    <w:jc w:val="center"/>
                    <w:rPr>
                      <w:b/>
                      <w:szCs w:val="21"/>
                    </w:rPr>
                  </w:pPr>
                </w:p>
              </w:tc>
              <w:tc>
                <w:tcPr>
                  <w:tcW w:w="552" w:type="pct"/>
                  <w:vMerge w:val="continue"/>
                  <w:tcMar>
                    <w:top w:w="0" w:type="dxa"/>
                    <w:left w:w="6" w:type="dxa"/>
                    <w:bottom w:w="0" w:type="dxa"/>
                    <w:right w:w="6" w:type="dxa"/>
                  </w:tcMar>
                  <w:vAlign w:val="center"/>
                </w:tcPr>
                <w:p w14:paraId="767BE4B4">
                  <w:pPr>
                    <w:jc w:val="center"/>
                    <w:rPr>
                      <w:b/>
                      <w:szCs w:val="21"/>
                    </w:rPr>
                  </w:pPr>
                </w:p>
              </w:tc>
              <w:tc>
                <w:tcPr>
                  <w:tcW w:w="753" w:type="pct"/>
                  <w:vMerge w:val="continue"/>
                  <w:tcMar>
                    <w:top w:w="0" w:type="dxa"/>
                    <w:left w:w="6" w:type="dxa"/>
                    <w:bottom w:w="0" w:type="dxa"/>
                    <w:right w:w="6" w:type="dxa"/>
                  </w:tcMar>
                  <w:vAlign w:val="center"/>
                </w:tcPr>
                <w:p w14:paraId="329DBE6D">
                  <w:pPr>
                    <w:jc w:val="center"/>
                    <w:rPr>
                      <w:b/>
                      <w:szCs w:val="21"/>
                    </w:rPr>
                  </w:pPr>
                </w:p>
              </w:tc>
            </w:tr>
            <w:tr w14:paraId="2A488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3" w:type="pct"/>
                  <w:gridSpan w:val="2"/>
                  <w:vMerge w:val="restart"/>
                  <w:tcMar>
                    <w:top w:w="0" w:type="dxa"/>
                    <w:left w:w="6" w:type="dxa"/>
                    <w:bottom w:w="0" w:type="dxa"/>
                    <w:right w:w="6" w:type="dxa"/>
                  </w:tcMar>
                  <w:vAlign w:val="center"/>
                </w:tcPr>
                <w:p w14:paraId="3B4BCBE3">
                  <w:pPr>
                    <w:jc w:val="center"/>
                    <w:rPr>
                      <w:szCs w:val="21"/>
                    </w:rPr>
                  </w:pPr>
                  <w:r>
                    <w:rPr>
                      <w:rFonts w:hint="eastAsia"/>
                      <w:szCs w:val="21"/>
                    </w:rPr>
                    <w:t>地表</w:t>
                  </w:r>
                  <w:r>
                    <w:rPr>
                      <w:szCs w:val="21"/>
                    </w:rPr>
                    <w:t>水环境</w:t>
                  </w:r>
                </w:p>
              </w:tc>
              <w:tc>
                <w:tcPr>
                  <w:tcW w:w="1321" w:type="pct"/>
                  <w:gridSpan w:val="3"/>
                  <w:tcMar>
                    <w:top w:w="0" w:type="dxa"/>
                    <w:left w:w="6" w:type="dxa"/>
                    <w:bottom w:w="0" w:type="dxa"/>
                    <w:right w:w="6" w:type="dxa"/>
                  </w:tcMar>
                  <w:vAlign w:val="center"/>
                </w:tcPr>
                <w:p w14:paraId="0ACB619E">
                  <w:pPr>
                    <w:pStyle w:val="241"/>
                    <w:adjustRightInd w:val="0"/>
                    <w:snapToGrid w:val="0"/>
                    <w:spacing w:line="240" w:lineRule="auto"/>
                    <w:ind w:firstLine="0" w:firstLineChars="0"/>
                    <w:jc w:val="center"/>
                    <w:rPr>
                      <w:rFonts w:ascii="Times New Roman" w:hAnsi="Times New Roman"/>
                      <w:sz w:val="21"/>
                      <w:szCs w:val="21"/>
                    </w:rPr>
                  </w:pPr>
                  <w:r>
                    <w:rPr>
                      <w:sz w:val="21"/>
                      <w:szCs w:val="21"/>
                    </w:rPr>
                    <w:t>西淝河（花家湖）</w:t>
                  </w:r>
                </w:p>
              </w:tc>
              <w:tc>
                <w:tcPr>
                  <w:tcW w:w="587" w:type="pct"/>
                  <w:tcMar>
                    <w:top w:w="0" w:type="dxa"/>
                    <w:left w:w="6" w:type="dxa"/>
                    <w:bottom w:w="0" w:type="dxa"/>
                    <w:right w:w="6" w:type="dxa"/>
                  </w:tcMar>
                  <w:vAlign w:val="center"/>
                </w:tcPr>
                <w:p w14:paraId="27CF3443">
                  <w:pPr>
                    <w:pStyle w:val="241"/>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地表水</w:t>
                  </w:r>
                </w:p>
              </w:tc>
              <w:tc>
                <w:tcPr>
                  <w:tcW w:w="584" w:type="pct"/>
                  <w:tcMar>
                    <w:top w:w="0" w:type="dxa"/>
                    <w:left w:w="6" w:type="dxa"/>
                    <w:bottom w:w="0" w:type="dxa"/>
                    <w:right w:w="6" w:type="dxa"/>
                  </w:tcMar>
                  <w:vAlign w:val="center"/>
                </w:tcPr>
                <w:p w14:paraId="7F7EE5A8">
                  <w:pPr>
                    <w:jc w:val="center"/>
                    <w:rPr>
                      <w:szCs w:val="21"/>
                    </w:rPr>
                  </w:pPr>
                  <w:r>
                    <w:rPr>
                      <w:szCs w:val="21"/>
                    </w:rPr>
                    <w:t>小河</w:t>
                  </w:r>
                </w:p>
              </w:tc>
              <w:tc>
                <w:tcPr>
                  <w:tcW w:w="370" w:type="pct"/>
                  <w:tcMar>
                    <w:top w:w="0" w:type="dxa"/>
                    <w:left w:w="6" w:type="dxa"/>
                    <w:bottom w:w="0" w:type="dxa"/>
                    <w:right w:w="6" w:type="dxa"/>
                  </w:tcMar>
                  <w:vAlign w:val="center"/>
                </w:tcPr>
                <w:p w14:paraId="59AEF85C">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N</w:t>
                  </w:r>
                  <w:r>
                    <w:rPr>
                      <w:rFonts w:ascii="Times New Roman" w:hAnsi="Times New Roman"/>
                      <w:sz w:val="21"/>
                      <w:szCs w:val="21"/>
                    </w:rPr>
                    <w:t>E</w:t>
                  </w:r>
                </w:p>
              </w:tc>
              <w:tc>
                <w:tcPr>
                  <w:tcW w:w="552" w:type="pct"/>
                  <w:tcMar>
                    <w:top w:w="0" w:type="dxa"/>
                    <w:left w:w="6" w:type="dxa"/>
                    <w:bottom w:w="0" w:type="dxa"/>
                    <w:right w:w="6" w:type="dxa"/>
                  </w:tcMar>
                  <w:vAlign w:val="center"/>
                </w:tcPr>
                <w:p w14:paraId="6E21607C">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40</w:t>
                  </w:r>
                  <w:r>
                    <w:rPr>
                      <w:rFonts w:ascii="Times New Roman" w:hAnsi="Times New Roman"/>
                      <w:sz w:val="21"/>
                      <w:szCs w:val="21"/>
                    </w:rPr>
                    <w:t>00</w:t>
                  </w:r>
                  <w:r>
                    <w:rPr>
                      <w:rFonts w:hint="eastAsia" w:ascii="Times New Roman" w:hAnsi="Times New Roman"/>
                      <w:sz w:val="21"/>
                      <w:szCs w:val="21"/>
                    </w:rPr>
                    <w:t>m</w:t>
                  </w:r>
                </w:p>
              </w:tc>
              <w:tc>
                <w:tcPr>
                  <w:tcW w:w="753" w:type="pct"/>
                  <w:vMerge w:val="restart"/>
                  <w:tcMar>
                    <w:top w:w="0" w:type="dxa"/>
                    <w:left w:w="6" w:type="dxa"/>
                    <w:bottom w:w="0" w:type="dxa"/>
                    <w:right w:w="6" w:type="dxa"/>
                  </w:tcMar>
                  <w:vAlign w:val="center"/>
                </w:tcPr>
                <w:p w14:paraId="30773639">
                  <w:pPr>
                    <w:pStyle w:val="241"/>
                    <w:adjustRightInd w:val="0"/>
                    <w:snapToGrid w:val="0"/>
                    <w:spacing w:line="240" w:lineRule="auto"/>
                    <w:ind w:firstLine="0" w:firstLineChars="0"/>
                    <w:jc w:val="center"/>
                    <w:rPr>
                      <w:rFonts w:ascii="Times New Roman" w:hAnsi="Times New Roman"/>
                      <w:sz w:val="21"/>
                      <w:szCs w:val="21"/>
                    </w:rPr>
                  </w:pPr>
                  <w:r>
                    <w:rPr>
                      <w:rFonts w:hint="eastAsia"/>
                      <w:sz w:val="21"/>
                      <w:szCs w:val="21"/>
                    </w:rPr>
                    <w:t>《地表水环境质量标准》（</w:t>
                  </w:r>
                  <w:r>
                    <w:rPr>
                      <w:rFonts w:ascii="Times New Roman" w:hAnsi="Times New Roman"/>
                      <w:sz w:val="21"/>
                      <w:szCs w:val="21"/>
                    </w:rPr>
                    <w:t>GB3838-2002</w:t>
                  </w:r>
                  <w:r>
                    <w:rPr>
                      <w:rFonts w:hint="eastAsia"/>
                      <w:sz w:val="21"/>
                      <w:szCs w:val="21"/>
                    </w:rPr>
                    <w:t>）</w:t>
                  </w:r>
                  <w:r>
                    <w:rPr>
                      <w:rFonts w:ascii="Times New Roman" w:hAnsi="Times New Roman"/>
                      <w:sz w:val="21"/>
                      <w:szCs w:val="21"/>
                    </w:rPr>
                    <w:t>Ⅲ</w:t>
                  </w:r>
                  <w:r>
                    <w:rPr>
                      <w:rFonts w:hint="eastAsia"/>
                      <w:sz w:val="21"/>
                      <w:szCs w:val="21"/>
                    </w:rPr>
                    <w:t>类</w:t>
                  </w:r>
                </w:p>
              </w:tc>
            </w:tr>
            <w:tr w14:paraId="6359C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3" w:type="pct"/>
                  <w:gridSpan w:val="2"/>
                  <w:vMerge w:val="continue"/>
                  <w:tcMar>
                    <w:top w:w="0" w:type="dxa"/>
                    <w:left w:w="6" w:type="dxa"/>
                    <w:bottom w:w="0" w:type="dxa"/>
                    <w:right w:w="6" w:type="dxa"/>
                  </w:tcMar>
                  <w:vAlign w:val="center"/>
                </w:tcPr>
                <w:p w14:paraId="17D66AC6">
                  <w:pPr>
                    <w:jc w:val="center"/>
                    <w:rPr>
                      <w:szCs w:val="21"/>
                    </w:rPr>
                  </w:pPr>
                </w:p>
              </w:tc>
              <w:tc>
                <w:tcPr>
                  <w:tcW w:w="1321" w:type="pct"/>
                  <w:gridSpan w:val="3"/>
                  <w:tcMar>
                    <w:top w:w="0" w:type="dxa"/>
                    <w:left w:w="6" w:type="dxa"/>
                    <w:bottom w:w="0" w:type="dxa"/>
                    <w:right w:w="6" w:type="dxa"/>
                  </w:tcMar>
                  <w:vAlign w:val="center"/>
                </w:tcPr>
                <w:p w14:paraId="7FAE3D8C">
                  <w:pPr>
                    <w:pStyle w:val="241"/>
                    <w:adjustRightInd w:val="0"/>
                    <w:snapToGrid w:val="0"/>
                    <w:spacing w:line="240" w:lineRule="auto"/>
                    <w:ind w:firstLine="0" w:firstLineChars="0"/>
                    <w:jc w:val="center"/>
                    <w:rPr>
                      <w:rFonts w:ascii="Times New Roman" w:hAnsi="Times New Roman"/>
                      <w:sz w:val="21"/>
                      <w:szCs w:val="21"/>
                    </w:rPr>
                  </w:pPr>
                  <w:r>
                    <w:rPr>
                      <w:sz w:val="21"/>
                      <w:szCs w:val="21"/>
                    </w:rPr>
                    <w:t>焦岗湖</w:t>
                  </w:r>
                </w:p>
              </w:tc>
              <w:tc>
                <w:tcPr>
                  <w:tcW w:w="587" w:type="pct"/>
                  <w:tcMar>
                    <w:top w:w="0" w:type="dxa"/>
                    <w:left w:w="6" w:type="dxa"/>
                    <w:bottom w:w="0" w:type="dxa"/>
                    <w:right w:w="6" w:type="dxa"/>
                  </w:tcMar>
                  <w:vAlign w:val="center"/>
                </w:tcPr>
                <w:p w14:paraId="36C96BA7">
                  <w:pPr>
                    <w:pStyle w:val="241"/>
                    <w:adjustRightInd w:val="0"/>
                    <w:snapToGrid w:val="0"/>
                    <w:spacing w:line="240" w:lineRule="auto"/>
                    <w:ind w:firstLine="0" w:firstLineChars="0"/>
                    <w:jc w:val="center"/>
                    <w:rPr>
                      <w:rFonts w:ascii="Times New Roman" w:hAnsi="Times New Roman"/>
                      <w:sz w:val="21"/>
                      <w:szCs w:val="21"/>
                    </w:rPr>
                  </w:pPr>
                  <w:r>
                    <w:rPr>
                      <w:rFonts w:ascii="Times New Roman" w:hAnsi="Times New Roman"/>
                      <w:sz w:val="21"/>
                      <w:szCs w:val="21"/>
                    </w:rPr>
                    <w:t>地表水</w:t>
                  </w:r>
                </w:p>
              </w:tc>
              <w:tc>
                <w:tcPr>
                  <w:tcW w:w="584" w:type="pct"/>
                  <w:tcMar>
                    <w:top w:w="0" w:type="dxa"/>
                    <w:left w:w="6" w:type="dxa"/>
                    <w:bottom w:w="0" w:type="dxa"/>
                    <w:right w:w="6" w:type="dxa"/>
                  </w:tcMar>
                  <w:vAlign w:val="center"/>
                </w:tcPr>
                <w:p w14:paraId="0706CE0C">
                  <w:pPr>
                    <w:jc w:val="center"/>
                    <w:rPr>
                      <w:szCs w:val="21"/>
                    </w:rPr>
                  </w:pPr>
                  <w:r>
                    <w:rPr>
                      <w:szCs w:val="21"/>
                    </w:rPr>
                    <w:t>中型湖泊</w:t>
                  </w:r>
                </w:p>
              </w:tc>
              <w:tc>
                <w:tcPr>
                  <w:tcW w:w="370" w:type="pct"/>
                  <w:tcMar>
                    <w:top w:w="0" w:type="dxa"/>
                    <w:left w:w="6" w:type="dxa"/>
                    <w:bottom w:w="0" w:type="dxa"/>
                    <w:right w:w="6" w:type="dxa"/>
                  </w:tcMar>
                  <w:vAlign w:val="center"/>
                </w:tcPr>
                <w:p w14:paraId="646A72A7">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S</w:t>
                  </w:r>
                </w:p>
              </w:tc>
              <w:tc>
                <w:tcPr>
                  <w:tcW w:w="552" w:type="pct"/>
                  <w:tcMar>
                    <w:top w:w="0" w:type="dxa"/>
                    <w:left w:w="6" w:type="dxa"/>
                    <w:bottom w:w="0" w:type="dxa"/>
                    <w:right w:w="6" w:type="dxa"/>
                  </w:tcMar>
                  <w:vAlign w:val="center"/>
                </w:tcPr>
                <w:p w14:paraId="7636F352">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47</w:t>
                  </w:r>
                  <w:r>
                    <w:rPr>
                      <w:rFonts w:ascii="Times New Roman" w:hAnsi="Times New Roman"/>
                      <w:sz w:val="21"/>
                      <w:szCs w:val="21"/>
                    </w:rPr>
                    <w:t>00</w:t>
                  </w:r>
                  <w:r>
                    <w:rPr>
                      <w:rFonts w:hint="eastAsia" w:ascii="Times New Roman" w:hAnsi="Times New Roman"/>
                      <w:sz w:val="21"/>
                      <w:szCs w:val="21"/>
                    </w:rPr>
                    <w:t>m</w:t>
                  </w:r>
                </w:p>
              </w:tc>
              <w:tc>
                <w:tcPr>
                  <w:tcW w:w="753" w:type="pct"/>
                  <w:vMerge w:val="continue"/>
                  <w:tcMar>
                    <w:top w:w="0" w:type="dxa"/>
                    <w:left w:w="6" w:type="dxa"/>
                    <w:bottom w:w="0" w:type="dxa"/>
                    <w:right w:w="6" w:type="dxa"/>
                  </w:tcMar>
                  <w:vAlign w:val="center"/>
                </w:tcPr>
                <w:p w14:paraId="0846B5C3">
                  <w:pPr>
                    <w:pStyle w:val="241"/>
                    <w:adjustRightInd w:val="0"/>
                    <w:snapToGrid w:val="0"/>
                    <w:spacing w:line="240" w:lineRule="auto"/>
                    <w:ind w:firstLine="0" w:firstLineChars="0"/>
                    <w:jc w:val="center"/>
                    <w:rPr>
                      <w:rFonts w:ascii="Times New Roman" w:hAnsi="Times New Roman"/>
                      <w:sz w:val="21"/>
                      <w:szCs w:val="21"/>
                    </w:rPr>
                  </w:pPr>
                </w:p>
              </w:tc>
            </w:tr>
            <w:tr w14:paraId="03EC9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restart"/>
                  <w:tcMar>
                    <w:top w:w="0" w:type="dxa"/>
                    <w:left w:w="6" w:type="dxa"/>
                    <w:bottom w:w="0" w:type="dxa"/>
                    <w:right w:w="6" w:type="dxa"/>
                  </w:tcMar>
                  <w:vAlign w:val="center"/>
                </w:tcPr>
                <w:p w14:paraId="02D54B52">
                  <w:pPr>
                    <w:jc w:val="center"/>
                    <w:rPr>
                      <w:szCs w:val="21"/>
                    </w:rPr>
                  </w:pPr>
                  <w:r>
                    <w:rPr>
                      <w:rFonts w:hint="eastAsia"/>
                      <w:szCs w:val="21"/>
                    </w:rPr>
                    <w:t>大气环境（</w:t>
                  </w:r>
                  <w:r>
                    <w:rPr>
                      <w:szCs w:val="21"/>
                    </w:rPr>
                    <w:t>500m</w:t>
                  </w:r>
                  <w:r>
                    <w:rPr>
                      <w:rFonts w:hint="eastAsia"/>
                      <w:szCs w:val="21"/>
                    </w:rPr>
                    <w:t>）</w:t>
                  </w:r>
                </w:p>
              </w:tc>
              <w:tc>
                <w:tcPr>
                  <w:tcW w:w="273" w:type="pct"/>
                  <w:vMerge w:val="restart"/>
                  <w:tcMar>
                    <w:top w:w="0" w:type="dxa"/>
                    <w:left w:w="6" w:type="dxa"/>
                    <w:bottom w:w="0" w:type="dxa"/>
                    <w:right w:w="6" w:type="dxa"/>
                  </w:tcMar>
                  <w:vAlign w:val="center"/>
                </w:tcPr>
                <w:p w14:paraId="6CF1F1C9">
                  <w:pPr>
                    <w:jc w:val="center"/>
                    <w:rPr>
                      <w:szCs w:val="21"/>
                    </w:rPr>
                  </w:pPr>
                  <w:r>
                    <w:rPr>
                      <w:rFonts w:hint="eastAsia"/>
                      <w:szCs w:val="21"/>
                    </w:rPr>
                    <w:t>现状</w:t>
                  </w:r>
                </w:p>
              </w:tc>
              <w:tc>
                <w:tcPr>
                  <w:tcW w:w="480" w:type="pct"/>
                  <w:tcMar>
                    <w:top w:w="0" w:type="dxa"/>
                    <w:left w:w="6" w:type="dxa"/>
                    <w:bottom w:w="0" w:type="dxa"/>
                    <w:right w:w="6" w:type="dxa"/>
                  </w:tcMar>
                  <w:vAlign w:val="center"/>
                </w:tcPr>
                <w:p w14:paraId="71F404E8">
                  <w:pPr>
                    <w:jc w:val="center"/>
                    <w:rPr>
                      <w:szCs w:val="21"/>
                    </w:rPr>
                  </w:pPr>
                  <w:r>
                    <w:rPr>
                      <w:szCs w:val="21"/>
                    </w:rPr>
                    <w:t>工业园公寓</w:t>
                  </w:r>
                </w:p>
              </w:tc>
              <w:tc>
                <w:tcPr>
                  <w:tcW w:w="426" w:type="pct"/>
                  <w:tcMar>
                    <w:top w:w="0" w:type="dxa"/>
                    <w:left w:w="6" w:type="dxa"/>
                    <w:bottom w:w="0" w:type="dxa"/>
                    <w:right w:w="6" w:type="dxa"/>
                  </w:tcMar>
                  <w:vAlign w:val="center"/>
                </w:tcPr>
                <w:p w14:paraId="24B8F1D0">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150</w:t>
                  </w:r>
                </w:p>
              </w:tc>
              <w:tc>
                <w:tcPr>
                  <w:tcW w:w="414" w:type="pct"/>
                  <w:tcMar>
                    <w:top w:w="0" w:type="dxa"/>
                    <w:left w:w="6" w:type="dxa"/>
                    <w:bottom w:w="0" w:type="dxa"/>
                    <w:right w:w="6" w:type="dxa"/>
                  </w:tcMar>
                  <w:vAlign w:val="center"/>
                </w:tcPr>
                <w:p w14:paraId="751DCE58">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w:t>
                  </w:r>
                </w:p>
              </w:tc>
              <w:tc>
                <w:tcPr>
                  <w:tcW w:w="587" w:type="pct"/>
                  <w:tcMar>
                    <w:top w:w="0" w:type="dxa"/>
                    <w:left w:w="6" w:type="dxa"/>
                    <w:bottom w:w="0" w:type="dxa"/>
                    <w:right w:w="6" w:type="dxa"/>
                  </w:tcMar>
                  <w:vAlign w:val="center"/>
                </w:tcPr>
                <w:p w14:paraId="27D72A43">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居民</w:t>
                  </w:r>
                </w:p>
              </w:tc>
              <w:tc>
                <w:tcPr>
                  <w:tcW w:w="584" w:type="pct"/>
                  <w:tcMar>
                    <w:top w:w="0" w:type="dxa"/>
                    <w:left w:w="6" w:type="dxa"/>
                    <w:bottom w:w="0" w:type="dxa"/>
                    <w:right w:w="6" w:type="dxa"/>
                  </w:tcMar>
                  <w:vAlign w:val="center"/>
                </w:tcPr>
                <w:p w14:paraId="316AF78C">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约10</w:t>
                  </w:r>
                  <w:r>
                    <w:rPr>
                      <w:rFonts w:ascii="Times New Roman" w:hAnsi="Times New Roman"/>
                      <w:sz w:val="21"/>
                      <w:szCs w:val="21"/>
                    </w:rPr>
                    <w:t>00</w:t>
                  </w:r>
                  <w:r>
                    <w:rPr>
                      <w:rFonts w:hint="eastAsia" w:ascii="Times New Roman" w:hAnsi="Times New Roman"/>
                      <w:sz w:val="21"/>
                      <w:szCs w:val="21"/>
                    </w:rPr>
                    <w:t>户，40</w:t>
                  </w:r>
                  <w:r>
                    <w:rPr>
                      <w:rFonts w:ascii="Times New Roman" w:hAnsi="Times New Roman"/>
                      <w:sz w:val="21"/>
                      <w:szCs w:val="21"/>
                    </w:rPr>
                    <w:t>00</w:t>
                  </w:r>
                  <w:r>
                    <w:rPr>
                      <w:rFonts w:hint="eastAsia" w:ascii="Times New Roman" w:hAnsi="Times New Roman"/>
                      <w:sz w:val="21"/>
                      <w:szCs w:val="21"/>
                    </w:rPr>
                    <w:t>人</w:t>
                  </w:r>
                </w:p>
              </w:tc>
              <w:tc>
                <w:tcPr>
                  <w:tcW w:w="370" w:type="pct"/>
                  <w:tcMar>
                    <w:top w:w="0" w:type="dxa"/>
                    <w:left w:w="6" w:type="dxa"/>
                    <w:bottom w:w="0" w:type="dxa"/>
                    <w:right w:w="6" w:type="dxa"/>
                  </w:tcMar>
                  <w:vAlign w:val="center"/>
                </w:tcPr>
                <w:p w14:paraId="77742675">
                  <w:pPr>
                    <w:jc w:val="center"/>
                    <w:rPr>
                      <w:szCs w:val="21"/>
                    </w:rPr>
                  </w:pPr>
                  <w:r>
                    <w:rPr>
                      <w:szCs w:val="21"/>
                    </w:rPr>
                    <w:t>E</w:t>
                  </w:r>
                </w:p>
              </w:tc>
              <w:tc>
                <w:tcPr>
                  <w:tcW w:w="552" w:type="pct"/>
                  <w:tcMar>
                    <w:top w:w="0" w:type="dxa"/>
                    <w:left w:w="6" w:type="dxa"/>
                    <w:bottom w:w="0" w:type="dxa"/>
                    <w:right w:w="6" w:type="dxa"/>
                  </w:tcMar>
                  <w:vAlign w:val="center"/>
                </w:tcPr>
                <w:p w14:paraId="26471F4A">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135m</w:t>
                  </w:r>
                </w:p>
              </w:tc>
              <w:tc>
                <w:tcPr>
                  <w:tcW w:w="753" w:type="pct"/>
                  <w:vMerge w:val="restart"/>
                  <w:tcMar>
                    <w:top w:w="0" w:type="dxa"/>
                    <w:left w:w="6" w:type="dxa"/>
                    <w:bottom w:w="0" w:type="dxa"/>
                    <w:right w:w="6" w:type="dxa"/>
                  </w:tcMar>
                  <w:vAlign w:val="center"/>
                </w:tcPr>
                <w:p w14:paraId="3235B94D">
                  <w:pPr>
                    <w:widowControl/>
                    <w:jc w:val="center"/>
                    <w:rPr>
                      <w:rFonts w:ascii="宋体" w:hAnsi="宋体" w:cs="宋体"/>
                      <w:kern w:val="0"/>
                      <w:sz w:val="24"/>
                      <w:szCs w:val="24"/>
                    </w:rPr>
                  </w:pPr>
                  <w:r>
                    <w:rPr>
                      <w:rFonts w:hint="eastAsia" w:ascii="宋体" w:hAnsi="宋体" w:cs="宋体"/>
                      <w:kern w:val="0"/>
                      <w:szCs w:val="21"/>
                    </w:rPr>
                    <w:t>《环境空气质量标准》</w:t>
                  </w:r>
                  <w:r>
                    <w:rPr>
                      <w:rFonts w:ascii="宋体" w:hAnsi="宋体" w:cs="宋体"/>
                      <w:kern w:val="0"/>
                      <w:szCs w:val="21"/>
                    </w:rPr>
                    <w:t>(</w:t>
                  </w:r>
                  <w:r>
                    <w:rPr>
                      <w:kern w:val="0"/>
                      <w:szCs w:val="21"/>
                    </w:rPr>
                    <w:t>GB3095-2012</w:t>
                  </w:r>
                  <w:r>
                    <w:rPr>
                      <w:rFonts w:ascii="宋体" w:hAnsi="宋体" w:cs="宋体"/>
                      <w:kern w:val="0"/>
                      <w:szCs w:val="21"/>
                    </w:rPr>
                    <w:t>)</w:t>
                  </w:r>
                  <w:r>
                    <w:rPr>
                      <w:rFonts w:hint="eastAsia" w:ascii="宋体" w:hAnsi="宋体" w:cs="宋体"/>
                      <w:kern w:val="0"/>
                      <w:szCs w:val="21"/>
                    </w:rPr>
                    <w:t>二级标准及其修改单</w:t>
                  </w:r>
                </w:p>
              </w:tc>
            </w:tr>
            <w:tr w14:paraId="6CCDC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tcMar>
                    <w:top w:w="0" w:type="dxa"/>
                    <w:left w:w="6" w:type="dxa"/>
                    <w:bottom w:w="0" w:type="dxa"/>
                    <w:right w:w="6" w:type="dxa"/>
                  </w:tcMar>
                  <w:vAlign w:val="center"/>
                </w:tcPr>
                <w:p w14:paraId="300051C8">
                  <w:pPr>
                    <w:jc w:val="center"/>
                    <w:rPr>
                      <w:szCs w:val="21"/>
                    </w:rPr>
                  </w:pPr>
                </w:p>
              </w:tc>
              <w:tc>
                <w:tcPr>
                  <w:tcW w:w="273" w:type="pct"/>
                  <w:vMerge w:val="continue"/>
                  <w:tcMar>
                    <w:top w:w="0" w:type="dxa"/>
                    <w:left w:w="6" w:type="dxa"/>
                    <w:bottom w:w="0" w:type="dxa"/>
                    <w:right w:w="6" w:type="dxa"/>
                  </w:tcMar>
                  <w:vAlign w:val="center"/>
                </w:tcPr>
                <w:p w14:paraId="4D0D6045">
                  <w:pPr>
                    <w:jc w:val="center"/>
                    <w:rPr>
                      <w:szCs w:val="21"/>
                    </w:rPr>
                  </w:pPr>
                </w:p>
              </w:tc>
              <w:tc>
                <w:tcPr>
                  <w:tcW w:w="480" w:type="pct"/>
                  <w:tcMar>
                    <w:top w:w="0" w:type="dxa"/>
                    <w:left w:w="6" w:type="dxa"/>
                    <w:bottom w:w="0" w:type="dxa"/>
                    <w:right w:w="6" w:type="dxa"/>
                  </w:tcMar>
                  <w:vAlign w:val="center"/>
                </w:tcPr>
                <w:p w14:paraId="544FCDD6">
                  <w:pPr>
                    <w:jc w:val="center"/>
                    <w:rPr>
                      <w:szCs w:val="21"/>
                    </w:rPr>
                  </w:pPr>
                  <w:r>
                    <w:rPr>
                      <w:szCs w:val="21"/>
                    </w:rPr>
                    <w:t>毛集经开区管委会</w:t>
                  </w:r>
                </w:p>
              </w:tc>
              <w:tc>
                <w:tcPr>
                  <w:tcW w:w="426" w:type="pct"/>
                  <w:tcMar>
                    <w:top w:w="0" w:type="dxa"/>
                    <w:left w:w="6" w:type="dxa"/>
                    <w:bottom w:w="0" w:type="dxa"/>
                    <w:right w:w="6" w:type="dxa"/>
                  </w:tcMar>
                  <w:vAlign w:val="center"/>
                </w:tcPr>
                <w:p w14:paraId="6ADDD7A5">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185</w:t>
                  </w:r>
                </w:p>
              </w:tc>
              <w:tc>
                <w:tcPr>
                  <w:tcW w:w="414" w:type="pct"/>
                  <w:tcMar>
                    <w:top w:w="0" w:type="dxa"/>
                    <w:left w:w="6" w:type="dxa"/>
                    <w:bottom w:w="0" w:type="dxa"/>
                    <w:right w:w="6" w:type="dxa"/>
                  </w:tcMar>
                  <w:vAlign w:val="center"/>
                </w:tcPr>
                <w:p w14:paraId="54D9A659">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20</w:t>
                  </w:r>
                </w:p>
              </w:tc>
              <w:tc>
                <w:tcPr>
                  <w:tcW w:w="587" w:type="pct"/>
                  <w:tcMar>
                    <w:top w:w="0" w:type="dxa"/>
                    <w:left w:w="6" w:type="dxa"/>
                    <w:bottom w:w="0" w:type="dxa"/>
                    <w:right w:w="6" w:type="dxa"/>
                  </w:tcMar>
                  <w:vAlign w:val="center"/>
                </w:tcPr>
                <w:p w14:paraId="19485A6F">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居民</w:t>
                  </w:r>
                </w:p>
              </w:tc>
              <w:tc>
                <w:tcPr>
                  <w:tcW w:w="584" w:type="pct"/>
                  <w:tcMar>
                    <w:top w:w="0" w:type="dxa"/>
                    <w:left w:w="6" w:type="dxa"/>
                    <w:bottom w:w="0" w:type="dxa"/>
                    <w:right w:w="6" w:type="dxa"/>
                  </w:tcMar>
                  <w:vAlign w:val="center"/>
                </w:tcPr>
                <w:p w14:paraId="3529A3CC">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约60人</w:t>
                  </w:r>
                </w:p>
              </w:tc>
              <w:tc>
                <w:tcPr>
                  <w:tcW w:w="370" w:type="pct"/>
                  <w:tcMar>
                    <w:top w:w="0" w:type="dxa"/>
                    <w:left w:w="6" w:type="dxa"/>
                    <w:bottom w:w="0" w:type="dxa"/>
                    <w:right w:w="6" w:type="dxa"/>
                  </w:tcMar>
                  <w:vAlign w:val="center"/>
                </w:tcPr>
                <w:p w14:paraId="1FD25A57">
                  <w:pPr>
                    <w:jc w:val="center"/>
                    <w:rPr>
                      <w:szCs w:val="21"/>
                    </w:rPr>
                  </w:pPr>
                  <w:r>
                    <w:rPr>
                      <w:rFonts w:hint="eastAsia"/>
                      <w:szCs w:val="21"/>
                    </w:rPr>
                    <w:t>E</w:t>
                  </w:r>
                </w:p>
              </w:tc>
              <w:tc>
                <w:tcPr>
                  <w:tcW w:w="552" w:type="pct"/>
                  <w:tcMar>
                    <w:top w:w="0" w:type="dxa"/>
                    <w:left w:w="6" w:type="dxa"/>
                    <w:bottom w:w="0" w:type="dxa"/>
                    <w:right w:w="6" w:type="dxa"/>
                  </w:tcMar>
                  <w:vAlign w:val="center"/>
                </w:tcPr>
                <w:p w14:paraId="687258FF">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150</w:t>
                  </w:r>
                </w:p>
              </w:tc>
              <w:tc>
                <w:tcPr>
                  <w:tcW w:w="753" w:type="pct"/>
                  <w:vMerge w:val="continue"/>
                  <w:tcMar>
                    <w:top w:w="0" w:type="dxa"/>
                    <w:left w:w="6" w:type="dxa"/>
                    <w:bottom w:w="0" w:type="dxa"/>
                    <w:right w:w="6" w:type="dxa"/>
                  </w:tcMar>
                  <w:vAlign w:val="center"/>
                </w:tcPr>
                <w:p w14:paraId="36662E50">
                  <w:pPr>
                    <w:widowControl/>
                    <w:jc w:val="left"/>
                    <w:rPr>
                      <w:rFonts w:ascii="宋体" w:hAnsi="宋体" w:cs="宋体"/>
                      <w:kern w:val="0"/>
                      <w:szCs w:val="21"/>
                    </w:rPr>
                  </w:pPr>
                </w:p>
              </w:tc>
            </w:tr>
            <w:tr w14:paraId="612A1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tcMar>
                    <w:top w:w="0" w:type="dxa"/>
                    <w:left w:w="6" w:type="dxa"/>
                    <w:bottom w:w="0" w:type="dxa"/>
                    <w:right w:w="6" w:type="dxa"/>
                  </w:tcMar>
                  <w:vAlign w:val="center"/>
                </w:tcPr>
                <w:p w14:paraId="072637A7">
                  <w:pPr>
                    <w:jc w:val="center"/>
                    <w:rPr>
                      <w:szCs w:val="21"/>
                    </w:rPr>
                  </w:pPr>
                </w:p>
              </w:tc>
              <w:tc>
                <w:tcPr>
                  <w:tcW w:w="273" w:type="pct"/>
                  <w:vMerge w:val="continue"/>
                  <w:tcMar>
                    <w:top w:w="0" w:type="dxa"/>
                    <w:left w:w="6" w:type="dxa"/>
                    <w:bottom w:w="0" w:type="dxa"/>
                    <w:right w:w="6" w:type="dxa"/>
                  </w:tcMar>
                  <w:vAlign w:val="center"/>
                </w:tcPr>
                <w:p w14:paraId="629369D4">
                  <w:pPr>
                    <w:jc w:val="center"/>
                    <w:rPr>
                      <w:szCs w:val="21"/>
                    </w:rPr>
                  </w:pPr>
                </w:p>
              </w:tc>
              <w:tc>
                <w:tcPr>
                  <w:tcW w:w="480" w:type="pct"/>
                  <w:tcMar>
                    <w:top w:w="0" w:type="dxa"/>
                    <w:left w:w="6" w:type="dxa"/>
                    <w:bottom w:w="0" w:type="dxa"/>
                    <w:right w:w="6" w:type="dxa"/>
                  </w:tcMar>
                  <w:vAlign w:val="center"/>
                </w:tcPr>
                <w:p w14:paraId="6D1EC7A4">
                  <w:pPr>
                    <w:jc w:val="center"/>
                    <w:rPr>
                      <w:szCs w:val="21"/>
                    </w:rPr>
                  </w:pPr>
                  <w:r>
                    <w:rPr>
                      <w:szCs w:val="21"/>
                    </w:rPr>
                    <w:t>和院小区</w:t>
                  </w:r>
                </w:p>
              </w:tc>
              <w:tc>
                <w:tcPr>
                  <w:tcW w:w="426" w:type="pct"/>
                  <w:tcMar>
                    <w:top w:w="0" w:type="dxa"/>
                    <w:left w:w="6" w:type="dxa"/>
                    <w:bottom w:w="0" w:type="dxa"/>
                    <w:right w:w="6" w:type="dxa"/>
                  </w:tcMar>
                  <w:vAlign w:val="center"/>
                </w:tcPr>
                <w:p w14:paraId="7FD7F17D">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410</w:t>
                  </w:r>
                </w:p>
              </w:tc>
              <w:tc>
                <w:tcPr>
                  <w:tcW w:w="414" w:type="pct"/>
                  <w:tcMar>
                    <w:top w:w="0" w:type="dxa"/>
                    <w:left w:w="6" w:type="dxa"/>
                    <w:bottom w:w="0" w:type="dxa"/>
                    <w:right w:w="6" w:type="dxa"/>
                  </w:tcMar>
                  <w:vAlign w:val="center"/>
                </w:tcPr>
                <w:p w14:paraId="72EAF6E3">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w:t>
                  </w:r>
                </w:p>
              </w:tc>
              <w:tc>
                <w:tcPr>
                  <w:tcW w:w="587" w:type="pct"/>
                  <w:tcMar>
                    <w:top w:w="0" w:type="dxa"/>
                    <w:left w:w="6" w:type="dxa"/>
                    <w:bottom w:w="0" w:type="dxa"/>
                    <w:right w:w="6" w:type="dxa"/>
                  </w:tcMar>
                  <w:vAlign w:val="center"/>
                </w:tcPr>
                <w:p w14:paraId="5E29BB04">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居民</w:t>
                  </w:r>
                </w:p>
              </w:tc>
              <w:tc>
                <w:tcPr>
                  <w:tcW w:w="584" w:type="pct"/>
                  <w:tcMar>
                    <w:top w:w="0" w:type="dxa"/>
                    <w:left w:w="6" w:type="dxa"/>
                    <w:bottom w:w="0" w:type="dxa"/>
                    <w:right w:w="6" w:type="dxa"/>
                  </w:tcMar>
                  <w:vAlign w:val="center"/>
                </w:tcPr>
                <w:p w14:paraId="6A5540DB">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约230户，92</w:t>
                  </w:r>
                  <w:r>
                    <w:rPr>
                      <w:rFonts w:ascii="Times New Roman" w:hAnsi="Times New Roman"/>
                      <w:sz w:val="21"/>
                      <w:szCs w:val="21"/>
                    </w:rPr>
                    <w:t>0</w:t>
                  </w:r>
                  <w:r>
                    <w:rPr>
                      <w:rFonts w:hint="eastAsia" w:ascii="Times New Roman" w:hAnsi="Times New Roman"/>
                      <w:sz w:val="21"/>
                      <w:szCs w:val="21"/>
                    </w:rPr>
                    <w:t>人</w:t>
                  </w:r>
                </w:p>
              </w:tc>
              <w:tc>
                <w:tcPr>
                  <w:tcW w:w="370" w:type="pct"/>
                  <w:tcMar>
                    <w:top w:w="0" w:type="dxa"/>
                    <w:left w:w="6" w:type="dxa"/>
                    <w:bottom w:w="0" w:type="dxa"/>
                    <w:right w:w="6" w:type="dxa"/>
                  </w:tcMar>
                  <w:vAlign w:val="center"/>
                </w:tcPr>
                <w:p w14:paraId="74332451">
                  <w:pPr>
                    <w:jc w:val="center"/>
                    <w:rPr>
                      <w:szCs w:val="21"/>
                    </w:rPr>
                  </w:pPr>
                  <w:r>
                    <w:rPr>
                      <w:szCs w:val="21"/>
                    </w:rPr>
                    <w:t>E</w:t>
                  </w:r>
                </w:p>
              </w:tc>
              <w:tc>
                <w:tcPr>
                  <w:tcW w:w="552" w:type="pct"/>
                  <w:tcMar>
                    <w:top w:w="0" w:type="dxa"/>
                    <w:left w:w="6" w:type="dxa"/>
                    <w:bottom w:w="0" w:type="dxa"/>
                    <w:right w:w="6" w:type="dxa"/>
                  </w:tcMar>
                  <w:vAlign w:val="center"/>
                </w:tcPr>
                <w:p w14:paraId="6EDB34A8">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385m</w:t>
                  </w:r>
                </w:p>
              </w:tc>
              <w:tc>
                <w:tcPr>
                  <w:tcW w:w="753" w:type="pct"/>
                  <w:vMerge w:val="continue"/>
                  <w:tcMar>
                    <w:top w:w="0" w:type="dxa"/>
                    <w:left w:w="6" w:type="dxa"/>
                    <w:bottom w:w="0" w:type="dxa"/>
                    <w:right w:w="6" w:type="dxa"/>
                  </w:tcMar>
                  <w:vAlign w:val="center"/>
                </w:tcPr>
                <w:p w14:paraId="104C1045">
                  <w:pPr>
                    <w:pStyle w:val="241"/>
                    <w:adjustRightInd w:val="0"/>
                    <w:snapToGrid w:val="0"/>
                    <w:spacing w:line="240" w:lineRule="auto"/>
                    <w:ind w:firstLine="0" w:firstLineChars="0"/>
                    <w:jc w:val="center"/>
                    <w:rPr>
                      <w:rFonts w:ascii="Times New Roman" w:hAnsi="Times New Roman"/>
                      <w:sz w:val="21"/>
                      <w:szCs w:val="21"/>
                    </w:rPr>
                  </w:pPr>
                </w:p>
              </w:tc>
            </w:tr>
            <w:tr w14:paraId="1EC20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tcMar>
                    <w:top w:w="0" w:type="dxa"/>
                    <w:left w:w="6" w:type="dxa"/>
                    <w:bottom w:w="0" w:type="dxa"/>
                    <w:right w:w="6" w:type="dxa"/>
                  </w:tcMar>
                  <w:vAlign w:val="center"/>
                </w:tcPr>
                <w:p w14:paraId="57B7BF12">
                  <w:pPr>
                    <w:jc w:val="center"/>
                    <w:rPr>
                      <w:szCs w:val="21"/>
                    </w:rPr>
                  </w:pPr>
                </w:p>
              </w:tc>
              <w:tc>
                <w:tcPr>
                  <w:tcW w:w="273" w:type="pct"/>
                  <w:vMerge w:val="continue"/>
                  <w:tcMar>
                    <w:top w:w="0" w:type="dxa"/>
                    <w:left w:w="6" w:type="dxa"/>
                    <w:bottom w:w="0" w:type="dxa"/>
                    <w:right w:w="6" w:type="dxa"/>
                  </w:tcMar>
                  <w:vAlign w:val="center"/>
                </w:tcPr>
                <w:p w14:paraId="1E94C62A">
                  <w:pPr>
                    <w:jc w:val="center"/>
                    <w:rPr>
                      <w:szCs w:val="21"/>
                    </w:rPr>
                  </w:pPr>
                </w:p>
              </w:tc>
              <w:tc>
                <w:tcPr>
                  <w:tcW w:w="480" w:type="pct"/>
                  <w:tcMar>
                    <w:top w:w="0" w:type="dxa"/>
                    <w:left w:w="6" w:type="dxa"/>
                    <w:bottom w:w="0" w:type="dxa"/>
                    <w:right w:w="6" w:type="dxa"/>
                  </w:tcMar>
                  <w:vAlign w:val="center"/>
                </w:tcPr>
                <w:p w14:paraId="36443F32">
                  <w:pPr>
                    <w:jc w:val="center"/>
                    <w:rPr>
                      <w:szCs w:val="21"/>
                    </w:rPr>
                  </w:pPr>
                  <w:r>
                    <w:rPr>
                      <w:szCs w:val="21"/>
                    </w:rPr>
                    <w:t>刘郢</w:t>
                  </w:r>
                </w:p>
              </w:tc>
              <w:tc>
                <w:tcPr>
                  <w:tcW w:w="426" w:type="pct"/>
                  <w:tcMar>
                    <w:top w:w="0" w:type="dxa"/>
                    <w:left w:w="6" w:type="dxa"/>
                    <w:bottom w:w="0" w:type="dxa"/>
                    <w:right w:w="6" w:type="dxa"/>
                  </w:tcMar>
                  <w:vAlign w:val="center"/>
                </w:tcPr>
                <w:p w14:paraId="69F1CE91">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0</w:t>
                  </w:r>
                </w:p>
              </w:tc>
              <w:tc>
                <w:tcPr>
                  <w:tcW w:w="414" w:type="pct"/>
                  <w:tcMar>
                    <w:top w:w="0" w:type="dxa"/>
                    <w:left w:w="6" w:type="dxa"/>
                    <w:bottom w:w="0" w:type="dxa"/>
                    <w:right w:w="6" w:type="dxa"/>
                  </w:tcMar>
                  <w:vAlign w:val="center"/>
                </w:tcPr>
                <w:p w14:paraId="6CBB6BE2">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350</w:t>
                  </w:r>
                </w:p>
              </w:tc>
              <w:tc>
                <w:tcPr>
                  <w:tcW w:w="587" w:type="pct"/>
                  <w:tcMar>
                    <w:top w:w="0" w:type="dxa"/>
                    <w:left w:w="6" w:type="dxa"/>
                    <w:bottom w:w="0" w:type="dxa"/>
                    <w:right w:w="6" w:type="dxa"/>
                  </w:tcMar>
                  <w:vAlign w:val="center"/>
                </w:tcPr>
                <w:p w14:paraId="07DC2496">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居民</w:t>
                  </w:r>
                </w:p>
              </w:tc>
              <w:tc>
                <w:tcPr>
                  <w:tcW w:w="584" w:type="pct"/>
                  <w:tcMar>
                    <w:top w:w="0" w:type="dxa"/>
                    <w:left w:w="6" w:type="dxa"/>
                    <w:bottom w:w="0" w:type="dxa"/>
                    <w:right w:w="6" w:type="dxa"/>
                  </w:tcMar>
                  <w:vAlign w:val="center"/>
                </w:tcPr>
                <w:p w14:paraId="27ECA1AC">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约</w:t>
                  </w:r>
                  <w:r>
                    <w:rPr>
                      <w:rFonts w:ascii="Times New Roman" w:hAnsi="Times New Roman"/>
                      <w:sz w:val="21"/>
                      <w:szCs w:val="21"/>
                    </w:rPr>
                    <w:t>30</w:t>
                  </w:r>
                  <w:r>
                    <w:rPr>
                      <w:rFonts w:hint="eastAsia" w:ascii="Times New Roman" w:hAnsi="Times New Roman"/>
                      <w:sz w:val="21"/>
                      <w:szCs w:val="21"/>
                    </w:rPr>
                    <w:t>户，约120人</w:t>
                  </w:r>
                </w:p>
              </w:tc>
              <w:tc>
                <w:tcPr>
                  <w:tcW w:w="370" w:type="pct"/>
                  <w:tcMar>
                    <w:top w:w="0" w:type="dxa"/>
                    <w:left w:w="6" w:type="dxa"/>
                    <w:bottom w:w="0" w:type="dxa"/>
                    <w:right w:w="6" w:type="dxa"/>
                  </w:tcMar>
                  <w:vAlign w:val="center"/>
                </w:tcPr>
                <w:p w14:paraId="571D803A">
                  <w:pPr>
                    <w:jc w:val="center"/>
                    <w:rPr>
                      <w:szCs w:val="21"/>
                    </w:rPr>
                  </w:pPr>
                  <w:r>
                    <w:rPr>
                      <w:rFonts w:hint="eastAsia"/>
                      <w:szCs w:val="21"/>
                    </w:rPr>
                    <w:t>N</w:t>
                  </w:r>
                </w:p>
              </w:tc>
              <w:tc>
                <w:tcPr>
                  <w:tcW w:w="552" w:type="pct"/>
                  <w:tcMar>
                    <w:top w:w="0" w:type="dxa"/>
                    <w:left w:w="6" w:type="dxa"/>
                    <w:bottom w:w="0" w:type="dxa"/>
                    <w:right w:w="6" w:type="dxa"/>
                  </w:tcMar>
                  <w:vAlign w:val="center"/>
                </w:tcPr>
                <w:p w14:paraId="2367E014">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310m</w:t>
                  </w:r>
                </w:p>
              </w:tc>
              <w:tc>
                <w:tcPr>
                  <w:tcW w:w="753" w:type="pct"/>
                  <w:vMerge w:val="continue"/>
                  <w:tcMar>
                    <w:top w:w="0" w:type="dxa"/>
                    <w:left w:w="6" w:type="dxa"/>
                    <w:bottom w:w="0" w:type="dxa"/>
                    <w:right w:w="6" w:type="dxa"/>
                  </w:tcMar>
                  <w:vAlign w:val="center"/>
                </w:tcPr>
                <w:p w14:paraId="6A20C7E8">
                  <w:pPr>
                    <w:pStyle w:val="241"/>
                    <w:adjustRightInd w:val="0"/>
                    <w:snapToGrid w:val="0"/>
                    <w:spacing w:line="240" w:lineRule="auto"/>
                    <w:ind w:firstLine="0" w:firstLineChars="0"/>
                    <w:jc w:val="center"/>
                    <w:rPr>
                      <w:rFonts w:ascii="Times New Roman" w:hAnsi="Times New Roman"/>
                      <w:sz w:val="21"/>
                      <w:szCs w:val="21"/>
                    </w:rPr>
                  </w:pPr>
                </w:p>
              </w:tc>
            </w:tr>
            <w:tr w14:paraId="16E06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tcMar>
                    <w:top w:w="0" w:type="dxa"/>
                    <w:left w:w="6" w:type="dxa"/>
                    <w:bottom w:w="0" w:type="dxa"/>
                    <w:right w:w="6" w:type="dxa"/>
                  </w:tcMar>
                  <w:vAlign w:val="center"/>
                </w:tcPr>
                <w:p w14:paraId="52138994">
                  <w:pPr>
                    <w:jc w:val="center"/>
                    <w:rPr>
                      <w:szCs w:val="21"/>
                    </w:rPr>
                  </w:pPr>
                </w:p>
              </w:tc>
              <w:tc>
                <w:tcPr>
                  <w:tcW w:w="273" w:type="pct"/>
                  <w:vMerge w:val="continue"/>
                  <w:tcMar>
                    <w:top w:w="0" w:type="dxa"/>
                    <w:left w:w="6" w:type="dxa"/>
                    <w:bottom w:w="0" w:type="dxa"/>
                    <w:right w:w="6" w:type="dxa"/>
                  </w:tcMar>
                  <w:vAlign w:val="center"/>
                </w:tcPr>
                <w:p w14:paraId="7EDE2F25">
                  <w:pPr>
                    <w:jc w:val="center"/>
                    <w:rPr>
                      <w:szCs w:val="21"/>
                    </w:rPr>
                  </w:pPr>
                </w:p>
              </w:tc>
              <w:tc>
                <w:tcPr>
                  <w:tcW w:w="480" w:type="pct"/>
                  <w:tcMar>
                    <w:top w:w="0" w:type="dxa"/>
                    <w:left w:w="6" w:type="dxa"/>
                    <w:bottom w:w="0" w:type="dxa"/>
                    <w:right w:w="6" w:type="dxa"/>
                  </w:tcMar>
                  <w:vAlign w:val="center"/>
                </w:tcPr>
                <w:p w14:paraId="58D37CDD">
                  <w:pPr>
                    <w:jc w:val="center"/>
                    <w:rPr>
                      <w:szCs w:val="21"/>
                    </w:rPr>
                  </w:pPr>
                  <w:r>
                    <w:rPr>
                      <w:szCs w:val="21"/>
                    </w:rPr>
                    <w:t>桂花苑</w:t>
                  </w:r>
                </w:p>
              </w:tc>
              <w:tc>
                <w:tcPr>
                  <w:tcW w:w="426" w:type="pct"/>
                  <w:tcMar>
                    <w:top w:w="0" w:type="dxa"/>
                    <w:left w:w="6" w:type="dxa"/>
                    <w:bottom w:w="0" w:type="dxa"/>
                    <w:right w:w="6" w:type="dxa"/>
                  </w:tcMar>
                  <w:vAlign w:val="center"/>
                </w:tcPr>
                <w:p w14:paraId="258884CC">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405</w:t>
                  </w:r>
                </w:p>
              </w:tc>
              <w:tc>
                <w:tcPr>
                  <w:tcW w:w="414" w:type="pct"/>
                  <w:tcMar>
                    <w:top w:w="0" w:type="dxa"/>
                    <w:left w:w="6" w:type="dxa"/>
                    <w:bottom w:w="0" w:type="dxa"/>
                    <w:right w:w="6" w:type="dxa"/>
                  </w:tcMar>
                  <w:vAlign w:val="center"/>
                </w:tcPr>
                <w:p w14:paraId="4D1549F3">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-245</w:t>
                  </w:r>
                </w:p>
              </w:tc>
              <w:tc>
                <w:tcPr>
                  <w:tcW w:w="587" w:type="pct"/>
                  <w:tcMar>
                    <w:top w:w="0" w:type="dxa"/>
                    <w:left w:w="6" w:type="dxa"/>
                    <w:bottom w:w="0" w:type="dxa"/>
                    <w:right w:w="6" w:type="dxa"/>
                  </w:tcMar>
                  <w:vAlign w:val="center"/>
                </w:tcPr>
                <w:p w14:paraId="1AB29105">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居民</w:t>
                  </w:r>
                </w:p>
              </w:tc>
              <w:tc>
                <w:tcPr>
                  <w:tcW w:w="584" w:type="pct"/>
                  <w:tcMar>
                    <w:top w:w="0" w:type="dxa"/>
                    <w:left w:w="6" w:type="dxa"/>
                    <w:bottom w:w="0" w:type="dxa"/>
                    <w:right w:w="6" w:type="dxa"/>
                  </w:tcMar>
                  <w:vAlign w:val="center"/>
                </w:tcPr>
                <w:p w14:paraId="076C6161">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约100户，约400人</w:t>
                  </w:r>
                </w:p>
              </w:tc>
              <w:tc>
                <w:tcPr>
                  <w:tcW w:w="370" w:type="pct"/>
                  <w:tcMar>
                    <w:top w:w="0" w:type="dxa"/>
                    <w:left w:w="6" w:type="dxa"/>
                    <w:bottom w:w="0" w:type="dxa"/>
                    <w:right w:w="6" w:type="dxa"/>
                  </w:tcMar>
                  <w:vAlign w:val="center"/>
                </w:tcPr>
                <w:p w14:paraId="7C432BB4">
                  <w:pPr>
                    <w:jc w:val="center"/>
                    <w:rPr>
                      <w:szCs w:val="21"/>
                    </w:rPr>
                  </w:pPr>
                  <w:r>
                    <w:rPr>
                      <w:rFonts w:hint="eastAsia"/>
                      <w:szCs w:val="21"/>
                    </w:rPr>
                    <w:t>SE</w:t>
                  </w:r>
                </w:p>
              </w:tc>
              <w:tc>
                <w:tcPr>
                  <w:tcW w:w="552" w:type="pct"/>
                  <w:tcMar>
                    <w:top w:w="0" w:type="dxa"/>
                    <w:left w:w="6" w:type="dxa"/>
                    <w:bottom w:w="0" w:type="dxa"/>
                    <w:right w:w="6" w:type="dxa"/>
                  </w:tcMar>
                  <w:vAlign w:val="center"/>
                </w:tcPr>
                <w:p w14:paraId="1DD125ED">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460m</w:t>
                  </w:r>
                </w:p>
              </w:tc>
              <w:tc>
                <w:tcPr>
                  <w:tcW w:w="753" w:type="pct"/>
                  <w:vMerge w:val="continue"/>
                  <w:tcMar>
                    <w:top w:w="0" w:type="dxa"/>
                    <w:left w:w="6" w:type="dxa"/>
                    <w:bottom w:w="0" w:type="dxa"/>
                    <w:right w:w="6" w:type="dxa"/>
                  </w:tcMar>
                  <w:vAlign w:val="center"/>
                </w:tcPr>
                <w:p w14:paraId="177FD8BA">
                  <w:pPr>
                    <w:pStyle w:val="241"/>
                    <w:adjustRightInd w:val="0"/>
                    <w:snapToGrid w:val="0"/>
                    <w:spacing w:line="240" w:lineRule="auto"/>
                    <w:ind w:firstLine="0" w:firstLineChars="0"/>
                    <w:jc w:val="center"/>
                    <w:rPr>
                      <w:rFonts w:ascii="Times New Roman" w:hAnsi="Times New Roman"/>
                      <w:sz w:val="21"/>
                      <w:szCs w:val="21"/>
                    </w:rPr>
                  </w:pPr>
                </w:p>
              </w:tc>
            </w:tr>
            <w:tr w14:paraId="1893B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tcMar>
                    <w:top w:w="0" w:type="dxa"/>
                    <w:left w:w="6" w:type="dxa"/>
                    <w:bottom w:w="0" w:type="dxa"/>
                    <w:right w:w="6" w:type="dxa"/>
                  </w:tcMar>
                  <w:vAlign w:val="center"/>
                </w:tcPr>
                <w:p w14:paraId="46F8912A">
                  <w:pPr>
                    <w:jc w:val="center"/>
                    <w:rPr>
                      <w:szCs w:val="21"/>
                    </w:rPr>
                  </w:pPr>
                </w:p>
              </w:tc>
              <w:tc>
                <w:tcPr>
                  <w:tcW w:w="273" w:type="pct"/>
                  <w:vMerge w:val="continue"/>
                  <w:tcMar>
                    <w:top w:w="0" w:type="dxa"/>
                    <w:left w:w="6" w:type="dxa"/>
                    <w:bottom w:w="0" w:type="dxa"/>
                    <w:right w:w="6" w:type="dxa"/>
                  </w:tcMar>
                  <w:vAlign w:val="center"/>
                </w:tcPr>
                <w:p w14:paraId="5FF5CF75">
                  <w:pPr>
                    <w:jc w:val="center"/>
                    <w:rPr>
                      <w:szCs w:val="21"/>
                    </w:rPr>
                  </w:pPr>
                </w:p>
              </w:tc>
              <w:tc>
                <w:tcPr>
                  <w:tcW w:w="480" w:type="pct"/>
                  <w:tcMar>
                    <w:top w:w="0" w:type="dxa"/>
                    <w:left w:w="6" w:type="dxa"/>
                    <w:bottom w:w="0" w:type="dxa"/>
                    <w:right w:w="6" w:type="dxa"/>
                  </w:tcMar>
                  <w:vAlign w:val="center"/>
                </w:tcPr>
                <w:p w14:paraId="4FDE4D32">
                  <w:pPr>
                    <w:jc w:val="center"/>
                    <w:rPr>
                      <w:szCs w:val="21"/>
                    </w:rPr>
                  </w:pPr>
                  <w:r>
                    <w:rPr>
                      <w:szCs w:val="21"/>
                    </w:rPr>
                    <w:t>康家庙</w:t>
                  </w:r>
                </w:p>
              </w:tc>
              <w:tc>
                <w:tcPr>
                  <w:tcW w:w="426" w:type="pct"/>
                  <w:tcMar>
                    <w:top w:w="0" w:type="dxa"/>
                    <w:left w:w="6" w:type="dxa"/>
                    <w:bottom w:w="0" w:type="dxa"/>
                    <w:right w:w="6" w:type="dxa"/>
                  </w:tcMar>
                  <w:vAlign w:val="center"/>
                </w:tcPr>
                <w:p w14:paraId="51620332">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-355</w:t>
                  </w:r>
                </w:p>
              </w:tc>
              <w:tc>
                <w:tcPr>
                  <w:tcW w:w="414" w:type="pct"/>
                  <w:tcMar>
                    <w:top w:w="0" w:type="dxa"/>
                    <w:left w:w="6" w:type="dxa"/>
                    <w:bottom w:w="0" w:type="dxa"/>
                    <w:right w:w="6" w:type="dxa"/>
                  </w:tcMar>
                  <w:vAlign w:val="center"/>
                </w:tcPr>
                <w:p w14:paraId="7B0F20D0">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405</w:t>
                  </w:r>
                </w:p>
              </w:tc>
              <w:tc>
                <w:tcPr>
                  <w:tcW w:w="587" w:type="pct"/>
                  <w:tcMar>
                    <w:top w:w="0" w:type="dxa"/>
                    <w:left w:w="6" w:type="dxa"/>
                    <w:bottom w:w="0" w:type="dxa"/>
                    <w:right w:w="6" w:type="dxa"/>
                  </w:tcMar>
                  <w:vAlign w:val="center"/>
                </w:tcPr>
                <w:p w14:paraId="1F650229">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居民</w:t>
                  </w:r>
                </w:p>
              </w:tc>
              <w:tc>
                <w:tcPr>
                  <w:tcW w:w="584" w:type="pct"/>
                  <w:tcMar>
                    <w:top w:w="0" w:type="dxa"/>
                    <w:left w:w="6" w:type="dxa"/>
                    <w:bottom w:w="0" w:type="dxa"/>
                    <w:right w:w="6" w:type="dxa"/>
                  </w:tcMar>
                  <w:vAlign w:val="center"/>
                </w:tcPr>
                <w:p w14:paraId="683F3872">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约12户，约48人</w:t>
                  </w:r>
                </w:p>
              </w:tc>
              <w:tc>
                <w:tcPr>
                  <w:tcW w:w="370" w:type="pct"/>
                  <w:tcMar>
                    <w:top w:w="0" w:type="dxa"/>
                    <w:left w:w="6" w:type="dxa"/>
                    <w:bottom w:w="0" w:type="dxa"/>
                    <w:right w:w="6" w:type="dxa"/>
                  </w:tcMar>
                  <w:vAlign w:val="center"/>
                </w:tcPr>
                <w:p w14:paraId="0806DE94">
                  <w:pPr>
                    <w:jc w:val="center"/>
                    <w:rPr>
                      <w:szCs w:val="21"/>
                    </w:rPr>
                  </w:pPr>
                  <w:r>
                    <w:rPr>
                      <w:rFonts w:hint="eastAsia"/>
                      <w:szCs w:val="21"/>
                    </w:rPr>
                    <w:t>NW</w:t>
                  </w:r>
                </w:p>
              </w:tc>
              <w:tc>
                <w:tcPr>
                  <w:tcW w:w="552" w:type="pct"/>
                  <w:tcMar>
                    <w:top w:w="0" w:type="dxa"/>
                    <w:left w:w="6" w:type="dxa"/>
                    <w:bottom w:w="0" w:type="dxa"/>
                    <w:right w:w="6" w:type="dxa"/>
                  </w:tcMar>
                  <w:vAlign w:val="center"/>
                </w:tcPr>
                <w:p w14:paraId="5F5EFEDD">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520m</w:t>
                  </w:r>
                </w:p>
              </w:tc>
              <w:tc>
                <w:tcPr>
                  <w:tcW w:w="753" w:type="pct"/>
                  <w:vMerge w:val="continue"/>
                  <w:tcMar>
                    <w:top w:w="0" w:type="dxa"/>
                    <w:left w:w="6" w:type="dxa"/>
                    <w:bottom w:w="0" w:type="dxa"/>
                    <w:right w:w="6" w:type="dxa"/>
                  </w:tcMar>
                  <w:vAlign w:val="center"/>
                </w:tcPr>
                <w:p w14:paraId="1FA33295">
                  <w:pPr>
                    <w:pStyle w:val="241"/>
                    <w:adjustRightInd w:val="0"/>
                    <w:snapToGrid w:val="0"/>
                    <w:spacing w:line="240" w:lineRule="auto"/>
                    <w:ind w:firstLine="0" w:firstLineChars="0"/>
                    <w:jc w:val="center"/>
                    <w:rPr>
                      <w:rFonts w:ascii="Times New Roman" w:hAnsi="Times New Roman"/>
                      <w:sz w:val="21"/>
                      <w:szCs w:val="21"/>
                    </w:rPr>
                  </w:pPr>
                </w:p>
              </w:tc>
            </w:tr>
            <w:tr w14:paraId="41AFD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3" w:type="pct"/>
                  <w:gridSpan w:val="2"/>
                  <w:tcMar>
                    <w:top w:w="0" w:type="dxa"/>
                    <w:left w:w="6" w:type="dxa"/>
                    <w:bottom w:w="0" w:type="dxa"/>
                    <w:right w:w="6" w:type="dxa"/>
                  </w:tcMar>
                  <w:vAlign w:val="center"/>
                </w:tcPr>
                <w:p w14:paraId="66D3FDC5">
                  <w:pPr>
                    <w:jc w:val="center"/>
                    <w:rPr>
                      <w:szCs w:val="21"/>
                    </w:rPr>
                  </w:pPr>
                  <w:r>
                    <w:rPr>
                      <w:szCs w:val="21"/>
                    </w:rPr>
                    <w:t>声环境</w:t>
                  </w:r>
                  <w:r>
                    <w:rPr>
                      <w:rFonts w:hint="eastAsia"/>
                      <w:szCs w:val="21"/>
                    </w:rPr>
                    <w:t>（5</w:t>
                  </w:r>
                  <w:r>
                    <w:rPr>
                      <w:szCs w:val="21"/>
                    </w:rPr>
                    <w:t>0m</w:t>
                  </w:r>
                  <w:r>
                    <w:rPr>
                      <w:rFonts w:hint="eastAsia"/>
                      <w:szCs w:val="21"/>
                    </w:rPr>
                    <w:t>）</w:t>
                  </w:r>
                </w:p>
              </w:tc>
              <w:tc>
                <w:tcPr>
                  <w:tcW w:w="4167" w:type="pct"/>
                  <w:gridSpan w:val="8"/>
                  <w:tcMar>
                    <w:top w:w="0" w:type="dxa"/>
                    <w:left w:w="6" w:type="dxa"/>
                    <w:bottom w:w="0" w:type="dxa"/>
                    <w:right w:w="6" w:type="dxa"/>
                  </w:tcMar>
                  <w:vAlign w:val="center"/>
                </w:tcPr>
                <w:p w14:paraId="5C9A8DF2">
                  <w:pPr>
                    <w:pStyle w:val="241"/>
                    <w:adjustRightInd w:val="0"/>
                    <w:snapToGrid w:val="0"/>
                    <w:spacing w:line="240" w:lineRule="auto"/>
                    <w:ind w:firstLine="0" w:firstLineChars="0"/>
                    <w:jc w:val="center"/>
                    <w:rPr>
                      <w:rFonts w:ascii="Times New Roman" w:hAnsi="Times New Roman"/>
                      <w:sz w:val="21"/>
                      <w:szCs w:val="21"/>
                    </w:rPr>
                  </w:pPr>
                  <w:r>
                    <w:rPr>
                      <w:rFonts w:hint="eastAsia" w:ascii="Times New Roman" w:hAnsi="Times New Roman"/>
                      <w:sz w:val="21"/>
                      <w:szCs w:val="21"/>
                    </w:rPr>
                    <w:t>厂界外</w:t>
                  </w:r>
                  <w:r>
                    <w:rPr>
                      <w:rFonts w:ascii="Times New Roman" w:hAnsi="Times New Roman"/>
                      <w:sz w:val="21"/>
                      <w:szCs w:val="21"/>
                    </w:rPr>
                    <w:t>50m范围内无</w:t>
                  </w:r>
                  <w:r>
                    <w:rPr>
                      <w:rFonts w:hint="eastAsia" w:ascii="Times New Roman" w:hAnsi="Times New Roman"/>
                      <w:sz w:val="21"/>
                      <w:szCs w:val="21"/>
                    </w:rPr>
                    <w:t>声环境保护</w:t>
                  </w:r>
                  <w:r>
                    <w:rPr>
                      <w:rFonts w:ascii="Times New Roman" w:hAnsi="Times New Roman"/>
                      <w:sz w:val="21"/>
                      <w:szCs w:val="21"/>
                    </w:rPr>
                    <w:t>目标</w:t>
                  </w:r>
                </w:p>
              </w:tc>
            </w:tr>
            <w:tr w14:paraId="09F19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3" w:type="pct"/>
                  <w:gridSpan w:val="2"/>
                  <w:tcMar>
                    <w:top w:w="0" w:type="dxa"/>
                    <w:left w:w="6" w:type="dxa"/>
                    <w:bottom w:w="0" w:type="dxa"/>
                    <w:right w:w="6" w:type="dxa"/>
                  </w:tcMar>
                  <w:vAlign w:val="center"/>
                </w:tcPr>
                <w:p w14:paraId="73893944">
                  <w:pPr>
                    <w:jc w:val="center"/>
                    <w:rPr>
                      <w:szCs w:val="21"/>
                    </w:rPr>
                  </w:pPr>
                  <w:r>
                    <w:rPr>
                      <w:szCs w:val="21"/>
                    </w:rPr>
                    <w:t>地下水环境</w:t>
                  </w:r>
                </w:p>
              </w:tc>
              <w:tc>
                <w:tcPr>
                  <w:tcW w:w="4167" w:type="pct"/>
                  <w:gridSpan w:val="8"/>
                  <w:tcMar>
                    <w:top w:w="0" w:type="dxa"/>
                    <w:left w:w="6" w:type="dxa"/>
                    <w:bottom w:w="0" w:type="dxa"/>
                    <w:right w:w="6" w:type="dxa"/>
                  </w:tcMar>
                  <w:vAlign w:val="center"/>
                </w:tcPr>
                <w:p w14:paraId="62F9BBCC">
                  <w:pPr>
                    <w:jc w:val="center"/>
                    <w:rPr>
                      <w:szCs w:val="21"/>
                    </w:rPr>
                  </w:pPr>
                  <w:r>
                    <w:rPr>
                      <w:rFonts w:hint="eastAsia"/>
                      <w:szCs w:val="21"/>
                    </w:rPr>
                    <w:t>本项目厂界外</w:t>
                  </w:r>
                  <w:r>
                    <w:rPr>
                      <w:szCs w:val="21"/>
                    </w:rPr>
                    <w:t>500m范围内无</w:t>
                  </w:r>
                  <w:r>
                    <w:rPr>
                      <w:rFonts w:hint="eastAsia"/>
                      <w:szCs w:val="21"/>
                    </w:rPr>
                    <w:t>地下水集中式饮用水水源和热水、矿泉水、温泉等特殊地下水资源</w:t>
                  </w:r>
                </w:p>
              </w:tc>
            </w:tr>
            <w:tr w14:paraId="39B07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33" w:type="pct"/>
                  <w:gridSpan w:val="2"/>
                  <w:tcMar>
                    <w:top w:w="0" w:type="dxa"/>
                    <w:left w:w="6" w:type="dxa"/>
                    <w:bottom w:w="0" w:type="dxa"/>
                    <w:right w:w="6" w:type="dxa"/>
                  </w:tcMar>
                  <w:vAlign w:val="center"/>
                </w:tcPr>
                <w:p w14:paraId="53DB9270">
                  <w:pPr>
                    <w:jc w:val="center"/>
                    <w:rPr>
                      <w:szCs w:val="21"/>
                    </w:rPr>
                  </w:pPr>
                  <w:r>
                    <w:rPr>
                      <w:rFonts w:hint="eastAsia"/>
                      <w:szCs w:val="21"/>
                    </w:rPr>
                    <w:t>生态环境</w:t>
                  </w:r>
                </w:p>
              </w:tc>
              <w:tc>
                <w:tcPr>
                  <w:tcW w:w="4167" w:type="pct"/>
                  <w:gridSpan w:val="8"/>
                  <w:tcMar>
                    <w:top w:w="0" w:type="dxa"/>
                    <w:left w:w="6" w:type="dxa"/>
                    <w:bottom w:w="0" w:type="dxa"/>
                    <w:right w:w="6" w:type="dxa"/>
                  </w:tcMar>
                  <w:vAlign w:val="center"/>
                </w:tcPr>
                <w:p w14:paraId="60C317EC">
                  <w:pPr>
                    <w:jc w:val="center"/>
                    <w:rPr>
                      <w:szCs w:val="21"/>
                    </w:rPr>
                  </w:pPr>
                  <w:r>
                    <w:rPr>
                      <w:rFonts w:hint="eastAsia"/>
                      <w:szCs w:val="21"/>
                    </w:rPr>
                    <w:t>本项目不新增用地，用地范围内无生态环境保护目标</w:t>
                  </w:r>
                </w:p>
              </w:tc>
            </w:tr>
          </w:tbl>
          <w:p w14:paraId="62AF6D35">
            <w:pPr>
              <w:rPr>
                <w:b/>
              </w:rPr>
            </w:pPr>
            <w:r>
              <w:rPr>
                <w:b/>
              </w:rPr>
              <w:t>注：以厂房西南角为坐标起点。</w:t>
            </w:r>
          </w:p>
          <w:p w14:paraId="5514AC1B"/>
          <w:p w14:paraId="49581120"/>
          <w:p w14:paraId="01EEDC73"/>
          <w:p w14:paraId="5BF16B80"/>
          <w:p w14:paraId="11925F98"/>
          <w:p w14:paraId="0791F56A"/>
          <w:p w14:paraId="44AD1465"/>
          <w:p w14:paraId="474F4D88"/>
          <w:p w14:paraId="539E9EBF"/>
          <w:p w14:paraId="63EBCDAF"/>
          <w:p w14:paraId="06EFE676"/>
          <w:p w14:paraId="334E95BE">
            <w:pPr>
              <w:rPr>
                <w:bCs/>
                <w:kern w:val="0"/>
                <w:sz w:val="24"/>
              </w:rPr>
            </w:pPr>
          </w:p>
          <w:p w14:paraId="0CC16B82">
            <w:pPr>
              <w:rPr>
                <w:bCs/>
                <w:kern w:val="0"/>
                <w:sz w:val="24"/>
              </w:rPr>
            </w:pPr>
          </w:p>
          <w:p w14:paraId="6F8BF9F7">
            <w:pPr>
              <w:rPr>
                <w:bCs/>
                <w:kern w:val="0"/>
                <w:sz w:val="24"/>
              </w:rPr>
            </w:pPr>
          </w:p>
          <w:p w14:paraId="0BD15595">
            <w:pPr>
              <w:rPr>
                <w:bCs/>
                <w:kern w:val="0"/>
                <w:sz w:val="24"/>
              </w:rPr>
            </w:pPr>
          </w:p>
          <w:p w14:paraId="25B4E85D">
            <w:pPr>
              <w:rPr>
                <w:bCs/>
                <w:kern w:val="0"/>
                <w:sz w:val="24"/>
              </w:rPr>
            </w:pPr>
            <w:r>
              <w:rPr>
                <w:bCs/>
                <w:kern w:val="0"/>
                <w:sz w:val="24"/>
              </w:rPr>
              <w:drawing>
                <wp:anchor distT="0" distB="0" distL="114300" distR="114300" simplePos="0" relativeHeight="251660288" behindDoc="0" locked="0" layoutInCell="1" allowOverlap="1">
                  <wp:simplePos x="0" y="0"/>
                  <wp:positionH relativeFrom="column">
                    <wp:posOffset>-26670</wp:posOffset>
                  </wp:positionH>
                  <wp:positionV relativeFrom="paragraph">
                    <wp:posOffset>74930</wp:posOffset>
                  </wp:positionV>
                  <wp:extent cx="5219065" cy="4421505"/>
                  <wp:effectExtent l="19050" t="19050" r="19685" b="17145"/>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11" cstate="print"/>
                          <a:srcRect/>
                          <a:stretch>
                            <a:fillRect/>
                          </a:stretch>
                        </pic:blipFill>
                        <pic:spPr>
                          <a:xfrm>
                            <a:off x="0" y="0"/>
                            <a:ext cx="5219065" cy="4421505"/>
                          </a:xfrm>
                          <a:prstGeom prst="rect">
                            <a:avLst/>
                          </a:prstGeom>
                          <a:noFill/>
                          <a:ln w="9525">
                            <a:solidFill>
                              <a:schemeClr val="tx1"/>
                            </a:solidFill>
                            <a:miter lim="800000"/>
                            <a:headEnd/>
                            <a:tailEnd/>
                          </a:ln>
                        </pic:spPr>
                      </pic:pic>
                    </a:graphicData>
                  </a:graphic>
                </wp:anchor>
              </w:drawing>
            </w:r>
          </w:p>
          <w:p w14:paraId="6E4AE884">
            <w:pPr>
              <w:rPr>
                <w:bCs/>
                <w:kern w:val="0"/>
                <w:sz w:val="24"/>
              </w:rPr>
            </w:pPr>
          </w:p>
          <w:p w14:paraId="3722682B">
            <w:pPr>
              <w:rPr>
                <w:bCs/>
                <w:kern w:val="0"/>
                <w:sz w:val="24"/>
              </w:rPr>
            </w:pPr>
          </w:p>
          <w:p w14:paraId="31562BBB">
            <w:pPr>
              <w:rPr>
                <w:bCs/>
                <w:kern w:val="0"/>
                <w:sz w:val="24"/>
              </w:rPr>
            </w:pPr>
          </w:p>
          <w:p w14:paraId="01B07DA2">
            <w:pPr>
              <w:rPr>
                <w:bCs/>
                <w:kern w:val="0"/>
                <w:sz w:val="24"/>
              </w:rPr>
            </w:pPr>
          </w:p>
          <w:p w14:paraId="39D09804">
            <w:pPr>
              <w:rPr>
                <w:bCs/>
                <w:kern w:val="0"/>
                <w:sz w:val="24"/>
              </w:rPr>
            </w:pPr>
            <w:r>
              <w:pict>
                <v:shape id="_x0000_s7791" o:spid="_x0000_s7791" o:spt="32" type="#_x0000_t32" style="position:absolute;left:0pt;flip:x y;margin-left:67.4pt;margin-top:5.5pt;height:99.65pt;width:107.95pt;z-index:251673600;mso-width-relative:page;mso-height-relative:page;" o:connectortype="straight" filled="f" stroked="t" coordsize="21600,21600">
                  <v:path arrowok="t"/>
                  <v:fill on="f" focussize="0,0"/>
                  <v:stroke color="#FFFF00" endarrow="block" endarrowwidth="narrow"/>
                  <v:imagedata o:title=""/>
                  <o:lock v:ext="edit"/>
                </v:shape>
              </w:pict>
            </w:r>
          </w:p>
          <w:p w14:paraId="57CBAD21">
            <w:pPr>
              <w:rPr>
                <w:bCs/>
                <w:kern w:val="0"/>
                <w:sz w:val="24"/>
              </w:rPr>
            </w:pPr>
            <w:r>
              <w:pict>
                <v:shape id="_x0000_s7666" o:spid="_x0000_s7666" o:spt="32" type="#_x0000_t32" style="position:absolute;left:0pt;flip:y;margin-left:178.3pt;margin-top:10.15pt;height:79.4pt;width:13.6pt;z-index:251671552;mso-width-relative:page;mso-height-relative:page;" o:connectortype="straight" filled="f" stroked="t" coordsize="21600,21600">
                  <v:path arrowok="t"/>
                  <v:fill on="f" focussize="0,0"/>
                  <v:stroke color="#FFFF00" endarrow="block" endarrowwidth="narrow"/>
                  <v:imagedata o:title=""/>
                  <o:lock v:ext="edit"/>
                </v:shape>
              </w:pict>
            </w:r>
          </w:p>
          <w:p w14:paraId="4D2FB221">
            <w:pPr>
              <w:rPr>
                <w:bCs/>
                <w:kern w:val="0"/>
                <w:sz w:val="24"/>
              </w:rPr>
            </w:pPr>
            <w:r>
              <w:pict>
                <v:shape id="_x0000_s7667" o:spid="_x0000_s7667" o:spt="202" type="#_x0000_t202" style="position:absolute;left:0pt;margin-left:157.4pt;margin-top:11.25pt;height:24.45pt;width:42.4pt;z-index:251672576;mso-width-relative:page;mso-height-relative:page;" filled="f" stroked="f" coordsize="21600,21600">
                  <v:path/>
                  <v:fill on="f" focussize="0,0"/>
                  <v:stroke on="f" joinstyle="miter"/>
                  <v:imagedata o:title=""/>
                  <o:lock v:ext="edit"/>
                  <v:textbox>
                    <w:txbxContent>
                      <w:p w14:paraId="7FB25230">
                        <w:pPr>
                          <w:rPr>
                            <w:color w:val="FFFF00"/>
                          </w:rPr>
                        </w:pPr>
                        <w:r>
                          <w:rPr>
                            <w:rFonts w:hint="eastAsia"/>
                            <w:color w:val="FFFF00"/>
                          </w:rPr>
                          <w:t>310m</w:t>
                        </w:r>
                      </w:p>
                    </w:txbxContent>
                  </v:textbox>
                </v:shape>
              </w:pict>
            </w:r>
          </w:p>
          <w:p w14:paraId="136E99BC">
            <w:pPr>
              <w:rPr>
                <w:bCs/>
                <w:kern w:val="0"/>
                <w:sz w:val="24"/>
              </w:rPr>
            </w:pPr>
            <w:r>
              <w:pict>
                <v:shape id="_x0000_s7793" o:spid="_x0000_s7793" o:spt="202" type="#_x0000_t202" style="position:absolute;left:0pt;margin-left:100.8pt;margin-top:6.05pt;height:23.25pt;width:40.5pt;z-index:251674624;mso-width-relative:page;mso-height-relative:page;" filled="f" stroked="f" coordsize="21600,21600">
                  <v:path/>
                  <v:fill on="f" focussize="0,0"/>
                  <v:stroke on="f" joinstyle="miter"/>
                  <v:imagedata o:title=""/>
                  <o:lock v:ext="edit"/>
                  <v:textbox>
                    <w:txbxContent>
                      <w:p w14:paraId="2D7D90BC">
                        <w:pPr>
                          <w:rPr>
                            <w:color w:val="FFFF00"/>
                          </w:rPr>
                        </w:pPr>
                        <w:r>
                          <w:rPr>
                            <w:rFonts w:hint="eastAsia"/>
                            <w:color w:val="FFFF00"/>
                          </w:rPr>
                          <w:t>520m</w:t>
                        </w:r>
                      </w:p>
                    </w:txbxContent>
                  </v:textbox>
                </v:shape>
              </w:pict>
            </w:r>
          </w:p>
          <w:p w14:paraId="0BA04EB7">
            <w:pPr>
              <w:rPr>
                <w:bCs/>
                <w:kern w:val="0"/>
                <w:sz w:val="24"/>
              </w:rPr>
            </w:pPr>
          </w:p>
          <w:p w14:paraId="7CF9D8F3">
            <w:pPr>
              <w:rPr>
                <w:bCs/>
                <w:kern w:val="0"/>
                <w:sz w:val="24"/>
              </w:rPr>
            </w:pPr>
            <w:r>
              <w:pict>
                <v:shape id="_x0000_s7799" o:spid="_x0000_s7799" o:spt="202" type="#_x0000_t202" style="position:absolute;left:0pt;margin-left:186.3pt;margin-top:10.05pt;height:20.05pt;width:40.3pt;z-index:251678720;mso-width-relative:page;mso-height-relative:page;" filled="f" stroked="f" coordsize="21600,21600">
                  <v:path/>
                  <v:fill on="f" focussize="0,0"/>
                  <v:stroke on="f" joinstyle="miter"/>
                  <v:imagedata o:title=""/>
                  <o:lock v:ext="edit"/>
                  <v:textbox>
                    <w:txbxContent>
                      <w:p w14:paraId="658361F7">
                        <w:pPr>
                          <w:rPr>
                            <w:color w:val="FFFF00"/>
                          </w:rPr>
                        </w:pPr>
                        <w:r>
                          <w:rPr>
                            <w:rFonts w:hint="eastAsia"/>
                            <w:color w:val="FFFF00"/>
                          </w:rPr>
                          <w:t>150m</w:t>
                        </w:r>
                      </w:p>
                    </w:txbxContent>
                  </v:textbox>
                </v:shape>
              </w:pict>
            </w:r>
          </w:p>
          <w:p w14:paraId="4CEBB0DD">
            <w:pPr>
              <w:rPr>
                <w:bCs/>
                <w:kern w:val="0"/>
                <w:sz w:val="24"/>
              </w:rPr>
            </w:pPr>
            <w:r>
              <w:pict>
                <v:shape id="_x0000_s7798" o:spid="_x0000_s7798" o:spt="32" type="#_x0000_t32" style="position:absolute;left:0pt;flip:y;margin-left:186.3pt;margin-top:14.5pt;height:0.6pt;width:40.3pt;z-index:251677696;mso-width-relative:page;mso-height-relative:page;" o:connectortype="straight" filled="f" stroked="t" coordsize="21600,21600">
                  <v:path arrowok="t"/>
                  <v:fill on="f" focussize="0,0"/>
                  <v:stroke color="#FFFF00" endarrow="block" endarrowwidth="narrow"/>
                  <v:imagedata o:title=""/>
                  <o:lock v:ext="edit"/>
                </v:shape>
              </w:pict>
            </w:r>
            <w:r>
              <w:pict>
                <v:shape id="_x0000_s7663" o:spid="_x0000_s7663" o:spt="202" type="#_x0000_t202" style="position:absolute;left:0pt;margin-left:206.95pt;margin-top:11.55pt;height:20.85pt;width:39.4pt;z-index:251668480;mso-width-relative:page;mso-height-relative:page;" filled="f" stroked="f" coordsize="21600,21600">
                  <v:path/>
                  <v:fill on="f" focussize="0,0"/>
                  <v:stroke on="f" joinstyle="miter"/>
                  <v:imagedata o:title=""/>
                  <o:lock v:ext="edit"/>
                  <v:textbox>
                    <w:txbxContent>
                      <w:p w14:paraId="5966225C">
                        <w:pPr>
                          <w:rPr>
                            <w:color w:val="FFFF00"/>
                          </w:rPr>
                        </w:pPr>
                        <w:r>
                          <w:rPr>
                            <w:rFonts w:hint="eastAsia"/>
                            <w:color w:val="FFFF00"/>
                          </w:rPr>
                          <w:t>135m</w:t>
                        </w:r>
                      </w:p>
                    </w:txbxContent>
                  </v:textbox>
                </v:shape>
              </w:pict>
            </w:r>
          </w:p>
          <w:p w14:paraId="07F58D86">
            <w:pPr>
              <w:rPr>
                <w:bCs/>
                <w:kern w:val="0"/>
                <w:sz w:val="24"/>
              </w:rPr>
            </w:pPr>
            <w:r>
              <w:pict>
                <v:shape id="_x0000_s7661" o:spid="_x0000_s7661" o:spt="32" type="#_x0000_t32" style="position:absolute;left:0pt;margin-left:182.25pt;margin-top:8.2pt;height:0.05pt;width:32.8pt;z-index:251667456;mso-width-relative:page;mso-height-relative:page;" o:connectortype="straight" filled="f" stroked="t" coordsize="21600,21600">
                  <v:path arrowok="t"/>
                  <v:fill on="f" focussize="0,0"/>
                  <v:stroke color="#FFFF00" endarrow="block" endarrowwidth="narrow"/>
                  <v:imagedata o:title=""/>
                  <o:lock v:ext="edit"/>
                </v:shape>
              </w:pict>
            </w:r>
            <w:r>
              <w:pict>
                <v:shape id="_x0000_s7794" o:spid="_x0000_s7794" o:spt="32" type="#_x0000_t32" style="position:absolute;left:0pt;margin-left:182.25pt;margin-top:11.8pt;height:72.95pt;width:100.8pt;z-index:251675648;mso-width-relative:page;mso-height-relative:page;" o:connectortype="straight" filled="f" stroked="t" coordsize="21600,21600">
                  <v:path arrowok="t"/>
                  <v:fill on="f" focussize="0,0"/>
                  <v:stroke color="#FFFF00" endarrow="block" endarrowwidth="narrow"/>
                  <v:imagedata o:title=""/>
                  <o:lock v:ext="edit"/>
                </v:shape>
              </w:pict>
            </w:r>
            <w:r>
              <w:pict>
                <v:shape id="_x0000_s7584" o:spid="_x0000_s7584" o:spt="32" type="#_x0000_t32" style="position:absolute;left:0pt;flip:x;margin-left:172.35pt;margin-top:11.8pt;height:137.75pt;width:6.1pt;z-index:251665408;mso-width-relative:page;mso-height-relative:page;" o:connectortype="straight" filled="f" stroked="t" coordsize="21600,21600">
                  <v:path arrowok="t"/>
                  <v:fill on="f" focussize="0,0"/>
                  <v:stroke color="#FFFF00" endarrow="block" endarrowwidth="narrow"/>
                  <v:imagedata o:title=""/>
                  <o:lock v:ext="edit"/>
                </v:shape>
              </w:pict>
            </w:r>
            <w:r>
              <w:pict>
                <v:shape id="_x0000_s7665" o:spid="_x0000_s7665" o:spt="202" type="#_x0000_t202" style="position:absolute;left:0pt;margin-left:219.8pt;margin-top:8.15pt;height:22.45pt;width:40.05pt;z-index:251670528;mso-width-relative:page;mso-height-relative:page;" filled="f" stroked="f" coordsize="21600,21600">
                  <v:path/>
                  <v:fill on="f" focussize="0,0"/>
                  <v:stroke on="f" joinstyle="miter"/>
                  <v:imagedata o:title=""/>
                  <o:lock v:ext="edit"/>
                  <v:textbox>
                    <w:txbxContent>
                      <w:p w14:paraId="62FB8C58">
                        <w:pPr>
                          <w:rPr>
                            <w:color w:val="FFFF00"/>
                          </w:rPr>
                        </w:pPr>
                        <w:r>
                          <w:rPr>
                            <w:rFonts w:hint="eastAsia"/>
                            <w:color w:val="FFFF00"/>
                          </w:rPr>
                          <w:t>385m</w:t>
                        </w:r>
                      </w:p>
                    </w:txbxContent>
                  </v:textbox>
                </v:shape>
              </w:pict>
            </w:r>
            <w:r>
              <w:pict>
                <v:shape id="_x0000_s7664" o:spid="_x0000_s7664" o:spt="32" type="#_x0000_t32" style="position:absolute;left:0pt;margin-left:182.25pt;margin-top:11.8pt;height:5pt;width:104.05pt;z-index:251669504;mso-width-relative:page;mso-height-relative:page;" o:connectortype="straight" filled="f" stroked="t" coordsize="21600,21600">
                  <v:path arrowok="t"/>
                  <v:fill on="f" focussize="0,0"/>
                  <v:stroke color="#FFFF00" endarrow="block" endarrowwidth="narrow"/>
                  <v:imagedata o:title=""/>
                  <o:lock v:ext="edit"/>
                </v:shape>
              </w:pict>
            </w:r>
          </w:p>
          <w:p w14:paraId="24D7A3A1">
            <w:pPr>
              <w:rPr>
                <w:bCs/>
                <w:kern w:val="0"/>
                <w:sz w:val="24"/>
              </w:rPr>
            </w:pPr>
          </w:p>
          <w:p w14:paraId="5D8B7B31">
            <w:pPr>
              <w:rPr>
                <w:bCs/>
                <w:kern w:val="0"/>
                <w:sz w:val="24"/>
              </w:rPr>
            </w:pPr>
            <w:r>
              <w:pict>
                <v:shape id="_x0000_s7796" o:spid="_x0000_s7796" o:spt="202" type="#_x0000_t202" style="position:absolute;left:0pt;margin-left:232.35pt;margin-top:5.15pt;height:19.45pt;width:38.6pt;z-index:251676672;mso-width-relative:page;mso-height-relative:page;" filled="f" stroked="f" coordsize="21600,21600">
                  <v:path/>
                  <v:fill on="f" focussize="0,0"/>
                  <v:stroke on="f" joinstyle="miter"/>
                  <v:imagedata o:title=""/>
                  <o:lock v:ext="edit"/>
                  <v:textbox>
                    <w:txbxContent>
                      <w:p w14:paraId="5856168F">
                        <w:pPr>
                          <w:rPr>
                            <w:color w:val="FFFF00"/>
                          </w:rPr>
                        </w:pPr>
                        <w:r>
                          <w:rPr>
                            <w:rFonts w:hint="eastAsia"/>
                            <w:color w:val="FFFF00"/>
                          </w:rPr>
                          <w:t>460m</w:t>
                        </w:r>
                      </w:p>
                    </w:txbxContent>
                  </v:textbox>
                </v:shape>
              </w:pict>
            </w:r>
            <w:r>
              <w:pict>
                <v:shape id="_x0000_s7585" o:spid="_x0000_s7585" o:spt="202" type="#_x0000_t202" style="position:absolute;left:0pt;margin-left:149.65pt;margin-top:5.15pt;height:19.45pt;width:42.4pt;z-index:251666432;mso-width-relative:page;mso-height-relative:page;" filled="f" stroked="f" coordsize="21600,21600">
                  <v:path/>
                  <v:fill on="f" focussize="0,0"/>
                  <v:stroke on="f" joinstyle="miter"/>
                  <v:imagedata o:title=""/>
                  <o:lock v:ext="edit"/>
                  <v:textbox>
                    <w:txbxContent>
                      <w:p w14:paraId="79DF6181">
                        <w:pPr>
                          <w:rPr>
                            <w:color w:val="FFFF00"/>
                          </w:rPr>
                        </w:pPr>
                        <w:r>
                          <w:rPr>
                            <w:color w:val="FFFF00"/>
                          </w:rPr>
                          <w:t>500</w:t>
                        </w:r>
                        <w:r>
                          <w:rPr>
                            <w:rFonts w:hint="eastAsia"/>
                            <w:color w:val="FFFF00"/>
                          </w:rPr>
                          <w:t>m</w:t>
                        </w:r>
                      </w:p>
                    </w:txbxContent>
                  </v:textbox>
                </v:shape>
              </w:pict>
            </w:r>
          </w:p>
          <w:p w14:paraId="01C6D1F0">
            <w:pPr>
              <w:rPr>
                <w:bCs/>
                <w:kern w:val="0"/>
                <w:sz w:val="24"/>
              </w:rPr>
            </w:pPr>
          </w:p>
          <w:p w14:paraId="1ACAFD04">
            <w:pPr>
              <w:rPr>
                <w:bCs/>
                <w:kern w:val="0"/>
                <w:sz w:val="24"/>
              </w:rPr>
            </w:pPr>
          </w:p>
          <w:p w14:paraId="6B69EEE0">
            <w:pPr>
              <w:rPr>
                <w:bCs/>
                <w:kern w:val="0"/>
                <w:sz w:val="24"/>
              </w:rPr>
            </w:pPr>
          </w:p>
          <w:p w14:paraId="4F32EB98">
            <w:pPr>
              <w:rPr>
                <w:bCs/>
                <w:kern w:val="0"/>
                <w:sz w:val="24"/>
              </w:rPr>
            </w:pPr>
          </w:p>
          <w:p w14:paraId="119DDF23">
            <w:pPr>
              <w:rPr>
                <w:bCs/>
                <w:kern w:val="0"/>
                <w:sz w:val="24"/>
              </w:rPr>
            </w:pPr>
          </w:p>
          <w:p w14:paraId="063F5A22">
            <w:pPr>
              <w:rPr>
                <w:bCs/>
                <w:kern w:val="0"/>
                <w:sz w:val="24"/>
              </w:rPr>
            </w:pPr>
          </w:p>
          <w:p w14:paraId="7BEF83BE">
            <w:pPr>
              <w:rPr>
                <w:bCs/>
                <w:kern w:val="0"/>
                <w:sz w:val="24"/>
              </w:rPr>
            </w:pPr>
          </w:p>
          <w:p w14:paraId="7EAA7741">
            <w:pPr>
              <w:pStyle w:val="178"/>
              <w:adjustRightInd/>
              <w:spacing w:line="360" w:lineRule="auto"/>
              <w:ind w:left="0" w:right="0" w:firstLine="0"/>
              <w:jc w:val="center"/>
              <w:rPr>
                <w:sz w:val="21"/>
                <w:szCs w:val="21"/>
              </w:rPr>
            </w:pPr>
            <w:r>
              <w:pict>
                <v:shape id="_x0000_s7657" o:spid="_x0000_s7657" o:spt="202" type="#_x0000_t202" style="position:absolute;left:0pt;margin-left:368.25pt;margin-top:26.95pt;height:22.45pt;width:25.1pt;z-index:251664384;mso-width-relative:page;mso-height-relative:page;" filled="f" stroked="f" coordsize="21600,21600">
                  <v:path/>
                  <v:fill on="f" focussize="0,0"/>
                  <v:stroke on="f" joinstyle="miter"/>
                  <v:imagedata o:title=""/>
                  <o:lock v:ext="edit"/>
                  <v:textbox>
                    <w:txbxContent>
                      <w:p w14:paraId="5B7FC606">
                        <w:pPr>
                          <w:rPr>
                            <w:color w:val="FFFFFF" w:themeColor="background1"/>
                          </w:rPr>
                        </w:pPr>
                        <w:r>
                          <w:rPr>
                            <w:color w:val="FFFFFF" w:themeColor="background1"/>
                          </w:rPr>
                          <w:t>北</w:t>
                        </w:r>
                      </w:p>
                    </w:txbxContent>
                  </v:textbox>
                </v:shape>
              </w:pict>
            </w:r>
            <w:r>
              <w:pict>
                <v:shape id="_x0000_s7656" o:spid="_x0000_s7656" o:spt="32" type="#_x0000_t32" style="position:absolute;left:0pt;flip:y;margin-left:362.8pt;margin-top:7.25pt;height:42.15pt;width:0pt;z-index:251663360;mso-width-relative:page;mso-height-relative:page;" o:connectortype="straight" filled="f" stroked="t" coordsize="21600,21600">
                  <v:path arrowok="t"/>
                  <v:fill on="f" focussize="0,0"/>
                  <v:stroke color="#FFFFFF" endarrow="block" endarrowwidth="narrow" endarrowlength="long"/>
                  <v:imagedata o:title=""/>
                  <o:lock v:ext="edit"/>
                </v:shape>
              </w:pict>
            </w:r>
          </w:p>
          <w:p w14:paraId="73D8A539">
            <w:pPr>
              <w:jc w:val="center"/>
              <w:rPr>
                <w:rFonts w:eastAsia="黑体"/>
                <w:bCs/>
                <w:sz w:val="24"/>
                <w:szCs w:val="24"/>
              </w:rPr>
            </w:pPr>
            <w:r>
              <w:rPr>
                <w:rFonts w:hint="eastAsia" w:eastAsia="黑体"/>
                <w:sz w:val="24"/>
                <w:szCs w:val="24"/>
              </w:rPr>
              <w:t>图6</w:t>
            </w:r>
            <w:r>
              <w:rPr>
                <w:rFonts w:eastAsia="黑体"/>
                <w:sz w:val="24"/>
                <w:szCs w:val="24"/>
              </w:rPr>
              <w:t xml:space="preserve">  项目主要环境保护目标</w:t>
            </w:r>
          </w:p>
          <w:p w14:paraId="078B7E09">
            <w:pPr>
              <w:pStyle w:val="178"/>
              <w:adjustRightInd/>
              <w:spacing w:line="360" w:lineRule="auto"/>
              <w:ind w:left="0" w:right="0" w:firstLine="840" w:firstLineChars="400"/>
              <w:rPr>
                <w:sz w:val="21"/>
                <w:szCs w:val="21"/>
              </w:rPr>
            </w:pPr>
          </w:p>
          <w:p w14:paraId="5BD78752">
            <w:pPr>
              <w:pStyle w:val="178"/>
              <w:adjustRightInd/>
              <w:spacing w:line="360" w:lineRule="auto"/>
              <w:ind w:left="0" w:right="0" w:firstLine="840" w:firstLineChars="400"/>
              <w:rPr>
                <w:sz w:val="21"/>
                <w:szCs w:val="21"/>
              </w:rPr>
            </w:pPr>
          </w:p>
          <w:p w14:paraId="08825725">
            <w:pPr>
              <w:pStyle w:val="178"/>
              <w:adjustRightInd/>
              <w:spacing w:line="360" w:lineRule="auto"/>
              <w:ind w:left="0" w:right="0" w:firstLine="840" w:firstLineChars="400"/>
              <w:rPr>
                <w:sz w:val="21"/>
                <w:szCs w:val="21"/>
              </w:rPr>
            </w:pPr>
          </w:p>
          <w:p w14:paraId="15492CE6">
            <w:pPr>
              <w:pStyle w:val="178"/>
              <w:adjustRightInd/>
              <w:spacing w:line="360" w:lineRule="auto"/>
              <w:ind w:left="0" w:right="0" w:firstLine="840" w:firstLineChars="400"/>
              <w:rPr>
                <w:sz w:val="21"/>
                <w:szCs w:val="21"/>
              </w:rPr>
            </w:pPr>
          </w:p>
          <w:p w14:paraId="2DBAA3FC">
            <w:pPr>
              <w:pStyle w:val="178"/>
              <w:adjustRightInd/>
              <w:spacing w:line="360" w:lineRule="auto"/>
              <w:ind w:left="0" w:right="0" w:firstLine="840" w:firstLineChars="400"/>
              <w:rPr>
                <w:sz w:val="21"/>
                <w:szCs w:val="21"/>
              </w:rPr>
            </w:pPr>
          </w:p>
          <w:p w14:paraId="358E1FAD">
            <w:pPr>
              <w:pStyle w:val="178"/>
              <w:adjustRightInd/>
              <w:spacing w:line="360" w:lineRule="auto"/>
              <w:ind w:left="0" w:right="0" w:firstLine="840" w:firstLineChars="400"/>
              <w:rPr>
                <w:sz w:val="21"/>
                <w:szCs w:val="21"/>
              </w:rPr>
            </w:pPr>
          </w:p>
          <w:p w14:paraId="10C4F509">
            <w:pPr>
              <w:pStyle w:val="178"/>
              <w:adjustRightInd/>
              <w:spacing w:line="360" w:lineRule="auto"/>
              <w:ind w:left="0" w:right="0" w:firstLine="840" w:firstLineChars="400"/>
              <w:rPr>
                <w:sz w:val="21"/>
                <w:szCs w:val="21"/>
              </w:rPr>
            </w:pPr>
          </w:p>
          <w:p w14:paraId="000EDC97">
            <w:pPr>
              <w:pStyle w:val="178"/>
              <w:adjustRightInd/>
              <w:spacing w:line="360" w:lineRule="auto"/>
              <w:ind w:left="0" w:right="0" w:firstLine="840" w:firstLineChars="400"/>
              <w:rPr>
                <w:sz w:val="21"/>
                <w:szCs w:val="21"/>
              </w:rPr>
            </w:pPr>
          </w:p>
          <w:p w14:paraId="4C39D156">
            <w:pPr>
              <w:pStyle w:val="178"/>
              <w:adjustRightInd/>
              <w:spacing w:line="360" w:lineRule="auto"/>
              <w:ind w:left="0" w:right="0" w:firstLine="840" w:firstLineChars="400"/>
              <w:rPr>
                <w:sz w:val="21"/>
                <w:szCs w:val="21"/>
              </w:rPr>
            </w:pPr>
          </w:p>
          <w:p w14:paraId="554B8002">
            <w:pPr>
              <w:pStyle w:val="178"/>
              <w:adjustRightInd/>
              <w:spacing w:line="360" w:lineRule="auto"/>
              <w:ind w:left="0" w:right="0" w:firstLine="0"/>
              <w:rPr>
                <w:sz w:val="21"/>
                <w:szCs w:val="21"/>
              </w:rPr>
            </w:pPr>
          </w:p>
          <w:p w14:paraId="096C1A49">
            <w:pPr>
              <w:pStyle w:val="178"/>
              <w:adjustRightInd/>
              <w:spacing w:line="360" w:lineRule="auto"/>
              <w:ind w:left="0" w:right="0" w:firstLine="0"/>
            </w:pPr>
          </w:p>
        </w:tc>
      </w:tr>
    </w:tbl>
    <w:p w14:paraId="4F2D8C93">
      <w:pPr>
        <w:widowControl/>
        <w:outlineLvl w:val="0"/>
        <w:rPr>
          <w:rFonts w:ascii="宋体" w:hAnsi="宋体"/>
          <w:b/>
          <w:bCs/>
          <w:kern w:val="0"/>
          <w:sz w:val="30"/>
          <w:szCs w:val="30"/>
        </w:rPr>
        <w:sectPr>
          <w:pgSz w:w="11906" w:h="16838"/>
          <w:pgMar w:top="1440" w:right="1508" w:bottom="1440" w:left="1797" w:header="851" w:footer="992" w:gutter="0"/>
          <w:cols w:space="720" w:num="1"/>
          <w:docGrid w:type="lines" w:linePitch="312" w:charSpace="0"/>
        </w:sect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6"/>
        <w:gridCol w:w="7941"/>
      </w:tblGrid>
      <w:tr w14:paraId="0A47A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48" w:hRule="atLeast"/>
        </w:trPr>
        <w:tc>
          <w:tcPr>
            <w:tcW w:w="456" w:type="dxa"/>
            <w:vAlign w:val="center"/>
          </w:tcPr>
          <w:p w14:paraId="3EBB3F43">
            <w:pPr>
              <w:pStyle w:val="142"/>
              <w:widowControl/>
              <w:spacing w:line="360" w:lineRule="auto"/>
              <w:ind w:firstLine="480"/>
              <w:jc w:val="center"/>
              <w:rPr>
                <w:b/>
                <w:sz w:val="24"/>
                <w:szCs w:val="24"/>
              </w:rPr>
            </w:pPr>
            <w:r>
              <w:rPr>
                <w:rFonts w:hAnsi="宋体"/>
                <w:kern w:val="0"/>
                <w:sz w:val="24"/>
              </w:rPr>
              <w:t>污污染物排放控制标准</w:t>
            </w:r>
          </w:p>
        </w:tc>
        <w:tc>
          <w:tcPr>
            <w:tcW w:w="8358" w:type="dxa"/>
          </w:tcPr>
          <w:p w14:paraId="19D717A2">
            <w:pPr>
              <w:pStyle w:val="142"/>
              <w:widowControl/>
              <w:spacing w:line="360" w:lineRule="auto"/>
              <w:ind w:firstLine="482"/>
              <w:rPr>
                <w:b/>
                <w:sz w:val="24"/>
                <w:szCs w:val="24"/>
              </w:rPr>
            </w:pPr>
            <w:r>
              <w:rPr>
                <w:b/>
                <w:sz w:val="24"/>
                <w:szCs w:val="24"/>
              </w:rPr>
              <w:t>1、</w:t>
            </w:r>
            <w:r>
              <w:rPr>
                <w:rFonts w:hint="eastAsia"/>
                <w:b/>
                <w:sz w:val="24"/>
                <w:szCs w:val="24"/>
              </w:rPr>
              <w:t>大气</w:t>
            </w:r>
            <w:r>
              <w:rPr>
                <w:b/>
                <w:sz w:val="24"/>
                <w:szCs w:val="24"/>
              </w:rPr>
              <w:t>污染物</w:t>
            </w:r>
          </w:p>
          <w:p w14:paraId="4C0A05E7">
            <w:pPr>
              <w:pStyle w:val="142"/>
              <w:widowControl/>
              <w:spacing w:line="360" w:lineRule="auto"/>
              <w:ind w:firstLine="472"/>
              <w:rPr>
                <w:spacing w:val="-2"/>
                <w:kern w:val="0"/>
                <w:sz w:val="24"/>
                <w:szCs w:val="20"/>
              </w:rPr>
            </w:pPr>
            <w:r>
              <w:rPr>
                <w:rFonts w:hint="eastAsia"/>
                <w:spacing w:val="-2"/>
                <w:kern w:val="0"/>
                <w:sz w:val="24"/>
                <w:szCs w:val="20"/>
              </w:rPr>
              <w:t>本项目生产过程中产生的废气污染物主要为颗粒物、二氧化硫、氮氧化物、非甲烷总烃。颗粒物、二氧化硫、氮氧化物排放执行《大气污染物综合排放标准》（GB16297-1996）表2中的新污染源二级标准限值要求；非甲烷总烃执行《合成树脂工业污染物排放标准》（GB 31572-2015）中的特别排放限值。</w:t>
            </w:r>
          </w:p>
          <w:p w14:paraId="69CEDEEF">
            <w:pPr>
              <w:spacing w:line="360" w:lineRule="auto"/>
              <w:ind w:firstLine="472" w:firstLineChars="200"/>
              <w:rPr>
                <w:sz w:val="24"/>
              </w:rPr>
            </w:pPr>
            <w:r>
              <w:rPr>
                <w:rFonts w:hint="eastAsia"/>
                <w:spacing w:val="-2"/>
                <w:kern w:val="0"/>
                <w:sz w:val="24"/>
                <w:szCs w:val="20"/>
              </w:rPr>
              <w:t>企业厂区内挥发性有机物无组织排放监控点浓度限值执行《挥发性有机物无组织排放控制标准》（</w:t>
            </w:r>
            <w:r>
              <w:rPr>
                <w:spacing w:val="-2"/>
                <w:kern w:val="0"/>
                <w:sz w:val="24"/>
                <w:szCs w:val="20"/>
              </w:rPr>
              <w:t>GB37822-2019</w:t>
            </w:r>
            <w:r>
              <w:rPr>
                <w:rFonts w:hint="eastAsia"/>
                <w:spacing w:val="-2"/>
                <w:kern w:val="0"/>
                <w:sz w:val="24"/>
                <w:szCs w:val="20"/>
              </w:rPr>
              <w:t>）表</w:t>
            </w:r>
            <w:r>
              <w:rPr>
                <w:spacing w:val="-2"/>
                <w:kern w:val="0"/>
                <w:sz w:val="24"/>
                <w:szCs w:val="20"/>
              </w:rPr>
              <w:t>A1</w:t>
            </w:r>
            <w:r>
              <w:rPr>
                <w:rFonts w:hint="eastAsia"/>
                <w:spacing w:val="-2"/>
                <w:kern w:val="0"/>
                <w:sz w:val="24"/>
                <w:szCs w:val="20"/>
              </w:rPr>
              <w:t>特别排放限值</w:t>
            </w:r>
            <w:r>
              <w:rPr>
                <w:rFonts w:hint="eastAsia"/>
                <w:sz w:val="24"/>
                <w:szCs w:val="24"/>
              </w:rPr>
              <w:t>。</w:t>
            </w:r>
          </w:p>
          <w:p w14:paraId="3B9441D6">
            <w:pPr>
              <w:pStyle w:val="142"/>
              <w:widowControl/>
              <w:spacing w:line="360" w:lineRule="auto"/>
              <w:ind w:firstLine="480"/>
              <w:rPr>
                <w:kern w:val="0"/>
                <w:sz w:val="24"/>
              </w:rPr>
            </w:pPr>
            <w:r>
              <w:rPr>
                <w:sz w:val="24"/>
              </w:rPr>
              <w:t>具体详见下表：</w:t>
            </w:r>
          </w:p>
          <w:p w14:paraId="3408DBE7">
            <w:pPr>
              <w:autoSpaceDE w:val="0"/>
              <w:autoSpaceDN w:val="0"/>
              <w:adjustRightInd w:val="0"/>
              <w:snapToGrid w:val="0"/>
              <w:jc w:val="center"/>
              <w:rPr>
                <w:rFonts w:hAnsi="黑体" w:eastAsia="黑体"/>
                <w:bCs/>
                <w:spacing w:val="-2"/>
                <w:kern w:val="0"/>
                <w:szCs w:val="21"/>
              </w:rPr>
            </w:pPr>
            <w:r>
              <w:rPr>
                <w:rFonts w:hint="eastAsia" w:hAnsi="黑体" w:eastAsia="黑体"/>
                <w:sz w:val="24"/>
                <w:szCs w:val="24"/>
              </w:rPr>
              <w:t>表27</w:t>
            </w:r>
            <w:r>
              <w:rPr>
                <w:rFonts w:hAnsi="黑体" w:eastAsia="黑体"/>
                <w:sz w:val="24"/>
                <w:szCs w:val="24"/>
              </w:rPr>
              <w:t xml:space="preserve">  </w:t>
            </w:r>
            <w:r>
              <w:rPr>
                <w:rFonts w:hint="eastAsia" w:hAnsi="黑体" w:eastAsia="黑体"/>
                <w:sz w:val="24"/>
                <w:szCs w:val="24"/>
              </w:rPr>
              <w:t>大气污染物排放限值</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22"/>
              <w:gridCol w:w="1219"/>
              <w:gridCol w:w="897"/>
              <w:gridCol w:w="762"/>
              <w:gridCol w:w="762"/>
              <w:gridCol w:w="1219"/>
              <w:gridCol w:w="1944"/>
            </w:tblGrid>
            <w:tr w14:paraId="064598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25" w:type="pct"/>
                  <w:vMerge w:val="restart"/>
                  <w:vAlign w:val="center"/>
                </w:tcPr>
                <w:p w14:paraId="0A0718DF">
                  <w:pPr>
                    <w:spacing w:line="276" w:lineRule="auto"/>
                    <w:jc w:val="center"/>
                    <w:rPr>
                      <w:b/>
                      <w:szCs w:val="21"/>
                    </w:rPr>
                  </w:pPr>
                  <w:r>
                    <w:rPr>
                      <w:rFonts w:hint="eastAsia"/>
                      <w:b/>
                      <w:szCs w:val="21"/>
                    </w:rPr>
                    <w:t>指标</w:t>
                  </w:r>
                </w:p>
              </w:tc>
              <w:tc>
                <w:tcPr>
                  <w:tcW w:w="750" w:type="pct"/>
                  <w:vMerge w:val="restart"/>
                  <w:vAlign w:val="center"/>
                </w:tcPr>
                <w:p w14:paraId="02AD0D13">
                  <w:pPr>
                    <w:widowControl/>
                    <w:spacing w:line="276" w:lineRule="auto"/>
                    <w:jc w:val="center"/>
                    <w:rPr>
                      <w:b/>
                      <w:kern w:val="0"/>
                      <w:szCs w:val="21"/>
                    </w:rPr>
                  </w:pPr>
                  <w:r>
                    <w:rPr>
                      <w:rFonts w:hint="eastAsia"/>
                      <w:b/>
                      <w:kern w:val="0"/>
                      <w:szCs w:val="21"/>
                    </w:rPr>
                    <w:t>最高允许</w:t>
                  </w:r>
                </w:p>
                <w:p w14:paraId="3D4B0F14">
                  <w:pPr>
                    <w:widowControl/>
                    <w:spacing w:line="276" w:lineRule="auto"/>
                    <w:jc w:val="center"/>
                    <w:rPr>
                      <w:b/>
                      <w:kern w:val="0"/>
                      <w:szCs w:val="21"/>
                    </w:rPr>
                  </w:pPr>
                  <w:r>
                    <w:rPr>
                      <w:rFonts w:hint="eastAsia"/>
                      <w:b/>
                      <w:kern w:val="0"/>
                      <w:szCs w:val="21"/>
                    </w:rPr>
                    <w:t>排放浓度</w:t>
                  </w:r>
                </w:p>
                <w:p w14:paraId="6C8239E8">
                  <w:pPr>
                    <w:widowControl/>
                    <w:spacing w:line="276" w:lineRule="auto"/>
                    <w:jc w:val="center"/>
                    <w:rPr>
                      <w:b/>
                      <w:kern w:val="0"/>
                      <w:szCs w:val="21"/>
                    </w:rPr>
                  </w:pPr>
                  <w:r>
                    <w:rPr>
                      <w:rFonts w:hint="eastAsia"/>
                      <w:b/>
                      <w:kern w:val="0"/>
                      <w:szCs w:val="21"/>
                    </w:rPr>
                    <w:t>（</w:t>
                  </w:r>
                  <w:r>
                    <w:rPr>
                      <w:b/>
                      <w:kern w:val="0"/>
                      <w:szCs w:val="21"/>
                    </w:rPr>
                    <w:t>mg/m</w:t>
                  </w:r>
                  <w:r>
                    <w:rPr>
                      <w:b/>
                      <w:kern w:val="0"/>
                      <w:szCs w:val="21"/>
                      <w:vertAlign w:val="superscript"/>
                    </w:rPr>
                    <w:t>3</w:t>
                  </w:r>
                  <w:r>
                    <w:rPr>
                      <w:rFonts w:hint="eastAsia"/>
                      <w:b/>
                      <w:kern w:val="0"/>
                      <w:szCs w:val="21"/>
                    </w:rPr>
                    <w:t>）</w:t>
                  </w:r>
                </w:p>
              </w:tc>
              <w:tc>
                <w:tcPr>
                  <w:tcW w:w="1131" w:type="pct"/>
                  <w:gridSpan w:val="2"/>
                  <w:vAlign w:val="center"/>
                </w:tcPr>
                <w:p w14:paraId="1B3F30F9">
                  <w:pPr>
                    <w:spacing w:line="276" w:lineRule="auto"/>
                    <w:jc w:val="center"/>
                    <w:rPr>
                      <w:b/>
                      <w:szCs w:val="21"/>
                    </w:rPr>
                  </w:pPr>
                  <w:r>
                    <w:rPr>
                      <w:rFonts w:hint="eastAsia"/>
                      <w:b/>
                      <w:szCs w:val="21"/>
                    </w:rPr>
                    <w:t>最高允许排放速率（</w:t>
                  </w:r>
                  <w:r>
                    <w:rPr>
                      <w:b/>
                      <w:szCs w:val="21"/>
                    </w:rPr>
                    <w:t>kg/h</w:t>
                  </w:r>
                  <w:r>
                    <w:rPr>
                      <w:rFonts w:hint="eastAsia"/>
                      <w:b/>
                      <w:szCs w:val="21"/>
                    </w:rPr>
                    <w:t>）</w:t>
                  </w:r>
                </w:p>
              </w:tc>
              <w:tc>
                <w:tcPr>
                  <w:tcW w:w="1301" w:type="pct"/>
                  <w:gridSpan w:val="2"/>
                  <w:vAlign w:val="center"/>
                </w:tcPr>
                <w:p w14:paraId="6D5EDF82">
                  <w:pPr>
                    <w:widowControl/>
                    <w:spacing w:line="276" w:lineRule="auto"/>
                    <w:jc w:val="center"/>
                    <w:rPr>
                      <w:b/>
                      <w:kern w:val="0"/>
                      <w:szCs w:val="21"/>
                    </w:rPr>
                  </w:pPr>
                  <w:r>
                    <w:rPr>
                      <w:rFonts w:hint="eastAsia"/>
                      <w:b/>
                      <w:kern w:val="0"/>
                      <w:szCs w:val="21"/>
                    </w:rPr>
                    <w:t>厂界大气污染物监控点浓度限值</w:t>
                  </w:r>
                </w:p>
              </w:tc>
              <w:tc>
                <w:tcPr>
                  <w:tcW w:w="1193" w:type="pct"/>
                  <w:vMerge w:val="restart"/>
                  <w:vAlign w:val="center"/>
                </w:tcPr>
                <w:p w14:paraId="700B0823">
                  <w:pPr>
                    <w:widowControl/>
                    <w:spacing w:line="276" w:lineRule="auto"/>
                    <w:jc w:val="center"/>
                    <w:rPr>
                      <w:b/>
                      <w:kern w:val="0"/>
                      <w:szCs w:val="21"/>
                    </w:rPr>
                  </w:pPr>
                  <w:r>
                    <w:rPr>
                      <w:rFonts w:hint="eastAsia"/>
                      <w:b/>
                      <w:kern w:val="0"/>
                      <w:szCs w:val="21"/>
                    </w:rPr>
                    <w:t>标准来源</w:t>
                  </w:r>
                </w:p>
              </w:tc>
            </w:tr>
            <w:tr w14:paraId="1041E8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25" w:type="pct"/>
                  <w:vMerge w:val="continue"/>
                  <w:vAlign w:val="center"/>
                </w:tcPr>
                <w:p w14:paraId="5E0FC20C">
                  <w:pPr>
                    <w:widowControl/>
                    <w:spacing w:line="276" w:lineRule="auto"/>
                    <w:jc w:val="left"/>
                    <w:rPr>
                      <w:b/>
                      <w:szCs w:val="21"/>
                    </w:rPr>
                  </w:pPr>
                </w:p>
              </w:tc>
              <w:tc>
                <w:tcPr>
                  <w:tcW w:w="750" w:type="pct"/>
                  <w:vMerge w:val="continue"/>
                  <w:vAlign w:val="center"/>
                </w:tcPr>
                <w:p w14:paraId="558AF246">
                  <w:pPr>
                    <w:widowControl/>
                    <w:spacing w:line="276" w:lineRule="auto"/>
                    <w:jc w:val="left"/>
                    <w:rPr>
                      <w:b/>
                      <w:kern w:val="0"/>
                      <w:szCs w:val="21"/>
                    </w:rPr>
                  </w:pPr>
                </w:p>
              </w:tc>
              <w:tc>
                <w:tcPr>
                  <w:tcW w:w="609" w:type="pct"/>
                  <w:vAlign w:val="center"/>
                </w:tcPr>
                <w:p w14:paraId="6B9B4B45">
                  <w:pPr>
                    <w:widowControl/>
                    <w:spacing w:line="276" w:lineRule="auto"/>
                    <w:jc w:val="center"/>
                    <w:rPr>
                      <w:b/>
                      <w:kern w:val="0"/>
                      <w:szCs w:val="21"/>
                    </w:rPr>
                  </w:pPr>
                  <w:r>
                    <w:rPr>
                      <w:rFonts w:hint="eastAsia"/>
                      <w:b/>
                      <w:kern w:val="0"/>
                      <w:szCs w:val="21"/>
                    </w:rPr>
                    <w:t>排气筒</w:t>
                  </w:r>
                </w:p>
                <w:p w14:paraId="38CDEB54">
                  <w:pPr>
                    <w:widowControl/>
                    <w:spacing w:line="276" w:lineRule="auto"/>
                    <w:jc w:val="center"/>
                    <w:rPr>
                      <w:b/>
                      <w:kern w:val="0"/>
                      <w:szCs w:val="21"/>
                    </w:rPr>
                  </w:pPr>
                  <w:r>
                    <w:rPr>
                      <w:rFonts w:hint="eastAsia"/>
                      <w:b/>
                      <w:kern w:val="0"/>
                      <w:szCs w:val="21"/>
                    </w:rPr>
                    <w:t>（</w:t>
                  </w:r>
                  <w:r>
                    <w:rPr>
                      <w:b/>
                      <w:kern w:val="0"/>
                      <w:szCs w:val="21"/>
                    </w:rPr>
                    <w:t>m</w:t>
                  </w:r>
                  <w:r>
                    <w:rPr>
                      <w:rFonts w:hint="eastAsia"/>
                      <w:b/>
                      <w:kern w:val="0"/>
                      <w:szCs w:val="21"/>
                    </w:rPr>
                    <w:t>）</w:t>
                  </w:r>
                </w:p>
              </w:tc>
              <w:tc>
                <w:tcPr>
                  <w:tcW w:w="522" w:type="pct"/>
                  <w:vAlign w:val="center"/>
                </w:tcPr>
                <w:p w14:paraId="622B3A36">
                  <w:pPr>
                    <w:widowControl/>
                    <w:spacing w:line="276" w:lineRule="auto"/>
                    <w:jc w:val="center"/>
                    <w:rPr>
                      <w:b/>
                      <w:kern w:val="0"/>
                      <w:szCs w:val="21"/>
                    </w:rPr>
                  </w:pPr>
                  <w:r>
                    <w:rPr>
                      <w:rFonts w:hint="eastAsia"/>
                      <w:b/>
                      <w:kern w:val="0"/>
                      <w:szCs w:val="21"/>
                    </w:rPr>
                    <w:t>二级</w:t>
                  </w:r>
                </w:p>
              </w:tc>
              <w:tc>
                <w:tcPr>
                  <w:tcW w:w="522" w:type="pct"/>
                  <w:vAlign w:val="center"/>
                </w:tcPr>
                <w:p w14:paraId="5823C754">
                  <w:pPr>
                    <w:widowControl/>
                    <w:spacing w:line="276" w:lineRule="auto"/>
                    <w:jc w:val="center"/>
                    <w:rPr>
                      <w:b/>
                      <w:kern w:val="0"/>
                      <w:szCs w:val="21"/>
                    </w:rPr>
                  </w:pPr>
                  <w:r>
                    <w:rPr>
                      <w:rFonts w:hint="eastAsia"/>
                      <w:b/>
                      <w:kern w:val="0"/>
                      <w:szCs w:val="21"/>
                    </w:rPr>
                    <w:t>监控点</w:t>
                  </w:r>
                </w:p>
              </w:tc>
              <w:tc>
                <w:tcPr>
                  <w:tcW w:w="779" w:type="pct"/>
                  <w:vAlign w:val="center"/>
                </w:tcPr>
                <w:p w14:paraId="2863CDA2">
                  <w:pPr>
                    <w:widowControl/>
                    <w:spacing w:line="276" w:lineRule="auto"/>
                    <w:jc w:val="center"/>
                    <w:rPr>
                      <w:b/>
                      <w:kern w:val="0"/>
                      <w:szCs w:val="21"/>
                    </w:rPr>
                  </w:pPr>
                  <w:r>
                    <w:rPr>
                      <w:rFonts w:hint="eastAsia"/>
                      <w:b/>
                      <w:kern w:val="0"/>
                      <w:szCs w:val="21"/>
                    </w:rPr>
                    <w:t>浓度</w:t>
                  </w:r>
                </w:p>
                <w:p w14:paraId="7B1182B8">
                  <w:pPr>
                    <w:widowControl/>
                    <w:spacing w:line="276" w:lineRule="auto"/>
                    <w:jc w:val="center"/>
                    <w:rPr>
                      <w:b/>
                      <w:kern w:val="0"/>
                      <w:szCs w:val="21"/>
                    </w:rPr>
                  </w:pPr>
                  <w:r>
                    <w:rPr>
                      <w:rFonts w:hint="eastAsia"/>
                      <w:b/>
                      <w:kern w:val="0"/>
                      <w:szCs w:val="21"/>
                    </w:rPr>
                    <w:t>（</w:t>
                  </w:r>
                  <w:r>
                    <w:rPr>
                      <w:b/>
                      <w:kern w:val="0"/>
                      <w:szCs w:val="21"/>
                    </w:rPr>
                    <w:t>mg/m</w:t>
                  </w:r>
                  <w:r>
                    <w:rPr>
                      <w:b/>
                      <w:kern w:val="0"/>
                      <w:szCs w:val="21"/>
                      <w:vertAlign w:val="superscript"/>
                    </w:rPr>
                    <w:t>3</w:t>
                  </w:r>
                  <w:r>
                    <w:rPr>
                      <w:rFonts w:hint="eastAsia"/>
                      <w:b/>
                      <w:kern w:val="0"/>
                      <w:szCs w:val="21"/>
                    </w:rPr>
                    <w:t>）</w:t>
                  </w:r>
                </w:p>
              </w:tc>
              <w:tc>
                <w:tcPr>
                  <w:tcW w:w="1193" w:type="pct"/>
                  <w:vMerge w:val="continue"/>
                  <w:vAlign w:val="center"/>
                </w:tcPr>
                <w:p w14:paraId="7C1F4297">
                  <w:pPr>
                    <w:widowControl/>
                    <w:spacing w:line="276" w:lineRule="auto"/>
                    <w:jc w:val="left"/>
                    <w:rPr>
                      <w:b/>
                      <w:kern w:val="0"/>
                      <w:szCs w:val="21"/>
                    </w:rPr>
                  </w:pPr>
                </w:p>
              </w:tc>
            </w:tr>
            <w:tr w14:paraId="1FB76F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25" w:type="pct"/>
                  <w:vAlign w:val="center"/>
                </w:tcPr>
                <w:p w14:paraId="08DE904A">
                  <w:pPr>
                    <w:pStyle w:val="235"/>
                    <w:adjustRightInd/>
                    <w:snapToGrid/>
                    <w:spacing w:line="276" w:lineRule="auto"/>
                    <w:rPr>
                      <w:rFonts w:ascii="Times New Roman" w:hAnsi="Times New Roman" w:eastAsia="宋体"/>
                      <w:kern w:val="2"/>
                      <w:sz w:val="21"/>
                      <w:szCs w:val="21"/>
                    </w:rPr>
                  </w:pPr>
                  <w:r>
                    <w:rPr>
                      <w:rFonts w:hint="eastAsia" w:ascii="Times New Roman" w:hAnsi="Times New Roman" w:eastAsia="宋体"/>
                      <w:kern w:val="2"/>
                      <w:sz w:val="21"/>
                      <w:szCs w:val="21"/>
                    </w:rPr>
                    <w:t>非甲烷总烃</w:t>
                  </w:r>
                </w:p>
              </w:tc>
              <w:tc>
                <w:tcPr>
                  <w:tcW w:w="750" w:type="pct"/>
                  <w:vAlign w:val="center"/>
                </w:tcPr>
                <w:p w14:paraId="3576B479">
                  <w:pPr>
                    <w:pStyle w:val="235"/>
                    <w:adjustRightInd/>
                    <w:snapToGrid/>
                    <w:spacing w:line="276" w:lineRule="auto"/>
                    <w:rPr>
                      <w:rFonts w:ascii="Times New Roman" w:hAnsi="Times New Roman" w:eastAsia="宋体"/>
                      <w:kern w:val="2"/>
                      <w:sz w:val="21"/>
                      <w:szCs w:val="21"/>
                    </w:rPr>
                  </w:pPr>
                  <w:r>
                    <w:rPr>
                      <w:rFonts w:hint="eastAsia" w:ascii="Times New Roman" w:hAnsi="Times New Roman" w:eastAsia="宋体"/>
                      <w:kern w:val="2"/>
                      <w:sz w:val="21"/>
                      <w:szCs w:val="21"/>
                    </w:rPr>
                    <w:t>60</w:t>
                  </w:r>
                </w:p>
              </w:tc>
              <w:tc>
                <w:tcPr>
                  <w:tcW w:w="609" w:type="pct"/>
                  <w:vAlign w:val="center"/>
                </w:tcPr>
                <w:p w14:paraId="24B55EC2">
                  <w:pPr>
                    <w:pStyle w:val="236"/>
                    <w:adjustRightInd/>
                    <w:snapToGrid/>
                    <w:spacing w:line="276" w:lineRule="auto"/>
                    <w:rPr>
                      <w:kern w:val="2"/>
                    </w:rPr>
                  </w:pPr>
                  <w:r>
                    <w:rPr>
                      <w:rFonts w:hint="eastAsia"/>
                      <w:kern w:val="2"/>
                    </w:rPr>
                    <w:t>15</w:t>
                  </w:r>
                </w:p>
              </w:tc>
              <w:tc>
                <w:tcPr>
                  <w:tcW w:w="522" w:type="pct"/>
                  <w:vAlign w:val="center"/>
                </w:tcPr>
                <w:p w14:paraId="09A02B5E">
                  <w:pPr>
                    <w:spacing w:line="276" w:lineRule="auto"/>
                    <w:jc w:val="center"/>
                    <w:rPr>
                      <w:szCs w:val="21"/>
                    </w:rPr>
                  </w:pPr>
                  <w:r>
                    <w:rPr>
                      <w:szCs w:val="21"/>
                    </w:rPr>
                    <w:t>/</w:t>
                  </w:r>
                </w:p>
              </w:tc>
              <w:tc>
                <w:tcPr>
                  <w:tcW w:w="522" w:type="pct"/>
                  <w:tcBorders>
                    <w:bottom w:val="single" w:color="auto" w:sz="4" w:space="0"/>
                  </w:tcBorders>
                  <w:vAlign w:val="center"/>
                </w:tcPr>
                <w:p w14:paraId="38331870">
                  <w:pPr>
                    <w:spacing w:line="276" w:lineRule="auto"/>
                    <w:jc w:val="center"/>
                    <w:rPr>
                      <w:kern w:val="0"/>
                      <w:szCs w:val="21"/>
                    </w:rPr>
                  </w:pPr>
                  <w:r>
                    <w:rPr>
                      <w:rFonts w:hint="eastAsia"/>
                      <w:kern w:val="0"/>
                      <w:szCs w:val="21"/>
                    </w:rPr>
                    <w:t>厂界</w:t>
                  </w:r>
                </w:p>
              </w:tc>
              <w:tc>
                <w:tcPr>
                  <w:tcW w:w="779" w:type="pct"/>
                  <w:tcBorders>
                    <w:bottom w:val="single" w:color="auto" w:sz="4" w:space="0"/>
                  </w:tcBorders>
                  <w:vAlign w:val="center"/>
                </w:tcPr>
                <w:p w14:paraId="25FE5C62">
                  <w:pPr>
                    <w:spacing w:line="276" w:lineRule="auto"/>
                    <w:jc w:val="center"/>
                    <w:rPr>
                      <w:szCs w:val="21"/>
                    </w:rPr>
                  </w:pPr>
                  <w:r>
                    <w:rPr>
                      <w:szCs w:val="21"/>
                    </w:rPr>
                    <w:t>4.0</w:t>
                  </w:r>
                </w:p>
              </w:tc>
              <w:tc>
                <w:tcPr>
                  <w:tcW w:w="1193" w:type="pct"/>
                  <w:tcBorders>
                    <w:bottom w:val="single" w:color="auto" w:sz="4" w:space="0"/>
                  </w:tcBorders>
                  <w:vAlign w:val="center"/>
                </w:tcPr>
                <w:p w14:paraId="7BBF463A">
                  <w:pPr>
                    <w:spacing w:line="276" w:lineRule="auto"/>
                    <w:jc w:val="center"/>
                    <w:rPr>
                      <w:szCs w:val="21"/>
                    </w:rPr>
                  </w:pPr>
                  <w:r>
                    <w:rPr>
                      <w:rFonts w:hint="eastAsia"/>
                      <w:szCs w:val="21"/>
                    </w:rPr>
                    <w:t>《合成树脂工业污染物排放标准》（GB 31572-2015）</w:t>
                  </w:r>
                </w:p>
              </w:tc>
            </w:tr>
            <w:tr w14:paraId="46E304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25" w:type="pct"/>
                  <w:vAlign w:val="center"/>
                </w:tcPr>
                <w:p w14:paraId="74E70FF8">
                  <w:pPr>
                    <w:pStyle w:val="235"/>
                    <w:adjustRightInd/>
                    <w:snapToGrid/>
                    <w:spacing w:line="276" w:lineRule="auto"/>
                    <w:rPr>
                      <w:rFonts w:ascii="Times New Roman" w:hAnsi="Times New Roman" w:eastAsia="宋体"/>
                      <w:kern w:val="2"/>
                      <w:sz w:val="21"/>
                      <w:szCs w:val="21"/>
                    </w:rPr>
                  </w:pPr>
                  <w:r>
                    <w:rPr>
                      <w:rFonts w:hint="eastAsia" w:ascii="Times New Roman" w:hAnsi="Times New Roman" w:eastAsia="宋体"/>
                      <w:kern w:val="2"/>
                      <w:sz w:val="21"/>
                      <w:szCs w:val="21"/>
                    </w:rPr>
                    <w:t>颗粒物</w:t>
                  </w:r>
                </w:p>
              </w:tc>
              <w:tc>
                <w:tcPr>
                  <w:tcW w:w="750" w:type="pct"/>
                  <w:vAlign w:val="center"/>
                </w:tcPr>
                <w:p w14:paraId="08B9DCAD">
                  <w:pPr>
                    <w:pStyle w:val="235"/>
                    <w:adjustRightInd/>
                    <w:snapToGrid/>
                    <w:spacing w:line="276" w:lineRule="auto"/>
                    <w:rPr>
                      <w:rFonts w:ascii="Times New Roman" w:hAnsi="Times New Roman" w:eastAsia="宋体"/>
                      <w:kern w:val="2"/>
                      <w:sz w:val="21"/>
                      <w:szCs w:val="21"/>
                    </w:rPr>
                  </w:pPr>
                  <w:r>
                    <w:rPr>
                      <w:rFonts w:hint="eastAsia" w:ascii="Times New Roman" w:hAnsi="Times New Roman" w:eastAsia="宋体"/>
                      <w:kern w:val="2"/>
                      <w:sz w:val="21"/>
                      <w:szCs w:val="21"/>
                    </w:rPr>
                    <w:t>120</w:t>
                  </w:r>
                </w:p>
              </w:tc>
              <w:tc>
                <w:tcPr>
                  <w:tcW w:w="609" w:type="pct"/>
                  <w:vAlign w:val="center"/>
                </w:tcPr>
                <w:p w14:paraId="5DF48375">
                  <w:pPr>
                    <w:pStyle w:val="236"/>
                    <w:adjustRightInd/>
                    <w:snapToGrid/>
                    <w:spacing w:line="276" w:lineRule="auto"/>
                    <w:rPr>
                      <w:kern w:val="2"/>
                    </w:rPr>
                  </w:pPr>
                  <w:r>
                    <w:rPr>
                      <w:rFonts w:hint="eastAsia"/>
                      <w:kern w:val="2"/>
                    </w:rPr>
                    <w:t>15</w:t>
                  </w:r>
                </w:p>
              </w:tc>
              <w:tc>
                <w:tcPr>
                  <w:tcW w:w="522" w:type="pct"/>
                  <w:vAlign w:val="center"/>
                </w:tcPr>
                <w:p w14:paraId="30A84BAC">
                  <w:pPr>
                    <w:spacing w:line="276" w:lineRule="auto"/>
                    <w:jc w:val="center"/>
                    <w:rPr>
                      <w:szCs w:val="21"/>
                    </w:rPr>
                  </w:pPr>
                  <w:r>
                    <w:rPr>
                      <w:rFonts w:hint="eastAsia"/>
                      <w:szCs w:val="21"/>
                    </w:rPr>
                    <w:t>3.5</w:t>
                  </w:r>
                </w:p>
              </w:tc>
              <w:tc>
                <w:tcPr>
                  <w:tcW w:w="522" w:type="pct"/>
                  <w:vMerge w:val="restart"/>
                  <w:tcBorders>
                    <w:top w:val="single" w:color="auto" w:sz="4" w:space="0"/>
                  </w:tcBorders>
                  <w:vAlign w:val="center"/>
                </w:tcPr>
                <w:p w14:paraId="1C819A57">
                  <w:pPr>
                    <w:spacing w:line="276" w:lineRule="auto"/>
                    <w:jc w:val="center"/>
                    <w:rPr>
                      <w:kern w:val="0"/>
                      <w:szCs w:val="21"/>
                    </w:rPr>
                  </w:pPr>
                  <w:r>
                    <w:rPr>
                      <w:rFonts w:hint="eastAsia"/>
                      <w:kern w:val="0"/>
                      <w:szCs w:val="21"/>
                    </w:rPr>
                    <w:t>周界外浓度最高点</w:t>
                  </w:r>
                </w:p>
              </w:tc>
              <w:tc>
                <w:tcPr>
                  <w:tcW w:w="779" w:type="pct"/>
                  <w:tcBorders>
                    <w:top w:val="single" w:color="auto" w:sz="4" w:space="0"/>
                  </w:tcBorders>
                  <w:vAlign w:val="center"/>
                </w:tcPr>
                <w:p w14:paraId="169CF8BC">
                  <w:pPr>
                    <w:spacing w:line="276" w:lineRule="auto"/>
                    <w:jc w:val="center"/>
                    <w:rPr>
                      <w:szCs w:val="21"/>
                    </w:rPr>
                  </w:pPr>
                  <w:r>
                    <w:rPr>
                      <w:szCs w:val="21"/>
                    </w:rPr>
                    <w:t>1.0</w:t>
                  </w:r>
                </w:p>
              </w:tc>
              <w:tc>
                <w:tcPr>
                  <w:tcW w:w="1193" w:type="pct"/>
                  <w:vMerge w:val="restart"/>
                  <w:tcBorders>
                    <w:top w:val="single" w:color="auto" w:sz="4" w:space="0"/>
                  </w:tcBorders>
                  <w:vAlign w:val="center"/>
                </w:tcPr>
                <w:p w14:paraId="46D5CC07">
                  <w:pPr>
                    <w:spacing w:line="276" w:lineRule="auto"/>
                    <w:jc w:val="center"/>
                    <w:rPr>
                      <w:szCs w:val="21"/>
                    </w:rPr>
                  </w:pPr>
                  <w:r>
                    <w:rPr>
                      <w:rFonts w:hint="eastAsia"/>
                      <w:szCs w:val="21"/>
                    </w:rPr>
                    <w:t>《大气污染物综合排放标准》（GB16297-1996）</w:t>
                  </w:r>
                </w:p>
              </w:tc>
            </w:tr>
            <w:tr w14:paraId="15B5CA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25" w:type="pct"/>
                  <w:vAlign w:val="center"/>
                </w:tcPr>
                <w:p w14:paraId="01F110A6">
                  <w:pPr>
                    <w:pStyle w:val="235"/>
                    <w:adjustRightInd/>
                    <w:snapToGrid/>
                    <w:spacing w:line="276" w:lineRule="auto"/>
                    <w:rPr>
                      <w:rFonts w:ascii="Times New Roman" w:hAnsi="Times New Roman" w:eastAsia="宋体"/>
                      <w:kern w:val="2"/>
                      <w:sz w:val="21"/>
                      <w:szCs w:val="21"/>
                    </w:rPr>
                  </w:pPr>
                  <w:r>
                    <w:rPr>
                      <w:rFonts w:hint="eastAsia" w:ascii="Times New Roman" w:hAnsi="Times New Roman" w:eastAsia="宋体"/>
                      <w:kern w:val="2"/>
                      <w:sz w:val="21"/>
                      <w:szCs w:val="21"/>
                    </w:rPr>
                    <w:t>氮氧化物</w:t>
                  </w:r>
                </w:p>
              </w:tc>
              <w:tc>
                <w:tcPr>
                  <w:tcW w:w="750" w:type="pct"/>
                  <w:vAlign w:val="center"/>
                </w:tcPr>
                <w:p w14:paraId="44709F54">
                  <w:pPr>
                    <w:pStyle w:val="235"/>
                    <w:adjustRightInd/>
                    <w:snapToGrid/>
                    <w:spacing w:line="276" w:lineRule="auto"/>
                    <w:rPr>
                      <w:rFonts w:ascii="Times New Roman" w:hAnsi="Times New Roman" w:eastAsia="宋体"/>
                      <w:kern w:val="2"/>
                      <w:sz w:val="21"/>
                      <w:szCs w:val="21"/>
                    </w:rPr>
                  </w:pPr>
                  <w:r>
                    <w:rPr>
                      <w:rFonts w:hint="eastAsia" w:ascii="Times New Roman" w:hAnsi="Times New Roman" w:eastAsia="宋体"/>
                      <w:kern w:val="2"/>
                      <w:sz w:val="21"/>
                      <w:szCs w:val="21"/>
                    </w:rPr>
                    <w:t>240</w:t>
                  </w:r>
                </w:p>
              </w:tc>
              <w:tc>
                <w:tcPr>
                  <w:tcW w:w="609" w:type="pct"/>
                  <w:vAlign w:val="center"/>
                </w:tcPr>
                <w:p w14:paraId="6ECF914E">
                  <w:pPr>
                    <w:pStyle w:val="236"/>
                    <w:adjustRightInd/>
                    <w:snapToGrid/>
                    <w:spacing w:line="276" w:lineRule="auto"/>
                    <w:rPr>
                      <w:kern w:val="2"/>
                    </w:rPr>
                  </w:pPr>
                  <w:r>
                    <w:rPr>
                      <w:rFonts w:hint="eastAsia"/>
                      <w:kern w:val="2"/>
                    </w:rPr>
                    <w:t>15</w:t>
                  </w:r>
                </w:p>
              </w:tc>
              <w:tc>
                <w:tcPr>
                  <w:tcW w:w="522" w:type="pct"/>
                  <w:vAlign w:val="center"/>
                </w:tcPr>
                <w:p w14:paraId="17D05032">
                  <w:pPr>
                    <w:spacing w:line="276" w:lineRule="auto"/>
                    <w:jc w:val="center"/>
                    <w:rPr>
                      <w:szCs w:val="21"/>
                    </w:rPr>
                  </w:pPr>
                  <w:r>
                    <w:rPr>
                      <w:rFonts w:hint="eastAsia"/>
                      <w:szCs w:val="21"/>
                    </w:rPr>
                    <w:t>0.77</w:t>
                  </w:r>
                </w:p>
              </w:tc>
              <w:tc>
                <w:tcPr>
                  <w:tcW w:w="522" w:type="pct"/>
                  <w:vMerge w:val="continue"/>
                  <w:vAlign w:val="center"/>
                </w:tcPr>
                <w:p w14:paraId="2D3A6DB7">
                  <w:pPr>
                    <w:widowControl/>
                    <w:spacing w:line="276" w:lineRule="auto"/>
                    <w:jc w:val="center"/>
                    <w:rPr>
                      <w:kern w:val="0"/>
                      <w:szCs w:val="21"/>
                    </w:rPr>
                  </w:pPr>
                </w:p>
              </w:tc>
              <w:tc>
                <w:tcPr>
                  <w:tcW w:w="779" w:type="pct"/>
                  <w:vAlign w:val="center"/>
                </w:tcPr>
                <w:p w14:paraId="29ED906E">
                  <w:pPr>
                    <w:spacing w:line="276" w:lineRule="auto"/>
                    <w:jc w:val="center"/>
                    <w:rPr>
                      <w:szCs w:val="21"/>
                    </w:rPr>
                  </w:pPr>
                  <w:r>
                    <w:rPr>
                      <w:rFonts w:hint="eastAsia"/>
                      <w:szCs w:val="21"/>
                    </w:rPr>
                    <w:t>0.12</w:t>
                  </w:r>
                </w:p>
              </w:tc>
              <w:tc>
                <w:tcPr>
                  <w:tcW w:w="1193" w:type="pct"/>
                  <w:vMerge w:val="continue"/>
                  <w:vAlign w:val="center"/>
                </w:tcPr>
                <w:p w14:paraId="4060FFBA">
                  <w:pPr>
                    <w:spacing w:line="276" w:lineRule="auto"/>
                    <w:jc w:val="center"/>
                    <w:rPr>
                      <w:szCs w:val="21"/>
                    </w:rPr>
                  </w:pPr>
                </w:p>
              </w:tc>
            </w:tr>
            <w:tr w14:paraId="67437C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25" w:type="pct"/>
                  <w:vAlign w:val="center"/>
                </w:tcPr>
                <w:p w14:paraId="093C5C37">
                  <w:pPr>
                    <w:pStyle w:val="235"/>
                    <w:adjustRightInd/>
                    <w:snapToGrid/>
                    <w:spacing w:line="276" w:lineRule="auto"/>
                    <w:rPr>
                      <w:rFonts w:ascii="Times New Roman" w:hAnsi="Times New Roman" w:eastAsia="宋体"/>
                      <w:kern w:val="2"/>
                      <w:sz w:val="21"/>
                      <w:szCs w:val="21"/>
                    </w:rPr>
                  </w:pPr>
                  <w:r>
                    <w:rPr>
                      <w:rFonts w:hint="eastAsia" w:ascii="Times New Roman" w:hAnsi="Times New Roman" w:eastAsia="宋体"/>
                      <w:kern w:val="2"/>
                      <w:sz w:val="21"/>
                      <w:szCs w:val="21"/>
                    </w:rPr>
                    <w:t>二氧化硫</w:t>
                  </w:r>
                </w:p>
              </w:tc>
              <w:tc>
                <w:tcPr>
                  <w:tcW w:w="750" w:type="pct"/>
                  <w:vAlign w:val="center"/>
                </w:tcPr>
                <w:p w14:paraId="01C7913B">
                  <w:pPr>
                    <w:pStyle w:val="235"/>
                    <w:adjustRightInd/>
                    <w:snapToGrid/>
                    <w:spacing w:line="276" w:lineRule="auto"/>
                    <w:rPr>
                      <w:rFonts w:ascii="Times New Roman" w:hAnsi="Times New Roman" w:eastAsia="宋体"/>
                      <w:kern w:val="2"/>
                      <w:sz w:val="21"/>
                      <w:szCs w:val="21"/>
                    </w:rPr>
                  </w:pPr>
                  <w:r>
                    <w:rPr>
                      <w:rFonts w:hint="eastAsia" w:ascii="Times New Roman" w:hAnsi="Times New Roman" w:eastAsia="宋体"/>
                      <w:kern w:val="2"/>
                      <w:sz w:val="21"/>
                      <w:szCs w:val="21"/>
                    </w:rPr>
                    <w:t>550</w:t>
                  </w:r>
                </w:p>
              </w:tc>
              <w:tc>
                <w:tcPr>
                  <w:tcW w:w="609" w:type="pct"/>
                  <w:vAlign w:val="center"/>
                </w:tcPr>
                <w:p w14:paraId="4997B287">
                  <w:pPr>
                    <w:pStyle w:val="236"/>
                    <w:adjustRightInd/>
                    <w:snapToGrid/>
                    <w:spacing w:line="276" w:lineRule="auto"/>
                    <w:rPr>
                      <w:kern w:val="2"/>
                    </w:rPr>
                  </w:pPr>
                  <w:r>
                    <w:rPr>
                      <w:rFonts w:hint="eastAsia"/>
                      <w:kern w:val="2"/>
                    </w:rPr>
                    <w:t>15</w:t>
                  </w:r>
                </w:p>
              </w:tc>
              <w:tc>
                <w:tcPr>
                  <w:tcW w:w="522" w:type="pct"/>
                  <w:vAlign w:val="center"/>
                </w:tcPr>
                <w:p w14:paraId="5C056141">
                  <w:pPr>
                    <w:spacing w:line="276" w:lineRule="auto"/>
                    <w:jc w:val="center"/>
                    <w:rPr>
                      <w:szCs w:val="21"/>
                    </w:rPr>
                  </w:pPr>
                  <w:r>
                    <w:rPr>
                      <w:rFonts w:hint="eastAsia"/>
                      <w:szCs w:val="21"/>
                    </w:rPr>
                    <w:t>2.6</w:t>
                  </w:r>
                </w:p>
              </w:tc>
              <w:tc>
                <w:tcPr>
                  <w:tcW w:w="522" w:type="pct"/>
                  <w:vMerge w:val="continue"/>
                  <w:vAlign w:val="center"/>
                </w:tcPr>
                <w:p w14:paraId="08FEE7F4">
                  <w:pPr>
                    <w:widowControl/>
                    <w:spacing w:line="276" w:lineRule="auto"/>
                    <w:jc w:val="center"/>
                    <w:rPr>
                      <w:kern w:val="0"/>
                      <w:szCs w:val="21"/>
                    </w:rPr>
                  </w:pPr>
                </w:p>
              </w:tc>
              <w:tc>
                <w:tcPr>
                  <w:tcW w:w="779" w:type="pct"/>
                  <w:vAlign w:val="center"/>
                </w:tcPr>
                <w:p w14:paraId="5E1980D1">
                  <w:pPr>
                    <w:spacing w:line="276" w:lineRule="auto"/>
                    <w:jc w:val="center"/>
                    <w:rPr>
                      <w:szCs w:val="21"/>
                    </w:rPr>
                  </w:pPr>
                  <w:r>
                    <w:rPr>
                      <w:rFonts w:hint="eastAsia"/>
                      <w:szCs w:val="21"/>
                    </w:rPr>
                    <w:t>0.40</w:t>
                  </w:r>
                </w:p>
              </w:tc>
              <w:tc>
                <w:tcPr>
                  <w:tcW w:w="1193" w:type="pct"/>
                  <w:vMerge w:val="continue"/>
                  <w:vAlign w:val="center"/>
                </w:tcPr>
                <w:p w14:paraId="0B2C5751">
                  <w:pPr>
                    <w:spacing w:line="276" w:lineRule="auto"/>
                    <w:jc w:val="center"/>
                    <w:rPr>
                      <w:szCs w:val="21"/>
                    </w:rPr>
                  </w:pPr>
                </w:p>
              </w:tc>
            </w:tr>
          </w:tbl>
          <w:p w14:paraId="706F1760">
            <w:pPr>
              <w:autoSpaceDE w:val="0"/>
              <w:autoSpaceDN w:val="0"/>
              <w:adjustRightInd w:val="0"/>
              <w:snapToGrid w:val="0"/>
              <w:spacing w:line="276" w:lineRule="auto"/>
              <w:jc w:val="center"/>
              <w:rPr>
                <w:rFonts w:hAnsi="黑体" w:eastAsia="黑体"/>
                <w:bCs/>
                <w:spacing w:val="-2"/>
                <w:kern w:val="0"/>
                <w:szCs w:val="21"/>
              </w:rPr>
            </w:pPr>
            <w:r>
              <w:rPr>
                <w:rFonts w:hint="eastAsia" w:hAnsi="黑体" w:eastAsia="黑体"/>
                <w:sz w:val="24"/>
                <w:szCs w:val="24"/>
              </w:rPr>
              <w:t>表28</w:t>
            </w:r>
            <w:r>
              <w:rPr>
                <w:rFonts w:hAnsi="黑体" w:eastAsia="黑体"/>
                <w:sz w:val="24"/>
                <w:szCs w:val="24"/>
              </w:rPr>
              <w:t xml:space="preserve">  GB 31572-2015</w:t>
            </w:r>
            <w:r>
              <w:rPr>
                <w:rFonts w:hint="eastAsia" w:hAnsi="黑体" w:eastAsia="黑体"/>
                <w:sz w:val="24"/>
                <w:szCs w:val="24"/>
              </w:rPr>
              <w:t>中大气污染物特别排放限值  单位：</w:t>
            </w:r>
            <w:r>
              <w:rPr>
                <w:rFonts w:hAnsi="黑体" w:eastAsia="黑体"/>
                <w:sz w:val="24"/>
                <w:szCs w:val="24"/>
              </w:rPr>
              <w:t>mg/m</w:t>
            </w:r>
            <w:r>
              <w:rPr>
                <w:rFonts w:hAnsi="黑体" w:eastAsia="黑体"/>
                <w:sz w:val="24"/>
                <w:szCs w:val="24"/>
                <w:vertAlign w:val="superscript"/>
              </w:rPr>
              <w:t>3</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0"/>
              <w:gridCol w:w="1534"/>
              <w:gridCol w:w="2509"/>
              <w:gridCol w:w="2312"/>
            </w:tblGrid>
            <w:tr w14:paraId="383AB9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7" w:type="pct"/>
                  <w:vMerge w:val="restart"/>
                  <w:vAlign w:val="center"/>
                </w:tcPr>
                <w:p w14:paraId="1EE8A685">
                  <w:pPr>
                    <w:spacing w:line="276" w:lineRule="auto"/>
                    <w:jc w:val="center"/>
                    <w:rPr>
                      <w:b/>
                      <w:bCs/>
                      <w:spacing w:val="-2"/>
                      <w:kern w:val="0"/>
                      <w:szCs w:val="21"/>
                    </w:rPr>
                  </w:pPr>
                  <w:r>
                    <w:rPr>
                      <w:rFonts w:hint="eastAsia"/>
                      <w:b/>
                      <w:bCs/>
                      <w:spacing w:val="-2"/>
                      <w:kern w:val="0"/>
                      <w:szCs w:val="21"/>
                    </w:rPr>
                    <w:t>污染物项目</w:t>
                  </w:r>
                </w:p>
              </w:tc>
              <w:tc>
                <w:tcPr>
                  <w:tcW w:w="2617" w:type="pct"/>
                  <w:gridSpan w:val="2"/>
                  <w:vAlign w:val="center"/>
                </w:tcPr>
                <w:p w14:paraId="592B6AA2">
                  <w:pPr>
                    <w:spacing w:line="276" w:lineRule="auto"/>
                    <w:jc w:val="center"/>
                    <w:rPr>
                      <w:b/>
                      <w:spacing w:val="-2"/>
                      <w:kern w:val="0"/>
                      <w:szCs w:val="21"/>
                    </w:rPr>
                  </w:pPr>
                  <w:r>
                    <w:rPr>
                      <w:rFonts w:hint="eastAsia"/>
                      <w:b/>
                      <w:spacing w:val="-2"/>
                      <w:kern w:val="0"/>
                      <w:szCs w:val="21"/>
                    </w:rPr>
                    <w:t>车间或生产设施排气筒</w:t>
                  </w:r>
                </w:p>
              </w:tc>
              <w:tc>
                <w:tcPr>
                  <w:tcW w:w="1496" w:type="pct"/>
                  <w:vMerge w:val="restart"/>
                </w:tcPr>
                <w:p w14:paraId="7172528A">
                  <w:pPr>
                    <w:spacing w:line="276" w:lineRule="auto"/>
                    <w:jc w:val="center"/>
                    <w:rPr>
                      <w:b/>
                      <w:bCs/>
                      <w:spacing w:val="-2"/>
                      <w:kern w:val="0"/>
                      <w:szCs w:val="21"/>
                    </w:rPr>
                  </w:pPr>
                  <w:r>
                    <w:rPr>
                      <w:rFonts w:hint="eastAsia"/>
                      <w:b/>
                      <w:bCs/>
                      <w:spacing w:val="-2"/>
                      <w:kern w:val="0"/>
                      <w:szCs w:val="21"/>
                    </w:rPr>
                    <w:t>企业边界大气污染物浓度限值</w:t>
                  </w:r>
                </w:p>
              </w:tc>
            </w:tr>
            <w:tr w14:paraId="0A4629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887" w:type="pct"/>
                  <w:vMerge w:val="continue"/>
                  <w:vAlign w:val="center"/>
                </w:tcPr>
                <w:p w14:paraId="1B21AE9E">
                  <w:pPr>
                    <w:spacing w:line="276" w:lineRule="auto"/>
                    <w:jc w:val="center"/>
                    <w:rPr>
                      <w:b/>
                      <w:bCs/>
                      <w:spacing w:val="-2"/>
                      <w:kern w:val="0"/>
                      <w:szCs w:val="21"/>
                    </w:rPr>
                  </w:pPr>
                </w:p>
              </w:tc>
              <w:tc>
                <w:tcPr>
                  <w:tcW w:w="993" w:type="pct"/>
                  <w:vAlign w:val="center"/>
                </w:tcPr>
                <w:p w14:paraId="55012D6A">
                  <w:pPr>
                    <w:spacing w:line="276" w:lineRule="auto"/>
                    <w:jc w:val="center"/>
                    <w:rPr>
                      <w:b/>
                      <w:bCs/>
                      <w:spacing w:val="-2"/>
                      <w:kern w:val="0"/>
                      <w:szCs w:val="21"/>
                    </w:rPr>
                  </w:pPr>
                  <w:r>
                    <w:rPr>
                      <w:rFonts w:hint="eastAsia"/>
                      <w:b/>
                      <w:bCs/>
                      <w:spacing w:val="-2"/>
                      <w:kern w:val="0"/>
                      <w:szCs w:val="21"/>
                    </w:rPr>
                    <w:t>特别排放限值</w:t>
                  </w:r>
                </w:p>
              </w:tc>
              <w:tc>
                <w:tcPr>
                  <w:tcW w:w="1624" w:type="pct"/>
                  <w:vAlign w:val="center"/>
                </w:tcPr>
                <w:p w14:paraId="14EC10E0">
                  <w:pPr>
                    <w:spacing w:line="276" w:lineRule="auto"/>
                    <w:jc w:val="center"/>
                    <w:rPr>
                      <w:b/>
                      <w:bCs/>
                      <w:spacing w:val="-2"/>
                      <w:kern w:val="0"/>
                      <w:szCs w:val="21"/>
                    </w:rPr>
                  </w:pPr>
                  <w:r>
                    <w:rPr>
                      <w:rFonts w:hint="eastAsia"/>
                      <w:b/>
                      <w:bCs/>
                      <w:spacing w:val="-2"/>
                      <w:kern w:val="0"/>
                      <w:szCs w:val="21"/>
                    </w:rPr>
                    <w:t>适用的合成树脂类型</w:t>
                  </w:r>
                </w:p>
              </w:tc>
              <w:tc>
                <w:tcPr>
                  <w:tcW w:w="1496" w:type="pct"/>
                  <w:vMerge w:val="continue"/>
                </w:tcPr>
                <w:p w14:paraId="0E25AFE0">
                  <w:pPr>
                    <w:spacing w:line="276" w:lineRule="auto"/>
                    <w:jc w:val="center"/>
                    <w:rPr>
                      <w:b/>
                      <w:bCs/>
                      <w:spacing w:val="-2"/>
                      <w:kern w:val="0"/>
                      <w:szCs w:val="21"/>
                    </w:rPr>
                  </w:pPr>
                </w:p>
              </w:tc>
            </w:tr>
            <w:tr w14:paraId="2D1F6D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887" w:type="pct"/>
                  <w:vAlign w:val="center"/>
                </w:tcPr>
                <w:p w14:paraId="187506DE">
                  <w:pPr>
                    <w:spacing w:line="276" w:lineRule="auto"/>
                    <w:jc w:val="center"/>
                    <w:rPr>
                      <w:bCs/>
                      <w:spacing w:val="-2"/>
                      <w:kern w:val="0"/>
                      <w:szCs w:val="21"/>
                    </w:rPr>
                  </w:pPr>
                  <w:r>
                    <w:rPr>
                      <w:rFonts w:hint="eastAsia"/>
                      <w:bCs/>
                      <w:spacing w:val="-2"/>
                      <w:kern w:val="0"/>
                      <w:szCs w:val="21"/>
                    </w:rPr>
                    <w:t>非甲烷总烃</w:t>
                  </w:r>
                </w:p>
              </w:tc>
              <w:tc>
                <w:tcPr>
                  <w:tcW w:w="993" w:type="pct"/>
                  <w:vAlign w:val="center"/>
                </w:tcPr>
                <w:p w14:paraId="761B3451">
                  <w:pPr>
                    <w:spacing w:line="276" w:lineRule="auto"/>
                    <w:jc w:val="center"/>
                    <w:rPr>
                      <w:bCs/>
                      <w:spacing w:val="-2"/>
                      <w:kern w:val="0"/>
                      <w:szCs w:val="21"/>
                    </w:rPr>
                  </w:pPr>
                  <w:r>
                    <w:rPr>
                      <w:bCs/>
                      <w:spacing w:val="-2"/>
                      <w:kern w:val="0"/>
                      <w:szCs w:val="21"/>
                    </w:rPr>
                    <w:t>60</w:t>
                  </w:r>
                </w:p>
              </w:tc>
              <w:tc>
                <w:tcPr>
                  <w:tcW w:w="1624" w:type="pct"/>
                  <w:vAlign w:val="center"/>
                </w:tcPr>
                <w:p w14:paraId="0CE3A69D">
                  <w:pPr>
                    <w:spacing w:line="276" w:lineRule="auto"/>
                    <w:jc w:val="center"/>
                    <w:rPr>
                      <w:bCs/>
                      <w:spacing w:val="-2"/>
                      <w:kern w:val="0"/>
                      <w:szCs w:val="21"/>
                    </w:rPr>
                  </w:pPr>
                  <w:r>
                    <w:rPr>
                      <w:rFonts w:hint="eastAsia"/>
                      <w:bCs/>
                      <w:spacing w:val="-2"/>
                      <w:kern w:val="0"/>
                      <w:szCs w:val="21"/>
                    </w:rPr>
                    <w:t>所有合成树脂</w:t>
                  </w:r>
                </w:p>
              </w:tc>
              <w:tc>
                <w:tcPr>
                  <w:tcW w:w="1496" w:type="pct"/>
                </w:tcPr>
                <w:p w14:paraId="4F0DF27A">
                  <w:pPr>
                    <w:spacing w:line="276" w:lineRule="auto"/>
                    <w:jc w:val="center"/>
                    <w:rPr>
                      <w:bCs/>
                      <w:spacing w:val="-2"/>
                      <w:kern w:val="0"/>
                      <w:szCs w:val="21"/>
                    </w:rPr>
                  </w:pPr>
                  <w:r>
                    <w:rPr>
                      <w:rFonts w:hint="eastAsia"/>
                      <w:bCs/>
                      <w:spacing w:val="-2"/>
                      <w:kern w:val="0"/>
                      <w:szCs w:val="21"/>
                    </w:rPr>
                    <w:t>4</w:t>
                  </w:r>
                  <w:r>
                    <w:rPr>
                      <w:bCs/>
                      <w:spacing w:val="-2"/>
                      <w:kern w:val="0"/>
                      <w:szCs w:val="21"/>
                    </w:rPr>
                    <w:t>.0</w:t>
                  </w:r>
                </w:p>
              </w:tc>
            </w:tr>
          </w:tbl>
          <w:p w14:paraId="1DA54E55">
            <w:pPr>
              <w:autoSpaceDE w:val="0"/>
              <w:autoSpaceDN w:val="0"/>
              <w:adjustRightInd w:val="0"/>
              <w:snapToGrid w:val="0"/>
              <w:spacing w:line="276" w:lineRule="auto"/>
              <w:jc w:val="center"/>
              <w:rPr>
                <w:rFonts w:hAnsi="黑体" w:eastAsia="黑体"/>
                <w:bCs/>
                <w:spacing w:val="-2"/>
                <w:kern w:val="0"/>
                <w:szCs w:val="21"/>
              </w:rPr>
            </w:pPr>
            <w:r>
              <w:rPr>
                <w:rFonts w:hint="eastAsia" w:hAnsi="黑体" w:eastAsia="黑体"/>
                <w:sz w:val="24"/>
                <w:szCs w:val="24"/>
              </w:rPr>
              <w:t>表29</w:t>
            </w:r>
            <w:r>
              <w:rPr>
                <w:rFonts w:hAnsi="黑体" w:eastAsia="黑体"/>
                <w:sz w:val="24"/>
                <w:szCs w:val="24"/>
              </w:rPr>
              <w:t xml:space="preserve">  </w:t>
            </w:r>
            <w:r>
              <w:rPr>
                <w:rFonts w:hint="eastAsia" w:hAnsi="黑体" w:eastAsia="黑体"/>
                <w:sz w:val="24"/>
                <w:szCs w:val="24"/>
              </w:rPr>
              <w:t>厂区内</w:t>
            </w:r>
            <w:r>
              <w:rPr>
                <w:rFonts w:hAnsi="黑体" w:eastAsia="黑体"/>
                <w:sz w:val="24"/>
                <w:szCs w:val="24"/>
              </w:rPr>
              <w:t>VOCs</w:t>
            </w:r>
            <w:r>
              <w:rPr>
                <w:rFonts w:hint="eastAsia" w:hAnsi="黑体" w:eastAsia="黑体"/>
                <w:sz w:val="24"/>
                <w:szCs w:val="24"/>
              </w:rPr>
              <w:t>无组织排放监控要求  单位：</w:t>
            </w:r>
            <w:r>
              <w:rPr>
                <w:rFonts w:hAnsi="黑体" w:eastAsia="黑体"/>
                <w:sz w:val="24"/>
                <w:szCs w:val="24"/>
              </w:rPr>
              <w:t>mg/m</w:t>
            </w:r>
            <w:r>
              <w:rPr>
                <w:rFonts w:hAnsi="黑体" w:eastAsia="黑体"/>
                <w:sz w:val="24"/>
                <w:szCs w:val="24"/>
                <w:vertAlign w:val="superscript"/>
              </w:rPr>
              <w:t>3</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1534"/>
              <w:gridCol w:w="2511"/>
              <w:gridCol w:w="2313"/>
            </w:tblGrid>
            <w:tr w14:paraId="03D99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5" w:type="pct"/>
                  <w:tcBorders>
                    <w:top w:val="single" w:color="auto" w:sz="12" w:space="0"/>
                    <w:left w:val="nil"/>
                    <w:bottom w:val="single" w:color="auto" w:sz="4" w:space="0"/>
                    <w:right w:val="single" w:color="auto" w:sz="4" w:space="0"/>
                  </w:tcBorders>
                  <w:vAlign w:val="center"/>
                </w:tcPr>
                <w:p w14:paraId="3A2DDA06">
                  <w:pPr>
                    <w:spacing w:line="276" w:lineRule="auto"/>
                    <w:jc w:val="center"/>
                    <w:rPr>
                      <w:b/>
                      <w:bCs/>
                      <w:spacing w:val="-2"/>
                      <w:kern w:val="0"/>
                      <w:szCs w:val="21"/>
                    </w:rPr>
                  </w:pPr>
                  <w:r>
                    <w:rPr>
                      <w:rFonts w:hint="eastAsia"/>
                      <w:b/>
                      <w:bCs/>
                      <w:spacing w:val="-2"/>
                      <w:kern w:val="0"/>
                      <w:szCs w:val="21"/>
                    </w:rPr>
                    <w:t>污染物项目</w:t>
                  </w:r>
                </w:p>
              </w:tc>
              <w:tc>
                <w:tcPr>
                  <w:tcW w:w="993" w:type="pct"/>
                  <w:tcBorders>
                    <w:top w:val="single" w:color="auto" w:sz="12" w:space="0"/>
                    <w:left w:val="single" w:color="auto" w:sz="4" w:space="0"/>
                    <w:bottom w:val="single" w:color="auto" w:sz="4" w:space="0"/>
                    <w:right w:val="single" w:color="auto" w:sz="4" w:space="0"/>
                  </w:tcBorders>
                  <w:vAlign w:val="center"/>
                </w:tcPr>
                <w:p w14:paraId="58568AEC">
                  <w:pPr>
                    <w:spacing w:line="276" w:lineRule="auto"/>
                    <w:jc w:val="center"/>
                    <w:rPr>
                      <w:b/>
                      <w:bCs/>
                      <w:spacing w:val="-2"/>
                      <w:kern w:val="0"/>
                      <w:szCs w:val="21"/>
                    </w:rPr>
                  </w:pPr>
                  <w:r>
                    <w:rPr>
                      <w:rFonts w:hint="eastAsia"/>
                      <w:b/>
                      <w:bCs/>
                      <w:spacing w:val="-2"/>
                      <w:kern w:val="0"/>
                      <w:szCs w:val="21"/>
                    </w:rPr>
                    <w:t>特别排放限值</w:t>
                  </w:r>
                </w:p>
              </w:tc>
              <w:tc>
                <w:tcPr>
                  <w:tcW w:w="1625" w:type="pct"/>
                  <w:tcBorders>
                    <w:top w:val="single" w:color="auto" w:sz="12" w:space="0"/>
                    <w:left w:val="single" w:color="auto" w:sz="4" w:space="0"/>
                    <w:bottom w:val="single" w:color="auto" w:sz="4" w:space="0"/>
                    <w:right w:val="single" w:color="auto" w:sz="4" w:space="0"/>
                  </w:tcBorders>
                  <w:vAlign w:val="center"/>
                </w:tcPr>
                <w:p w14:paraId="44D252E3">
                  <w:pPr>
                    <w:spacing w:line="276" w:lineRule="auto"/>
                    <w:jc w:val="center"/>
                    <w:rPr>
                      <w:b/>
                      <w:bCs/>
                      <w:spacing w:val="-2"/>
                      <w:kern w:val="0"/>
                      <w:szCs w:val="21"/>
                    </w:rPr>
                  </w:pPr>
                  <w:r>
                    <w:rPr>
                      <w:rFonts w:hint="eastAsia"/>
                      <w:b/>
                      <w:bCs/>
                      <w:spacing w:val="-2"/>
                      <w:kern w:val="0"/>
                      <w:szCs w:val="21"/>
                    </w:rPr>
                    <w:t>限值含义</w:t>
                  </w:r>
                </w:p>
              </w:tc>
              <w:tc>
                <w:tcPr>
                  <w:tcW w:w="1497" w:type="pct"/>
                  <w:tcBorders>
                    <w:top w:val="single" w:color="auto" w:sz="12" w:space="0"/>
                    <w:left w:val="single" w:color="auto" w:sz="4" w:space="0"/>
                    <w:bottom w:val="single" w:color="auto" w:sz="4" w:space="0"/>
                    <w:right w:val="nil"/>
                  </w:tcBorders>
                  <w:vAlign w:val="center"/>
                </w:tcPr>
                <w:p w14:paraId="7A71E659">
                  <w:pPr>
                    <w:spacing w:line="276" w:lineRule="auto"/>
                    <w:jc w:val="center"/>
                    <w:rPr>
                      <w:b/>
                      <w:bCs/>
                      <w:spacing w:val="-2"/>
                      <w:kern w:val="0"/>
                      <w:szCs w:val="21"/>
                    </w:rPr>
                  </w:pPr>
                  <w:r>
                    <w:rPr>
                      <w:rFonts w:hint="eastAsia"/>
                      <w:b/>
                      <w:bCs/>
                      <w:spacing w:val="-2"/>
                      <w:kern w:val="0"/>
                      <w:szCs w:val="21"/>
                    </w:rPr>
                    <w:t>无组织排放监控位置</w:t>
                  </w:r>
                </w:p>
              </w:tc>
            </w:tr>
            <w:tr w14:paraId="0CBA3F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885" w:type="pct"/>
                  <w:vMerge w:val="restart"/>
                  <w:tcBorders>
                    <w:top w:val="single" w:color="auto" w:sz="4" w:space="0"/>
                    <w:left w:val="nil"/>
                    <w:bottom w:val="single" w:color="auto" w:sz="12" w:space="0"/>
                    <w:right w:val="single" w:color="auto" w:sz="4" w:space="0"/>
                  </w:tcBorders>
                  <w:vAlign w:val="center"/>
                </w:tcPr>
                <w:p w14:paraId="5612FA0F">
                  <w:pPr>
                    <w:spacing w:line="276" w:lineRule="auto"/>
                    <w:jc w:val="center"/>
                    <w:rPr>
                      <w:bCs/>
                      <w:spacing w:val="-2"/>
                      <w:kern w:val="0"/>
                      <w:szCs w:val="21"/>
                    </w:rPr>
                  </w:pPr>
                  <w:r>
                    <w:rPr>
                      <w:bCs/>
                      <w:spacing w:val="-2"/>
                      <w:kern w:val="0"/>
                      <w:szCs w:val="21"/>
                    </w:rPr>
                    <w:t>NMHC</w:t>
                  </w:r>
                </w:p>
              </w:tc>
              <w:tc>
                <w:tcPr>
                  <w:tcW w:w="993" w:type="pct"/>
                  <w:tcBorders>
                    <w:top w:val="single" w:color="auto" w:sz="4" w:space="0"/>
                    <w:left w:val="single" w:color="auto" w:sz="4" w:space="0"/>
                    <w:bottom w:val="single" w:color="auto" w:sz="4" w:space="0"/>
                    <w:right w:val="single" w:color="auto" w:sz="4" w:space="0"/>
                  </w:tcBorders>
                  <w:vAlign w:val="center"/>
                </w:tcPr>
                <w:p w14:paraId="62FD31B9">
                  <w:pPr>
                    <w:spacing w:line="276" w:lineRule="auto"/>
                    <w:jc w:val="center"/>
                    <w:rPr>
                      <w:bCs/>
                      <w:spacing w:val="-2"/>
                      <w:kern w:val="0"/>
                      <w:szCs w:val="21"/>
                    </w:rPr>
                  </w:pPr>
                  <w:r>
                    <w:rPr>
                      <w:bCs/>
                      <w:spacing w:val="-2"/>
                      <w:kern w:val="0"/>
                      <w:szCs w:val="21"/>
                    </w:rPr>
                    <w:t>6</w:t>
                  </w:r>
                </w:p>
              </w:tc>
              <w:tc>
                <w:tcPr>
                  <w:tcW w:w="1625" w:type="pct"/>
                  <w:tcBorders>
                    <w:top w:val="single" w:color="auto" w:sz="4" w:space="0"/>
                    <w:left w:val="single" w:color="auto" w:sz="4" w:space="0"/>
                    <w:bottom w:val="single" w:color="auto" w:sz="4" w:space="0"/>
                    <w:right w:val="single" w:color="auto" w:sz="4" w:space="0"/>
                  </w:tcBorders>
                  <w:vAlign w:val="center"/>
                </w:tcPr>
                <w:p w14:paraId="465BE297">
                  <w:pPr>
                    <w:spacing w:line="276" w:lineRule="auto"/>
                    <w:jc w:val="center"/>
                    <w:rPr>
                      <w:bCs/>
                      <w:spacing w:val="-2"/>
                      <w:kern w:val="0"/>
                      <w:szCs w:val="21"/>
                    </w:rPr>
                  </w:pPr>
                  <w:r>
                    <w:rPr>
                      <w:rFonts w:hint="eastAsia"/>
                      <w:bCs/>
                      <w:spacing w:val="-2"/>
                      <w:kern w:val="0"/>
                      <w:szCs w:val="21"/>
                    </w:rPr>
                    <w:t>监控点处</w:t>
                  </w:r>
                  <w:r>
                    <w:rPr>
                      <w:bCs/>
                      <w:spacing w:val="-2"/>
                      <w:kern w:val="0"/>
                      <w:szCs w:val="21"/>
                    </w:rPr>
                    <w:t>1h</w:t>
                  </w:r>
                  <w:r>
                    <w:rPr>
                      <w:rFonts w:hint="eastAsia"/>
                      <w:bCs/>
                      <w:spacing w:val="-2"/>
                      <w:kern w:val="0"/>
                      <w:szCs w:val="21"/>
                    </w:rPr>
                    <w:t>平均浓度值</w:t>
                  </w:r>
                </w:p>
              </w:tc>
              <w:tc>
                <w:tcPr>
                  <w:tcW w:w="1497" w:type="pct"/>
                  <w:vMerge w:val="restart"/>
                  <w:tcBorders>
                    <w:top w:val="single" w:color="auto" w:sz="4" w:space="0"/>
                    <w:left w:val="single" w:color="auto" w:sz="4" w:space="0"/>
                    <w:bottom w:val="single" w:color="auto" w:sz="12" w:space="0"/>
                    <w:right w:val="nil"/>
                  </w:tcBorders>
                  <w:vAlign w:val="center"/>
                </w:tcPr>
                <w:p w14:paraId="5B39D125">
                  <w:pPr>
                    <w:spacing w:line="276" w:lineRule="auto"/>
                    <w:jc w:val="center"/>
                    <w:rPr>
                      <w:bCs/>
                      <w:spacing w:val="-2"/>
                      <w:kern w:val="0"/>
                      <w:szCs w:val="21"/>
                    </w:rPr>
                  </w:pPr>
                  <w:r>
                    <w:rPr>
                      <w:rFonts w:hint="eastAsia"/>
                      <w:bCs/>
                      <w:spacing w:val="-2"/>
                      <w:kern w:val="0"/>
                      <w:szCs w:val="21"/>
                    </w:rPr>
                    <w:t>在厂房门窗或其他通风口设置监控点</w:t>
                  </w:r>
                </w:p>
              </w:tc>
            </w:tr>
            <w:tr w14:paraId="0304B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nil"/>
                    <w:bottom w:val="single" w:color="auto" w:sz="12" w:space="0"/>
                    <w:right w:val="single" w:color="auto" w:sz="4" w:space="0"/>
                  </w:tcBorders>
                  <w:vAlign w:val="center"/>
                </w:tcPr>
                <w:p w14:paraId="58A07A67">
                  <w:pPr>
                    <w:widowControl/>
                    <w:spacing w:line="276" w:lineRule="auto"/>
                    <w:jc w:val="left"/>
                    <w:rPr>
                      <w:bCs/>
                      <w:spacing w:val="-2"/>
                      <w:kern w:val="0"/>
                      <w:szCs w:val="21"/>
                    </w:rPr>
                  </w:pPr>
                </w:p>
              </w:tc>
              <w:tc>
                <w:tcPr>
                  <w:tcW w:w="993" w:type="pct"/>
                  <w:tcBorders>
                    <w:top w:val="single" w:color="auto" w:sz="4" w:space="0"/>
                    <w:left w:val="single" w:color="auto" w:sz="4" w:space="0"/>
                    <w:bottom w:val="single" w:color="auto" w:sz="12" w:space="0"/>
                    <w:right w:val="single" w:color="auto" w:sz="4" w:space="0"/>
                  </w:tcBorders>
                  <w:vAlign w:val="center"/>
                </w:tcPr>
                <w:p w14:paraId="3CBA7EA4">
                  <w:pPr>
                    <w:spacing w:line="276" w:lineRule="auto"/>
                    <w:jc w:val="center"/>
                    <w:rPr>
                      <w:bCs/>
                      <w:spacing w:val="-2"/>
                      <w:kern w:val="0"/>
                      <w:szCs w:val="21"/>
                    </w:rPr>
                  </w:pPr>
                  <w:r>
                    <w:rPr>
                      <w:bCs/>
                      <w:spacing w:val="-2"/>
                      <w:kern w:val="0"/>
                      <w:szCs w:val="21"/>
                    </w:rPr>
                    <w:t>20</w:t>
                  </w:r>
                </w:p>
              </w:tc>
              <w:tc>
                <w:tcPr>
                  <w:tcW w:w="1625" w:type="pct"/>
                  <w:tcBorders>
                    <w:top w:val="single" w:color="auto" w:sz="4" w:space="0"/>
                    <w:left w:val="single" w:color="auto" w:sz="4" w:space="0"/>
                    <w:bottom w:val="single" w:color="auto" w:sz="12" w:space="0"/>
                    <w:right w:val="single" w:color="auto" w:sz="4" w:space="0"/>
                  </w:tcBorders>
                  <w:vAlign w:val="center"/>
                </w:tcPr>
                <w:p w14:paraId="25BC69D9">
                  <w:pPr>
                    <w:spacing w:line="276" w:lineRule="auto"/>
                    <w:jc w:val="center"/>
                    <w:rPr>
                      <w:bCs/>
                      <w:spacing w:val="-2"/>
                      <w:kern w:val="0"/>
                      <w:szCs w:val="21"/>
                    </w:rPr>
                  </w:pPr>
                  <w:r>
                    <w:rPr>
                      <w:rFonts w:hint="eastAsia"/>
                      <w:bCs/>
                      <w:spacing w:val="-2"/>
                      <w:kern w:val="0"/>
                      <w:szCs w:val="21"/>
                    </w:rPr>
                    <w:t>监控点处任意一次浓度值</w:t>
                  </w:r>
                </w:p>
              </w:tc>
              <w:tc>
                <w:tcPr>
                  <w:tcW w:w="0" w:type="auto"/>
                  <w:vMerge w:val="continue"/>
                  <w:tcBorders>
                    <w:top w:val="single" w:color="auto" w:sz="4" w:space="0"/>
                    <w:left w:val="single" w:color="auto" w:sz="4" w:space="0"/>
                    <w:bottom w:val="single" w:color="auto" w:sz="12" w:space="0"/>
                    <w:right w:val="nil"/>
                  </w:tcBorders>
                  <w:vAlign w:val="center"/>
                </w:tcPr>
                <w:p w14:paraId="00634E78">
                  <w:pPr>
                    <w:widowControl/>
                    <w:spacing w:line="276" w:lineRule="auto"/>
                    <w:jc w:val="left"/>
                    <w:rPr>
                      <w:bCs/>
                      <w:spacing w:val="-2"/>
                      <w:kern w:val="0"/>
                      <w:szCs w:val="21"/>
                    </w:rPr>
                  </w:pPr>
                </w:p>
              </w:tc>
            </w:tr>
          </w:tbl>
          <w:p w14:paraId="030E95FA">
            <w:pPr>
              <w:spacing w:line="360" w:lineRule="auto"/>
              <w:ind w:firstLine="482" w:firstLineChars="200"/>
              <w:rPr>
                <w:b/>
                <w:sz w:val="24"/>
                <w:szCs w:val="24"/>
              </w:rPr>
            </w:pPr>
            <w:r>
              <w:rPr>
                <w:rFonts w:hint="eastAsia"/>
                <w:b/>
                <w:sz w:val="24"/>
                <w:szCs w:val="24"/>
              </w:rPr>
              <w:t>2、水污染物</w:t>
            </w:r>
          </w:p>
          <w:p w14:paraId="22267A39">
            <w:pPr>
              <w:widowControl/>
              <w:spacing w:line="360" w:lineRule="auto"/>
              <w:ind w:firstLine="476" w:firstLineChars="200"/>
              <w:rPr>
                <w:rFonts w:hAnsi="宋体"/>
                <w:bCs/>
                <w:spacing w:val="-1"/>
                <w:kern w:val="0"/>
                <w:sz w:val="24"/>
                <w:szCs w:val="24"/>
              </w:rPr>
            </w:pPr>
            <w:r>
              <w:rPr>
                <w:rFonts w:hint="eastAsia" w:hAnsi="宋体"/>
                <w:bCs/>
                <w:spacing w:val="-1"/>
                <w:kern w:val="0"/>
                <w:sz w:val="24"/>
                <w:szCs w:val="24"/>
              </w:rPr>
              <w:t>项目运营期外排废水主要为生活污水，生活污水依托厂区化粪池预处理后排入市政污水管网，再纳入毛集实验区污水处理厂进行处理。毛集实验区污水处理厂现处于改造提升阶段，改扩建完成后设计进水水质有所变化。本项目生活污水纳管执行改造后毛集实验区污水处理厂允许接管限值；毛集实验区污水处理厂尾水排放执行《城镇污水处理厂污染物排放标准》（GB18918-2002）中一级A标准，最终排入丁家沟。项目废水排放标准见下表。</w:t>
            </w:r>
          </w:p>
          <w:p w14:paraId="636B991A">
            <w:pPr>
              <w:autoSpaceDE w:val="0"/>
              <w:autoSpaceDN w:val="0"/>
              <w:adjustRightInd w:val="0"/>
              <w:snapToGrid w:val="0"/>
              <w:jc w:val="center"/>
              <w:rPr>
                <w:rFonts w:eastAsia="黑体"/>
                <w:bCs/>
                <w:kern w:val="0"/>
                <w:szCs w:val="21"/>
              </w:rPr>
            </w:pPr>
            <w:r>
              <w:rPr>
                <w:rFonts w:hint="eastAsia" w:hAnsi="黑体" w:eastAsia="黑体"/>
                <w:sz w:val="24"/>
                <w:szCs w:val="24"/>
              </w:rPr>
              <w:t>表30</w:t>
            </w:r>
            <w:r>
              <w:rPr>
                <w:rFonts w:hAnsi="黑体" w:eastAsia="黑体"/>
                <w:sz w:val="24"/>
                <w:szCs w:val="24"/>
              </w:rPr>
              <w:t xml:space="preserve">  </w:t>
            </w:r>
            <w:r>
              <w:rPr>
                <w:rFonts w:hint="eastAsia" w:hAnsi="黑体" w:eastAsia="黑体"/>
                <w:sz w:val="24"/>
                <w:szCs w:val="24"/>
              </w:rPr>
              <w:t>废水污染物排放标准</w:t>
            </w:r>
            <w:r>
              <w:rPr>
                <w:rFonts w:hAnsi="黑体" w:eastAsia="黑体"/>
                <w:sz w:val="24"/>
                <w:szCs w:val="24"/>
              </w:rPr>
              <w:t xml:space="preserve">  </w:t>
            </w:r>
            <w:r>
              <w:rPr>
                <w:rFonts w:hint="eastAsia" w:hAnsi="黑体" w:eastAsia="黑体"/>
                <w:sz w:val="24"/>
                <w:szCs w:val="24"/>
              </w:rPr>
              <w:t>单位：</w:t>
            </w:r>
            <w:r>
              <w:rPr>
                <w:rFonts w:hAnsi="黑体" w:eastAsia="黑体"/>
                <w:sz w:val="24"/>
                <w:szCs w:val="24"/>
              </w:rPr>
              <w:t>mg/L</w:t>
            </w:r>
            <w:r>
              <w:rPr>
                <w:rFonts w:hint="eastAsia" w:hAnsi="黑体" w:eastAsia="黑体"/>
                <w:sz w:val="24"/>
                <w:szCs w:val="24"/>
              </w:rPr>
              <w:t>，</w:t>
            </w:r>
            <w:r>
              <w:rPr>
                <w:rFonts w:hAnsi="黑体" w:eastAsia="黑体"/>
                <w:sz w:val="24"/>
                <w:szCs w:val="24"/>
              </w:rPr>
              <w:t>pH</w:t>
            </w:r>
            <w:r>
              <w:rPr>
                <w:rFonts w:hint="eastAsia" w:hAnsi="黑体" w:eastAsia="黑体"/>
                <w:sz w:val="24"/>
                <w:szCs w:val="24"/>
              </w:rPr>
              <w:t>无量纲</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009"/>
              <w:gridCol w:w="1781"/>
              <w:gridCol w:w="1321"/>
              <w:gridCol w:w="3086"/>
            </w:tblGrid>
            <w:tr w14:paraId="293DE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42" w:type="pct"/>
                  <w:tcBorders>
                    <w:top w:val="single" w:color="auto" w:sz="12" w:space="0"/>
                    <w:left w:val="nil"/>
                    <w:bottom w:val="single" w:color="auto" w:sz="4" w:space="0"/>
                    <w:right w:val="single" w:color="auto" w:sz="4" w:space="0"/>
                  </w:tcBorders>
                  <w:vAlign w:val="center"/>
                </w:tcPr>
                <w:p w14:paraId="7E5F32EA">
                  <w:pPr>
                    <w:widowControl/>
                    <w:spacing w:line="276" w:lineRule="auto"/>
                    <w:jc w:val="center"/>
                    <w:rPr>
                      <w:b/>
                      <w:bCs/>
                      <w:kern w:val="0"/>
                      <w:szCs w:val="21"/>
                    </w:rPr>
                  </w:pPr>
                  <w:r>
                    <w:rPr>
                      <w:rFonts w:hint="eastAsia"/>
                      <w:b/>
                      <w:bCs/>
                      <w:kern w:val="0"/>
                      <w:szCs w:val="21"/>
                    </w:rPr>
                    <w:t>序号</w:t>
                  </w:r>
                </w:p>
              </w:tc>
              <w:tc>
                <w:tcPr>
                  <w:tcW w:w="653" w:type="pct"/>
                  <w:tcBorders>
                    <w:top w:val="single" w:color="auto" w:sz="12" w:space="0"/>
                    <w:left w:val="single" w:color="auto" w:sz="4" w:space="0"/>
                    <w:bottom w:val="single" w:color="auto" w:sz="4" w:space="0"/>
                    <w:right w:val="single" w:color="auto" w:sz="4" w:space="0"/>
                  </w:tcBorders>
                  <w:vAlign w:val="center"/>
                </w:tcPr>
                <w:p w14:paraId="69F12799">
                  <w:pPr>
                    <w:widowControl/>
                    <w:spacing w:line="276" w:lineRule="auto"/>
                    <w:jc w:val="center"/>
                    <w:rPr>
                      <w:b/>
                      <w:bCs/>
                      <w:kern w:val="0"/>
                      <w:szCs w:val="21"/>
                    </w:rPr>
                  </w:pPr>
                  <w:r>
                    <w:rPr>
                      <w:rFonts w:hint="eastAsia"/>
                      <w:b/>
                      <w:bCs/>
                      <w:kern w:val="0"/>
                      <w:szCs w:val="21"/>
                    </w:rPr>
                    <w:t>污染物项目</w:t>
                  </w:r>
                </w:p>
              </w:tc>
              <w:tc>
                <w:tcPr>
                  <w:tcW w:w="1153" w:type="pct"/>
                  <w:tcBorders>
                    <w:top w:val="single" w:color="auto" w:sz="12" w:space="0"/>
                    <w:left w:val="single" w:color="auto" w:sz="4" w:space="0"/>
                    <w:bottom w:val="single" w:color="auto" w:sz="4" w:space="0"/>
                    <w:right w:val="single" w:color="auto" w:sz="4" w:space="0"/>
                  </w:tcBorders>
                  <w:vAlign w:val="center"/>
                </w:tcPr>
                <w:p w14:paraId="31D8961A">
                  <w:pPr>
                    <w:widowControl/>
                    <w:spacing w:line="276" w:lineRule="auto"/>
                    <w:jc w:val="center"/>
                    <w:rPr>
                      <w:b/>
                      <w:bCs/>
                      <w:kern w:val="0"/>
                      <w:szCs w:val="21"/>
                    </w:rPr>
                  </w:pPr>
                  <w:r>
                    <w:rPr>
                      <w:rFonts w:hint="eastAsia"/>
                      <w:b/>
                      <w:bCs/>
                      <w:kern w:val="0"/>
                      <w:szCs w:val="21"/>
                    </w:rPr>
                    <w:t>毛集实验区污水处理厂改造后接管限值</w:t>
                  </w:r>
                </w:p>
              </w:tc>
              <w:tc>
                <w:tcPr>
                  <w:tcW w:w="855" w:type="pct"/>
                  <w:tcBorders>
                    <w:top w:val="single" w:color="auto" w:sz="12" w:space="0"/>
                    <w:left w:val="single" w:color="auto" w:sz="4" w:space="0"/>
                    <w:bottom w:val="single" w:color="auto" w:sz="4" w:space="0"/>
                    <w:right w:val="single" w:color="auto" w:sz="4" w:space="0"/>
                  </w:tcBorders>
                  <w:vAlign w:val="center"/>
                </w:tcPr>
                <w:p w14:paraId="246370B6">
                  <w:pPr>
                    <w:widowControl/>
                    <w:spacing w:line="276" w:lineRule="auto"/>
                    <w:jc w:val="center"/>
                    <w:rPr>
                      <w:b/>
                      <w:bCs/>
                      <w:kern w:val="0"/>
                      <w:szCs w:val="21"/>
                    </w:rPr>
                  </w:pPr>
                  <w:r>
                    <w:rPr>
                      <w:rFonts w:hint="eastAsia"/>
                      <w:b/>
                      <w:bCs/>
                      <w:kern w:val="0"/>
                      <w:szCs w:val="21"/>
                    </w:rPr>
                    <w:t>本项目执行标准</w:t>
                  </w:r>
                </w:p>
              </w:tc>
              <w:tc>
                <w:tcPr>
                  <w:tcW w:w="1997" w:type="pct"/>
                  <w:tcBorders>
                    <w:top w:val="single" w:color="auto" w:sz="12" w:space="0"/>
                    <w:left w:val="single" w:color="auto" w:sz="4" w:space="0"/>
                    <w:bottom w:val="single" w:color="auto" w:sz="4" w:space="0"/>
                    <w:right w:val="nil"/>
                  </w:tcBorders>
                  <w:vAlign w:val="center"/>
                </w:tcPr>
                <w:p w14:paraId="560E6EDC">
                  <w:pPr>
                    <w:widowControl/>
                    <w:spacing w:line="276" w:lineRule="auto"/>
                    <w:jc w:val="center"/>
                    <w:rPr>
                      <w:b/>
                      <w:szCs w:val="21"/>
                    </w:rPr>
                  </w:pPr>
                  <w:r>
                    <w:rPr>
                      <w:rFonts w:hint="eastAsia"/>
                      <w:b/>
                      <w:bCs/>
                      <w:kern w:val="0"/>
                      <w:szCs w:val="21"/>
                    </w:rPr>
                    <w:t>毛集实验区污水处理厂</w:t>
                  </w:r>
                  <w:r>
                    <w:rPr>
                      <w:rFonts w:hint="eastAsia"/>
                      <w:b/>
                      <w:szCs w:val="21"/>
                    </w:rPr>
                    <w:t>排放标准</w:t>
                  </w:r>
                </w:p>
                <w:p w14:paraId="0443643A">
                  <w:pPr>
                    <w:widowControl/>
                    <w:spacing w:line="276" w:lineRule="auto"/>
                    <w:jc w:val="center"/>
                    <w:rPr>
                      <w:b/>
                      <w:bCs/>
                      <w:kern w:val="0"/>
                      <w:szCs w:val="21"/>
                    </w:rPr>
                  </w:pPr>
                  <w:r>
                    <w:rPr>
                      <w:rFonts w:hint="eastAsia"/>
                      <w:b/>
                      <w:szCs w:val="21"/>
                    </w:rPr>
                    <w:t>（《城镇污水处理厂污染物排放标准》</w:t>
                  </w:r>
                  <w:r>
                    <w:rPr>
                      <w:b/>
                      <w:szCs w:val="21"/>
                    </w:rPr>
                    <w:t>(GB18918-2002)</w:t>
                  </w:r>
                  <w:r>
                    <w:rPr>
                      <w:rFonts w:hint="eastAsia"/>
                      <w:b/>
                      <w:szCs w:val="21"/>
                    </w:rPr>
                    <w:t>一级</w:t>
                  </w:r>
                  <w:r>
                    <w:rPr>
                      <w:b/>
                      <w:szCs w:val="21"/>
                    </w:rPr>
                    <w:t>A</w:t>
                  </w:r>
                  <w:r>
                    <w:rPr>
                      <w:rFonts w:hint="eastAsia"/>
                      <w:b/>
                      <w:szCs w:val="21"/>
                    </w:rPr>
                    <w:t>标准）</w:t>
                  </w:r>
                </w:p>
              </w:tc>
            </w:tr>
            <w:tr w14:paraId="1451E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4" w:space="0"/>
                    <w:left w:val="nil"/>
                    <w:bottom w:val="single" w:color="auto" w:sz="4" w:space="0"/>
                    <w:right w:val="single" w:color="auto" w:sz="4" w:space="0"/>
                  </w:tcBorders>
                  <w:vAlign w:val="center"/>
                </w:tcPr>
                <w:p w14:paraId="3535CC03">
                  <w:pPr>
                    <w:widowControl/>
                    <w:spacing w:line="276" w:lineRule="auto"/>
                    <w:jc w:val="center"/>
                    <w:rPr>
                      <w:bCs/>
                      <w:kern w:val="0"/>
                      <w:szCs w:val="21"/>
                    </w:rPr>
                  </w:pPr>
                  <w:r>
                    <w:rPr>
                      <w:bCs/>
                      <w:kern w:val="0"/>
                      <w:szCs w:val="21"/>
                    </w:rPr>
                    <w:t>1</w:t>
                  </w:r>
                </w:p>
              </w:tc>
              <w:tc>
                <w:tcPr>
                  <w:tcW w:w="653" w:type="pct"/>
                  <w:tcBorders>
                    <w:top w:val="single" w:color="auto" w:sz="4" w:space="0"/>
                    <w:left w:val="single" w:color="auto" w:sz="4" w:space="0"/>
                    <w:bottom w:val="single" w:color="auto" w:sz="4" w:space="0"/>
                    <w:right w:val="single" w:color="auto" w:sz="4" w:space="0"/>
                  </w:tcBorders>
                  <w:vAlign w:val="center"/>
                </w:tcPr>
                <w:p w14:paraId="23CE50A8">
                  <w:pPr>
                    <w:widowControl/>
                    <w:spacing w:line="276" w:lineRule="auto"/>
                    <w:jc w:val="center"/>
                    <w:rPr>
                      <w:szCs w:val="21"/>
                    </w:rPr>
                  </w:pPr>
                  <w:r>
                    <w:rPr>
                      <w:bCs/>
                      <w:kern w:val="0"/>
                      <w:szCs w:val="21"/>
                    </w:rPr>
                    <w:t>pH</w:t>
                  </w:r>
                  <w:r>
                    <w:rPr>
                      <w:rFonts w:hint="eastAsia"/>
                      <w:bCs/>
                      <w:kern w:val="0"/>
                      <w:szCs w:val="21"/>
                    </w:rPr>
                    <w:t>值</w:t>
                  </w:r>
                </w:p>
              </w:tc>
              <w:tc>
                <w:tcPr>
                  <w:tcW w:w="1153" w:type="pct"/>
                  <w:tcBorders>
                    <w:top w:val="single" w:color="auto" w:sz="4" w:space="0"/>
                    <w:left w:val="single" w:color="auto" w:sz="4" w:space="0"/>
                    <w:bottom w:val="single" w:color="auto" w:sz="4" w:space="0"/>
                    <w:right w:val="single" w:color="auto" w:sz="4" w:space="0"/>
                  </w:tcBorders>
                  <w:vAlign w:val="center"/>
                </w:tcPr>
                <w:p w14:paraId="03DA8B55">
                  <w:pPr>
                    <w:pStyle w:val="238"/>
                    <w:adjustRightInd/>
                    <w:snapToGrid/>
                    <w:spacing w:line="276" w:lineRule="auto"/>
                    <w:rPr>
                      <w:snapToGrid w:val="0"/>
                      <w:sz w:val="21"/>
                    </w:rPr>
                  </w:pPr>
                  <w:r>
                    <w:rPr>
                      <w:snapToGrid w:val="0"/>
                      <w:sz w:val="21"/>
                    </w:rPr>
                    <w:t>≤6~9</w:t>
                  </w:r>
                </w:p>
              </w:tc>
              <w:tc>
                <w:tcPr>
                  <w:tcW w:w="855" w:type="pct"/>
                  <w:tcBorders>
                    <w:top w:val="single" w:color="auto" w:sz="4" w:space="0"/>
                    <w:left w:val="single" w:color="auto" w:sz="4" w:space="0"/>
                    <w:bottom w:val="single" w:color="auto" w:sz="4" w:space="0"/>
                    <w:right w:val="single" w:color="auto" w:sz="4" w:space="0"/>
                  </w:tcBorders>
                  <w:vAlign w:val="center"/>
                </w:tcPr>
                <w:p w14:paraId="231A1A21">
                  <w:pPr>
                    <w:pStyle w:val="238"/>
                    <w:adjustRightInd/>
                    <w:snapToGrid/>
                    <w:spacing w:line="276" w:lineRule="auto"/>
                    <w:rPr>
                      <w:snapToGrid w:val="0"/>
                      <w:sz w:val="21"/>
                    </w:rPr>
                  </w:pPr>
                  <w:r>
                    <w:rPr>
                      <w:snapToGrid w:val="0"/>
                      <w:sz w:val="21"/>
                    </w:rPr>
                    <w:t>≤6~9</w:t>
                  </w:r>
                </w:p>
              </w:tc>
              <w:tc>
                <w:tcPr>
                  <w:tcW w:w="1997" w:type="pct"/>
                  <w:tcBorders>
                    <w:top w:val="single" w:color="auto" w:sz="4" w:space="0"/>
                    <w:left w:val="single" w:color="auto" w:sz="4" w:space="0"/>
                    <w:bottom w:val="single" w:color="auto" w:sz="4" w:space="0"/>
                    <w:right w:val="nil"/>
                  </w:tcBorders>
                  <w:vAlign w:val="center"/>
                </w:tcPr>
                <w:p w14:paraId="7FCC44B7">
                  <w:pPr>
                    <w:pStyle w:val="238"/>
                    <w:adjustRightInd/>
                    <w:snapToGrid/>
                    <w:spacing w:line="276" w:lineRule="auto"/>
                    <w:rPr>
                      <w:snapToGrid w:val="0"/>
                      <w:kern w:val="2"/>
                      <w:sz w:val="21"/>
                    </w:rPr>
                  </w:pPr>
                  <w:r>
                    <w:rPr>
                      <w:snapToGrid w:val="0"/>
                      <w:sz w:val="21"/>
                    </w:rPr>
                    <w:t>≤6~9</w:t>
                  </w:r>
                </w:p>
              </w:tc>
            </w:tr>
            <w:tr w14:paraId="4C22D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4" w:space="0"/>
                    <w:left w:val="nil"/>
                    <w:bottom w:val="single" w:color="auto" w:sz="4" w:space="0"/>
                    <w:right w:val="single" w:color="auto" w:sz="4" w:space="0"/>
                  </w:tcBorders>
                  <w:vAlign w:val="center"/>
                </w:tcPr>
                <w:p w14:paraId="7A10C8A9">
                  <w:pPr>
                    <w:widowControl/>
                    <w:spacing w:line="276" w:lineRule="auto"/>
                    <w:jc w:val="center"/>
                    <w:rPr>
                      <w:bCs/>
                      <w:kern w:val="0"/>
                      <w:szCs w:val="21"/>
                    </w:rPr>
                  </w:pPr>
                  <w:r>
                    <w:rPr>
                      <w:bCs/>
                      <w:kern w:val="0"/>
                      <w:szCs w:val="21"/>
                    </w:rPr>
                    <w:t>2</w:t>
                  </w:r>
                </w:p>
              </w:tc>
              <w:tc>
                <w:tcPr>
                  <w:tcW w:w="653" w:type="pct"/>
                  <w:tcBorders>
                    <w:top w:val="single" w:color="auto" w:sz="4" w:space="0"/>
                    <w:left w:val="single" w:color="auto" w:sz="4" w:space="0"/>
                    <w:bottom w:val="single" w:color="auto" w:sz="4" w:space="0"/>
                    <w:right w:val="single" w:color="auto" w:sz="4" w:space="0"/>
                  </w:tcBorders>
                  <w:vAlign w:val="center"/>
                </w:tcPr>
                <w:p w14:paraId="027B4894">
                  <w:pPr>
                    <w:widowControl/>
                    <w:spacing w:line="276" w:lineRule="auto"/>
                    <w:jc w:val="center"/>
                    <w:rPr>
                      <w:bCs/>
                      <w:kern w:val="0"/>
                      <w:szCs w:val="21"/>
                    </w:rPr>
                  </w:pPr>
                  <w:r>
                    <w:rPr>
                      <w:szCs w:val="21"/>
                    </w:rPr>
                    <w:t>COD</w:t>
                  </w:r>
                </w:p>
              </w:tc>
              <w:tc>
                <w:tcPr>
                  <w:tcW w:w="1153" w:type="pct"/>
                  <w:tcBorders>
                    <w:top w:val="single" w:color="auto" w:sz="4" w:space="0"/>
                    <w:left w:val="single" w:color="auto" w:sz="4" w:space="0"/>
                    <w:bottom w:val="single" w:color="auto" w:sz="4" w:space="0"/>
                    <w:right w:val="single" w:color="auto" w:sz="4" w:space="0"/>
                  </w:tcBorders>
                  <w:vAlign w:val="center"/>
                </w:tcPr>
                <w:p w14:paraId="46BF3646">
                  <w:pPr>
                    <w:pStyle w:val="238"/>
                    <w:adjustRightInd/>
                    <w:snapToGrid/>
                    <w:spacing w:line="276" w:lineRule="auto"/>
                    <w:rPr>
                      <w:snapToGrid w:val="0"/>
                      <w:sz w:val="21"/>
                    </w:rPr>
                  </w:pPr>
                  <w:r>
                    <w:rPr>
                      <w:rFonts w:hint="eastAsia"/>
                      <w:snapToGrid w:val="0"/>
                      <w:sz w:val="21"/>
                    </w:rPr>
                    <w:t>300</w:t>
                  </w:r>
                </w:p>
              </w:tc>
              <w:tc>
                <w:tcPr>
                  <w:tcW w:w="855" w:type="pct"/>
                  <w:tcBorders>
                    <w:top w:val="single" w:color="auto" w:sz="4" w:space="0"/>
                    <w:left w:val="single" w:color="auto" w:sz="4" w:space="0"/>
                    <w:bottom w:val="single" w:color="auto" w:sz="4" w:space="0"/>
                    <w:right w:val="single" w:color="auto" w:sz="4" w:space="0"/>
                  </w:tcBorders>
                  <w:vAlign w:val="center"/>
                </w:tcPr>
                <w:p w14:paraId="7379C6C5">
                  <w:pPr>
                    <w:pStyle w:val="238"/>
                    <w:adjustRightInd/>
                    <w:snapToGrid/>
                    <w:spacing w:line="276" w:lineRule="auto"/>
                    <w:rPr>
                      <w:snapToGrid w:val="0"/>
                      <w:sz w:val="21"/>
                    </w:rPr>
                  </w:pPr>
                  <w:r>
                    <w:rPr>
                      <w:rFonts w:hint="eastAsia"/>
                      <w:snapToGrid w:val="0"/>
                      <w:sz w:val="21"/>
                    </w:rPr>
                    <w:t>300</w:t>
                  </w:r>
                </w:p>
              </w:tc>
              <w:tc>
                <w:tcPr>
                  <w:tcW w:w="1997" w:type="pct"/>
                  <w:tcBorders>
                    <w:top w:val="single" w:color="auto" w:sz="4" w:space="0"/>
                    <w:left w:val="single" w:color="auto" w:sz="4" w:space="0"/>
                    <w:bottom w:val="single" w:color="auto" w:sz="4" w:space="0"/>
                    <w:right w:val="nil"/>
                  </w:tcBorders>
                  <w:vAlign w:val="center"/>
                </w:tcPr>
                <w:p w14:paraId="138742D2">
                  <w:pPr>
                    <w:pStyle w:val="238"/>
                    <w:adjustRightInd/>
                    <w:snapToGrid/>
                    <w:spacing w:line="276" w:lineRule="auto"/>
                    <w:rPr>
                      <w:snapToGrid w:val="0"/>
                      <w:sz w:val="21"/>
                    </w:rPr>
                  </w:pPr>
                  <w:r>
                    <w:rPr>
                      <w:snapToGrid w:val="0"/>
                      <w:sz w:val="21"/>
                    </w:rPr>
                    <w:t>≤50</w:t>
                  </w:r>
                </w:p>
              </w:tc>
            </w:tr>
            <w:tr w14:paraId="0C578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4" w:space="0"/>
                    <w:left w:val="nil"/>
                    <w:bottom w:val="single" w:color="auto" w:sz="4" w:space="0"/>
                    <w:right w:val="single" w:color="auto" w:sz="4" w:space="0"/>
                  </w:tcBorders>
                  <w:vAlign w:val="center"/>
                </w:tcPr>
                <w:p w14:paraId="06014FBA">
                  <w:pPr>
                    <w:widowControl/>
                    <w:spacing w:line="276" w:lineRule="auto"/>
                    <w:jc w:val="center"/>
                    <w:rPr>
                      <w:bCs/>
                      <w:kern w:val="0"/>
                      <w:szCs w:val="21"/>
                    </w:rPr>
                  </w:pPr>
                  <w:r>
                    <w:rPr>
                      <w:bCs/>
                      <w:kern w:val="0"/>
                      <w:szCs w:val="21"/>
                    </w:rPr>
                    <w:t>3</w:t>
                  </w:r>
                </w:p>
              </w:tc>
              <w:tc>
                <w:tcPr>
                  <w:tcW w:w="653" w:type="pct"/>
                  <w:tcBorders>
                    <w:top w:val="single" w:color="auto" w:sz="4" w:space="0"/>
                    <w:left w:val="single" w:color="auto" w:sz="4" w:space="0"/>
                    <w:bottom w:val="single" w:color="auto" w:sz="4" w:space="0"/>
                    <w:right w:val="single" w:color="auto" w:sz="4" w:space="0"/>
                  </w:tcBorders>
                  <w:vAlign w:val="center"/>
                </w:tcPr>
                <w:p w14:paraId="42BF0435">
                  <w:pPr>
                    <w:widowControl/>
                    <w:spacing w:line="276" w:lineRule="auto"/>
                    <w:jc w:val="center"/>
                    <w:rPr>
                      <w:bCs/>
                      <w:kern w:val="0"/>
                      <w:szCs w:val="21"/>
                    </w:rPr>
                  </w:pPr>
                  <w:r>
                    <w:rPr>
                      <w:szCs w:val="21"/>
                    </w:rPr>
                    <w:t>BOD</w:t>
                  </w:r>
                  <w:r>
                    <w:rPr>
                      <w:szCs w:val="21"/>
                      <w:vertAlign w:val="subscript"/>
                    </w:rPr>
                    <w:t>5</w:t>
                  </w:r>
                </w:p>
              </w:tc>
              <w:tc>
                <w:tcPr>
                  <w:tcW w:w="1153" w:type="pct"/>
                  <w:tcBorders>
                    <w:top w:val="single" w:color="auto" w:sz="4" w:space="0"/>
                    <w:left w:val="single" w:color="auto" w:sz="4" w:space="0"/>
                    <w:bottom w:val="single" w:color="auto" w:sz="4" w:space="0"/>
                    <w:right w:val="single" w:color="auto" w:sz="4" w:space="0"/>
                  </w:tcBorders>
                  <w:vAlign w:val="center"/>
                </w:tcPr>
                <w:p w14:paraId="61C02769">
                  <w:pPr>
                    <w:pStyle w:val="238"/>
                    <w:adjustRightInd/>
                    <w:snapToGrid/>
                    <w:spacing w:line="276" w:lineRule="auto"/>
                    <w:rPr>
                      <w:snapToGrid w:val="0"/>
                      <w:sz w:val="21"/>
                    </w:rPr>
                  </w:pPr>
                  <w:r>
                    <w:rPr>
                      <w:rFonts w:hint="eastAsia"/>
                      <w:snapToGrid w:val="0"/>
                      <w:sz w:val="21"/>
                    </w:rPr>
                    <w:t>170</w:t>
                  </w:r>
                </w:p>
              </w:tc>
              <w:tc>
                <w:tcPr>
                  <w:tcW w:w="855" w:type="pct"/>
                  <w:tcBorders>
                    <w:top w:val="single" w:color="auto" w:sz="4" w:space="0"/>
                    <w:left w:val="single" w:color="auto" w:sz="4" w:space="0"/>
                    <w:bottom w:val="single" w:color="auto" w:sz="4" w:space="0"/>
                    <w:right w:val="single" w:color="auto" w:sz="4" w:space="0"/>
                  </w:tcBorders>
                  <w:vAlign w:val="center"/>
                </w:tcPr>
                <w:p w14:paraId="0ACA3AA5">
                  <w:pPr>
                    <w:pStyle w:val="238"/>
                    <w:adjustRightInd/>
                    <w:snapToGrid/>
                    <w:spacing w:line="276" w:lineRule="auto"/>
                    <w:rPr>
                      <w:snapToGrid w:val="0"/>
                      <w:sz w:val="21"/>
                    </w:rPr>
                  </w:pPr>
                  <w:r>
                    <w:rPr>
                      <w:rFonts w:hint="eastAsia"/>
                      <w:snapToGrid w:val="0"/>
                      <w:sz w:val="21"/>
                    </w:rPr>
                    <w:t>170</w:t>
                  </w:r>
                </w:p>
              </w:tc>
              <w:tc>
                <w:tcPr>
                  <w:tcW w:w="1997" w:type="pct"/>
                  <w:tcBorders>
                    <w:top w:val="single" w:color="auto" w:sz="4" w:space="0"/>
                    <w:left w:val="single" w:color="auto" w:sz="4" w:space="0"/>
                    <w:bottom w:val="single" w:color="auto" w:sz="4" w:space="0"/>
                    <w:right w:val="nil"/>
                  </w:tcBorders>
                  <w:vAlign w:val="center"/>
                </w:tcPr>
                <w:p w14:paraId="73582A4B">
                  <w:pPr>
                    <w:pStyle w:val="238"/>
                    <w:adjustRightInd/>
                    <w:snapToGrid/>
                    <w:spacing w:line="276" w:lineRule="auto"/>
                    <w:rPr>
                      <w:snapToGrid w:val="0"/>
                      <w:sz w:val="21"/>
                    </w:rPr>
                  </w:pPr>
                  <w:r>
                    <w:rPr>
                      <w:snapToGrid w:val="0"/>
                      <w:sz w:val="21"/>
                    </w:rPr>
                    <w:t>≤10</w:t>
                  </w:r>
                </w:p>
              </w:tc>
            </w:tr>
            <w:tr w14:paraId="0DCAF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4" w:space="0"/>
                    <w:left w:val="nil"/>
                    <w:bottom w:val="single" w:color="auto" w:sz="4" w:space="0"/>
                    <w:right w:val="single" w:color="auto" w:sz="4" w:space="0"/>
                  </w:tcBorders>
                  <w:vAlign w:val="center"/>
                </w:tcPr>
                <w:p w14:paraId="6DAF9CC3">
                  <w:pPr>
                    <w:widowControl/>
                    <w:spacing w:line="276" w:lineRule="auto"/>
                    <w:jc w:val="center"/>
                    <w:rPr>
                      <w:bCs/>
                      <w:kern w:val="0"/>
                      <w:szCs w:val="21"/>
                    </w:rPr>
                  </w:pPr>
                  <w:r>
                    <w:rPr>
                      <w:bCs/>
                      <w:kern w:val="0"/>
                      <w:szCs w:val="21"/>
                    </w:rPr>
                    <w:t>4</w:t>
                  </w:r>
                </w:p>
              </w:tc>
              <w:tc>
                <w:tcPr>
                  <w:tcW w:w="653" w:type="pct"/>
                  <w:tcBorders>
                    <w:top w:val="single" w:color="auto" w:sz="4" w:space="0"/>
                    <w:left w:val="single" w:color="auto" w:sz="4" w:space="0"/>
                    <w:bottom w:val="single" w:color="auto" w:sz="4" w:space="0"/>
                    <w:right w:val="single" w:color="auto" w:sz="4" w:space="0"/>
                  </w:tcBorders>
                  <w:vAlign w:val="center"/>
                </w:tcPr>
                <w:p w14:paraId="0DD4531D">
                  <w:pPr>
                    <w:widowControl/>
                    <w:spacing w:line="276" w:lineRule="auto"/>
                    <w:jc w:val="center"/>
                    <w:rPr>
                      <w:bCs/>
                      <w:kern w:val="0"/>
                      <w:szCs w:val="21"/>
                    </w:rPr>
                  </w:pPr>
                  <w:r>
                    <w:rPr>
                      <w:szCs w:val="21"/>
                    </w:rPr>
                    <w:t>SS</w:t>
                  </w:r>
                </w:p>
              </w:tc>
              <w:tc>
                <w:tcPr>
                  <w:tcW w:w="1153" w:type="pct"/>
                  <w:tcBorders>
                    <w:top w:val="single" w:color="auto" w:sz="4" w:space="0"/>
                    <w:left w:val="single" w:color="auto" w:sz="4" w:space="0"/>
                    <w:bottom w:val="single" w:color="auto" w:sz="4" w:space="0"/>
                    <w:right w:val="single" w:color="auto" w:sz="4" w:space="0"/>
                  </w:tcBorders>
                  <w:vAlign w:val="center"/>
                </w:tcPr>
                <w:p w14:paraId="2613090E">
                  <w:pPr>
                    <w:pStyle w:val="238"/>
                    <w:adjustRightInd/>
                    <w:snapToGrid/>
                    <w:spacing w:line="276" w:lineRule="auto"/>
                    <w:rPr>
                      <w:snapToGrid w:val="0"/>
                      <w:sz w:val="21"/>
                    </w:rPr>
                  </w:pPr>
                  <w:r>
                    <w:rPr>
                      <w:rFonts w:hint="eastAsia"/>
                      <w:snapToGrid w:val="0"/>
                      <w:sz w:val="21"/>
                    </w:rPr>
                    <w:t>200</w:t>
                  </w:r>
                </w:p>
              </w:tc>
              <w:tc>
                <w:tcPr>
                  <w:tcW w:w="855" w:type="pct"/>
                  <w:tcBorders>
                    <w:top w:val="single" w:color="auto" w:sz="4" w:space="0"/>
                    <w:left w:val="single" w:color="auto" w:sz="4" w:space="0"/>
                    <w:bottom w:val="single" w:color="auto" w:sz="4" w:space="0"/>
                    <w:right w:val="single" w:color="auto" w:sz="4" w:space="0"/>
                  </w:tcBorders>
                  <w:vAlign w:val="center"/>
                </w:tcPr>
                <w:p w14:paraId="4716CBEF">
                  <w:pPr>
                    <w:pStyle w:val="238"/>
                    <w:adjustRightInd/>
                    <w:snapToGrid/>
                    <w:spacing w:line="276" w:lineRule="auto"/>
                    <w:rPr>
                      <w:snapToGrid w:val="0"/>
                      <w:sz w:val="21"/>
                    </w:rPr>
                  </w:pPr>
                  <w:r>
                    <w:rPr>
                      <w:rFonts w:hint="eastAsia"/>
                      <w:snapToGrid w:val="0"/>
                      <w:sz w:val="21"/>
                    </w:rPr>
                    <w:t>200</w:t>
                  </w:r>
                </w:p>
              </w:tc>
              <w:tc>
                <w:tcPr>
                  <w:tcW w:w="1997" w:type="pct"/>
                  <w:tcBorders>
                    <w:top w:val="single" w:color="auto" w:sz="4" w:space="0"/>
                    <w:left w:val="single" w:color="auto" w:sz="4" w:space="0"/>
                    <w:bottom w:val="single" w:color="auto" w:sz="4" w:space="0"/>
                    <w:right w:val="nil"/>
                  </w:tcBorders>
                  <w:vAlign w:val="center"/>
                </w:tcPr>
                <w:p w14:paraId="4EC72F98">
                  <w:pPr>
                    <w:pStyle w:val="238"/>
                    <w:adjustRightInd/>
                    <w:snapToGrid/>
                    <w:spacing w:line="276" w:lineRule="auto"/>
                    <w:rPr>
                      <w:snapToGrid w:val="0"/>
                      <w:sz w:val="21"/>
                    </w:rPr>
                  </w:pPr>
                  <w:r>
                    <w:rPr>
                      <w:snapToGrid w:val="0"/>
                      <w:sz w:val="21"/>
                    </w:rPr>
                    <w:t>≤10</w:t>
                  </w:r>
                </w:p>
              </w:tc>
            </w:tr>
            <w:tr w14:paraId="7B346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4" w:space="0"/>
                    <w:left w:val="nil"/>
                    <w:bottom w:val="single" w:color="auto" w:sz="4" w:space="0"/>
                    <w:right w:val="single" w:color="auto" w:sz="4" w:space="0"/>
                  </w:tcBorders>
                  <w:vAlign w:val="center"/>
                </w:tcPr>
                <w:p w14:paraId="34C57D40">
                  <w:pPr>
                    <w:widowControl/>
                    <w:spacing w:line="276" w:lineRule="auto"/>
                    <w:jc w:val="center"/>
                    <w:rPr>
                      <w:bCs/>
                      <w:kern w:val="0"/>
                      <w:szCs w:val="21"/>
                    </w:rPr>
                  </w:pPr>
                  <w:r>
                    <w:rPr>
                      <w:bCs/>
                      <w:kern w:val="0"/>
                      <w:szCs w:val="21"/>
                    </w:rPr>
                    <w:t>5</w:t>
                  </w:r>
                </w:p>
              </w:tc>
              <w:tc>
                <w:tcPr>
                  <w:tcW w:w="653" w:type="pct"/>
                  <w:tcBorders>
                    <w:top w:val="single" w:color="auto" w:sz="4" w:space="0"/>
                    <w:left w:val="single" w:color="auto" w:sz="4" w:space="0"/>
                    <w:bottom w:val="single" w:color="auto" w:sz="4" w:space="0"/>
                    <w:right w:val="single" w:color="auto" w:sz="4" w:space="0"/>
                  </w:tcBorders>
                  <w:vAlign w:val="center"/>
                </w:tcPr>
                <w:p w14:paraId="71502220">
                  <w:pPr>
                    <w:widowControl/>
                    <w:spacing w:line="276" w:lineRule="auto"/>
                    <w:jc w:val="center"/>
                    <w:rPr>
                      <w:bCs/>
                      <w:kern w:val="0"/>
                      <w:szCs w:val="21"/>
                    </w:rPr>
                  </w:pPr>
                  <w:r>
                    <w:rPr>
                      <w:szCs w:val="21"/>
                    </w:rPr>
                    <w:t>NH</w:t>
                  </w:r>
                  <w:r>
                    <w:rPr>
                      <w:szCs w:val="21"/>
                      <w:vertAlign w:val="subscript"/>
                    </w:rPr>
                    <w:t>3</w:t>
                  </w:r>
                  <w:r>
                    <w:rPr>
                      <w:szCs w:val="21"/>
                    </w:rPr>
                    <w:t>-N</w:t>
                  </w:r>
                </w:p>
              </w:tc>
              <w:tc>
                <w:tcPr>
                  <w:tcW w:w="1153" w:type="pct"/>
                  <w:tcBorders>
                    <w:top w:val="single" w:color="auto" w:sz="4" w:space="0"/>
                    <w:left w:val="single" w:color="auto" w:sz="4" w:space="0"/>
                    <w:bottom w:val="single" w:color="auto" w:sz="4" w:space="0"/>
                    <w:right w:val="single" w:color="auto" w:sz="4" w:space="0"/>
                  </w:tcBorders>
                  <w:vAlign w:val="center"/>
                </w:tcPr>
                <w:p w14:paraId="67F4C13F">
                  <w:pPr>
                    <w:pStyle w:val="238"/>
                    <w:adjustRightInd/>
                    <w:snapToGrid/>
                    <w:spacing w:line="276" w:lineRule="auto"/>
                    <w:rPr>
                      <w:snapToGrid w:val="0"/>
                      <w:sz w:val="21"/>
                    </w:rPr>
                  </w:pPr>
                  <w:r>
                    <w:rPr>
                      <w:rFonts w:hint="eastAsia"/>
                      <w:snapToGrid w:val="0"/>
                      <w:sz w:val="21"/>
                    </w:rPr>
                    <w:t>30</w:t>
                  </w:r>
                </w:p>
              </w:tc>
              <w:tc>
                <w:tcPr>
                  <w:tcW w:w="855" w:type="pct"/>
                  <w:tcBorders>
                    <w:top w:val="single" w:color="auto" w:sz="4" w:space="0"/>
                    <w:left w:val="single" w:color="auto" w:sz="4" w:space="0"/>
                    <w:bottom w:val="single" w:color="auto" w:sz="4" w:space="0"/>
                    <w:right w:val="single" w:color="auto" w:sz="4" w:space="0"/>
                  </w:tcBorders>
                  <w:vAlign w:val="center"/>
                </w:tcPr>
                <w:p w14:paraId="15449620">
                  <w:pPr>
                    <w:pStyle w:val="238"/>
                    <w:adjustRightInd/>
                    <w:snapToGrid/>
                    <w:spacing w:line="276" w:lineRule="auto"/>
                    <w:rPr>
                      <w:snapToGrid w:val="0"/>
                      <w:sz w:val="21"/>
                    </w:rPr>
                  </w:pPr>
                  <w:r>
                    <w:rPr>
                      <w:rFonts w:hint="eastAsia"/>
                      <w:snapToGrid w:val="0"/>
                      <w:sz w:val="21"/>
                    </w:rPr>
                    <w:t>30</w:t>
                  </w:r>
                </w:p>
              </w:tc>
              <w:tc>
                <w:tcPr>
                  <w:tcW w:w="1997" w:type="pct"/>
                  <w:tcBorders>
                    <w:top w:val="single" w:color="auto" w:sz="4" w:space="0"/>
                    <w:left w:val="single" w:color="auto" w:sz="4" w:space="0"/>
                    <w:bottom w:val="single" w:color="auto" w:sz="4" w:space="0"/>
                    <w:right w:val="nil"/>
                  </w:tcBorders>
                  <w:vAlign w:val="center"/>
                </w:tcPr>
                <w:p w14:paraId="6C2FAD85">
                  <w:pPr>
                    <w:pStyle w:val="238"/>
                    <w:adjustRightInd/>
                    <w:snapToGrid/>
                    <w:spacing w:line="276" w:lineRule="auto"/>
                    <w:rPr>
                      <w:snapToGrid w:val="0"/>
                      <w:sz w:val="21"/>
                    </w:rPr>
                  </w:pPr>
                  <w:r>
                    <w:rPr>
                      <w:snapToGrid w:val="0"/>
                      <w:sz w:val="21"/>
                    </w:rPr>
                    <w:t>≤ 5</w:t>
                  </w:r>
                </w:p>
              </w:tc>
            </w:tr>
            <w:tr w14:paraId="723C7A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4" w:space="0"/>
                    <w:left w:val="nil"/>
                    <w:bottom w:val="single" w:color="auto" w:sz="4" w:space="0"/>
                    <w:right w:val="single" w:color="auto" w:sz="4" w:space="0"/>
                  </w:tcBorders>
                  <w:vAlign w:val="center"/>
                </w:tcPr>
                <w:p w14:paraId="126D9D3A">
                  <w:pPr>
                    <w:widowControl/>
                    <w:spacing w:line="276" w:lineRule="auto"/>
                    <w:jc w:val="center"/>
                    <w:rPr>
                      <w:bCs/>
                      <w:kern w:val="0"/>
                      <w:szCs w:val="21"/>
                    </w:rPr>
                  </w:pPr>
                  <w:r>
                    <w:rPr>
                      <w:rFonts w:hint="eastAsia"/>
                      <w:bCs/>
                      <w:kern w:val="0"/>
                      <w:szCs w:val="21"/>
                    </w:rPr>
                    <w:t>6</w:t>
                  </w:r>
                </w:p>
              </w:tc>
              <w:tc>
                <w:tcPr>
                  <w:tcW w:w="653" w:type="pct"/>
                  <w:tcBorders>
                    <w:top w:val="single" w:color="auto" w:sz="4" w:space="0"/>
                    <w:left w:val="single" w:color="auto" w:sz="4" w:space="0"/>
                    <w:bottom w:val="single" w:color="auto" w:sz="4" w:space="0"/>
                    <w:right w:val="single" w:color="auto" w:sz="4" w:space="0"/>
                  </w:tcBorders>
                  <w:vAlign w:val="center"/>
                </w:tcPr>
                <w:p w14:paraId="5E39A4A3">
                  <w:pPr>
                    <w:widowControl/>
                    <w:spacing w:line="276" w:lineRule="auto"/>
                    <w:jc w:val="center"/>
                    <w:rPr>
                      <w:szCs w:val="21"/>
                    </w:rPr>
                  </w:pPr>
                  <w:r>
                    <w:rPr>
                      <w:rFonts w:hint="eastAsia"/>
                      <w:szCs w:val="21"/>
                    </w:rPr>
                    <w:t>TN</w:t>
                  </w:r>
                </w:p>
              </w:tc>
              <w:tc>
                <w:tcPr>
                  <w:tcW w:w="1153" w:type="pct"/>
                  <w:tcBorders>
                    <w:top w:val="single" w:color="auto" w:sz="4" w:space="0"/>
                    <w:left w:val="single" w:color="auto" w:sz="4" w:space="0"/>
                    <w:bottom w:val="single" w:color="auto" w:sz="4" w:space="0"/>
                    <w:right w:val="single" w:color="auto" w:sz="4" w:space="0"/>
                  </w:tcBorders>
                  <w:vAlign w:val="center"/>
                </w:tcPr>
                <w:p w14:paraId="1F7F7E3D">
                  <w:pPr>
                    <w:pStyle w:val="238"/>
                    <w:adjustRightInd/>
                    <w:snapToGrid/>
                    <w:spacing w:line="276" w:lineRule="auto"/>
                    <w:rPr>
                      <w:snapToGrid w:val="0"/>
                      <w:sz w:val="21"/>
                    </w:rPr>
                  </w:pPr>
                  <w:r>
                    <w:rPr>
                      <w:rFonts w:hint="eastAsia"/>
                      <w:snapToGrid w:val="0"/>
                      <w:sz w:val="21"/>
                    </w:rPr>
                    <w:t>40</w:t>
                  </w:r>
                </w:p>
              </w:tc>
              <w:tc>
                <w:tcPr>
                  <w:tcW w:w="855" w:type="pct"/>
                  <w:tcBorders>
                    <w:top w:val="single" w:color="auto" w:sz="4" w:space="0"/>
                    <w:left w:val="single" w:color="auto" w:sz="4" w:space="0"/>
                    <w:bottom w:val="single" w:color="auto" w:sz="4" w:space="0"/>
                    <w:right w:val="single" w:color="auto" w:sz="4" w:space="0"/>
                  </w:tcBorders>
                  <w:vAlign w:val="center"/>
                </w:tcPr>
                <w:p w14:paraId="55370E1F">
                  <w:pPr>
                    <w:pStyle w:val="238"/>
                    <w:adjustRightInd/>
                    <w:snapToGrid/>
                    <w:spacing w:line="276" w:lineRule="auto"/>
                    <w:rPr>
                      <w:snapToGrid w:val="0"/>
                      <w:sz w:val="21"/>
                    </w:rPr>
                  </w:pPr>
                  <w:r>
                    <w:rPr>
                      <w:rFonts w:hint="eastAsia"/>
                      <w:snapToGrid w:val="0"/>
                      <w:sz w:val="21"/>
                    </w:rPr>
                    <w:t>40</w:t>
                  </w:r>
                </w:p>
              </w:tc>
              <w:tc>
                <w:tcPr>
                  <w:tcW w:w="1997" w:type="pct"/>
                  <w:tcBorders>
                    <w:top w:val="single" w:color="auto" w:sz="4" w:space="0"/>
                    <w:left w:val="single" w:color="auto" w:sz="4" w:space="0"/>
                    <w:bottom w:val="single" w:color="auto" w:sz="4" w:space="0"/>
                    <w:right w:val="nil"/>
                  </w:tcBorders>
                  <w:vAlign w:val="center"/>
                </w:tcPr>
                <w:p w14:paraId="6C0FA371">
                  <w:pPr>
                    <w:pStyle w:val="238"/>
                    <w:adjustRightInd/>
                    <w:snapToGrid/>
                    <w:spacing w:line="276" w:lineRule="auto"/>
                    <w:rPr>
                      <w:snapToGrid w:val="0"/>
                      <w:sz w:val="21"/>
                    </w:rPr>
                  </w:pPr>
                  <w:r>
                    <w:rPr>
                      <w:snapToGrid w:val="0"/>
                      <w:sz w:val="21"/>
                    </w:rPr>
                    <w:t>≤</w:t>
                  </w:r>
                  <w:r>
                    <w:rPr>
                      <w:rFonts w:hint="eastAsia"/>
                      <w:snapToGrid w:val="0"/>
                      <w:sz w:val="21"/>
                    </w:rPr>
                    <w:t>15</w:t>
                  </w:r>
                </w:p>
              </w:tc>
            </w:tr>
            <w:tr w14:paraId="70F44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2" w:type="pct"/>
                  <w:tcBorders>
                    <w:top w:val="single" w:color="auto" w:sz="4" w:space="0"/>
                    <w:left w:val="nil"/>
                    <w:bottom w:val="single" w:color="auto" w:sz="12" w:space="0"/>
                    <w:right w:val="single" w:color="auto" w:sz="4" w:space="0"/>
                  </w:tcBorders>
                  <w:vAlign w:val="center"/>
                </w:tcPr>
                <w:p w14:paraId="24D72371">
                  <w:pPr>
                    <w:widowControl/>
                    <w:spacing w:line="276" w:lineRule="auto"/>
                    <w:jc w:val="center"/>
                    <w:rPr>
                      <w:bCs/>
                      <w:kern w:val="0"/>
                      <w:szCs w:val="21"/>
                    </w:rPr>
                  </w:pPr>
                  <w:r>
                    <w:rPr>
                      <w:rFonts w:hint="eastAsia"/>
                      <w:bCs/>
                      <w:kern w:val="0"/>
                      <w:szCs w:val="21"/>
                    </w:rPr>
                    <w:t>7</w:t>
                  </w:r>
                </w:p>
              </w:tc>
              <w:tc>
                <w:tcPr>
                  <w:tcW w:w="653" w:type="pct"/>
                  <w:tcBorders>
                    <w:top w:val="single" w:color="auto" w:sz="4" w:space="0"/>
                    <w:left w:val="single" w:color="auto" w:sz="4" w:space="0"/>
                    <w:bottom w:val="single" w:color="auto" w:sz="12" w:space="0"/>
                    <w:right w:val="single" w:color="auto" w:sz="4" w:space="0"/>
                  </w:tcBorders>
                  <w:vAlign w:val="center"/>
                </w:tcPr>
                <w:p w14:paraId="2E760705">
                  <w:pPr>
                    <w:widowControl/>
                    <w:spacing w:line="276" w:lineRule="auto"/>
                    <w:jc w:val="center"/>
                    <w:rPr>
                      <w:szCs w:val="21"/>
                    </w:rPr>
                  </w:pPr>
                  <w:r>
                    <w:rPr>
                      <w:rFonts w:hint="eastAsia"/>
                      <w:szCs w:val="21"/>
                    </w:rPr>
                    <w:t>TP</w:t>
                  </w:r>
                </w:p>
              </w:tc>
              <w:tc>
                <w:tcPr>
                  <w:tcW w:w="1153" w:type="pct"/>
                  <w:tcBorders>
                    <w:top w:val="single" w:color="auto" w:sz="4" w:space="0"/>
                    <w:left w:val="single" w:color="auto" w:sz="4" w:space="0"/>
                    <w:bottom w:val="single" w:color="auto" w:sz="12" w:space="0"/>
                    <w:right w:val="single" w:color="auto" w:sz="4" w:space="0"/>
                  </w:tcBorders>
                  <w:vAlign w:val="center"/>
                </w:tcPr>
                <w:p w14:paraId="37AC7E80">
                  <w:pPr>
                    <w:pStyle w:val="238"/>
                    <w:adjustRightInd/>
                    <w:snapToGrid/>
                    <w:spacing w:line="276" w:lineRule="auto"/>
                    <w:rPr>
                      <w:snapToGrid w:val="0"/>
                      <w:sz w:val="21"/>
                    </w:rPr>
                  </w:pPr>
                  <w:r>
                    <w:rPr>
                      <w:rFonts w:hint="eastAsia"/>
                      <w:snapToGrid w:val="0"/>
                      <w:sz w:val="21"/>
                    </w:rPr>
                    <w:t>4</w:t>
                  </w:r>
                </w:p>
              </w:tc>
              <w:tc>
                <w:tcPr>
                  <w:tcW w:w="855" w:type="pct"/>
                  <w:tcBorders>
                    <w:top w:val="single" w:color="auto" w:sz="4" w:space="0"/>
                    <w:left w:val="single" w:color="auto" w:sz="4" w:space="0"/>
                    <w:bottom w:val="single" w:color="auto" w:sz="12" w:space="0"/>
                    <w:right w:val="single" w:color="auto" w:sz="4" w:space="0"/>
                  </w:tcBorders>
                  <w:vAlign w:val="center"/>
                </w:tcPr>
                <w:p w14:paraId="14AD3F29">
                  <w:pPr>
                    <w:pStyle w:val="238"/>
                    <w:adjustRightInd/>
                    <w:snapToGrid/>
                    <w:spacing w:line="276" w:lineRule="auto"/>
                    <w:rPr>
                      <w:snapToGrid w:val="0"/>
                      <w:sz w:val="21"/>
                    </w:rPr>
                  </w:pPr>
                  <w:r>
                    <w:rPr>
                      <w:rFonts w:hint="eastAsia"/>
                      <w:snapToGrid w:val="0"/>
                      <w:sz w:val="21"/>
                    </w:rPr>
                    <w:t>4</w:t>
                  </w:r>
                </w:p>
              </w:tc>
              <w:tc>
                <w:tcPr>
                  <w:tcW w:w="1997" w:type="pct"/>
                  <w:tcBorders>
                    <w:top w:val="single" w:color="auto" w:sz="4" w:space="0"/>
                    <w:left w:val="single" w:color="auto" w:sz="4" w:space="0"/>
                    <w:bottom w:val="single" w:color="auto" w:sz="12" w:space="0"/>
                    <w:right w:val="nil"/>
                  </w:tcBorders>
                  <w:vAlign w:val="center"/>
                </w:tcPr>
                <w:p w14:paraId="01307D20">
                  <w:pPr>
                    <w:pStyle w:val="238"/>
                    <w:adjustRightInd/>
                    <w:snapToGrid/>
                    <w:spacing w:line="276" w:lineRule="auto"/>
                    <w:rPr>
                      <w:snapToGrid w:val="0"/>
                      <w:sz w:val="21"/>
                    </w:rPr>
                  </w:pPr>
                  <w:r>
                    <w:rPr>
                      <w:snapToGrid w:val="0"/>
                      <w:sz w:val="21"/>
                    </w:rPr>
                    <w:t>≤</w:t>
                  </w:r>
                  <w:r>
                    <w:rPr>
                      <w:rFonts w:hint="eastAsia"/>
                      <w:snapToGrid w:val="0"/>
                      <w:sz w:val="21"/>
                    </w:rPr>
                    <w:t>0.5</w:t>
                  </w:r>
                </w:p>
              </w:tc>
            </w:tr>
          </w:tbl>
          <w:p w14:paraId="635C4006">
            <w:pPr>
              <w:pStyle w:val="142"/>
              <w:widowControl/>
              <w:spacing w:line="360" w:lineRule="auto"/>
              <w:ind w:firstLine="482"/>
              <w:rPr>
                <w:b/>
                <w:sz w:val="24"/>
                <w:szCs w:val="24"/>
              </w:rPr>
            </w:pPr>
            <w:r>
              <w:rPr>
                <w:rFonts w:hint="eastAsia"/>
                <w:b/>
                <w:sz w:val="24"/>
                <w:szCs w:val="24"/>
              </w:rPr>
              <w:t>3、噪声</w:t>
            </w:r>
          </w:p>
          <w:p w14:paraId="13DED0D5">
            <w:pPr>
              <w:pStyle w:val="189"/>
              <w:spacing w:line="360" w:lineRule="auto"/>
              <w:ind w:firstLine="480" w:firstLineChars="200"/>
              <w:jc w:val="both"/>
              <w:rPr>
                <w:rFonts w:ascii="Times New Roman" w:hAnsi="Times New Roman" w:eastAsia="宋体" w:cs="Times New Roman"/>
                <w:sz w:val="24"/>
                <w:szCs w:val="24"/>
                <w:lang w:eastAsia="zh-CN"/>
              </w:rPr>
            </w:pPr>
            <w:r>
              <w:rPr>
                <w:rFonts w:ascii="Times New Roman" w:hAnsi="宋体" w:eastAsia="宋体" w:cs="Times New Roman"/>
                <w:sz w:val="24"/>
                <w:lang w:eastAsia="zh-CN"/>
              </w:rPr>
              <w:t>项目</w:t>
            </w:r>
            <w:r>
              <w:rPr>
                <w:rFonts w:ascii="Times New Roman" w:eastAsia="宋体" w:cs="Times New Roman"/>
                <w:sz w:val="24"/>
                <w:lang w:eastAsia="zh-CN"/>
              </w:rPr>
              <w:t>运营期</w:t>
            </w:r>
            <w:r>
              <w:rPr>
                <w:rFonts w:ascii="Times New Roman" w:hAnsi="宋体" w:eastAsia="宋体" w:cs="Times New Roman"/>
                <w:sz w:val="24"/>
                <w:lang w:eastAsia="zh-CN"/>
              </w:rPr>
              <w:t>厂界噪声执行《工业企业厂界环境噪声排放标准》（</w:t>
            </w:r>
            <w:r>
              <w:rPr>
                <w:rFonts w:ascii="Times New Roman" w:hAnsi="Times New Roman" w:cs="Times New Roman"/>
                <w:sz w:val="24"/>
                <w:lang w:eastAsia="zh-CN"/>
              </w:rPr>
              <w:t>GB12348-2008</w:t>
            </w:r>
            <w:r>
              <w:rPr>
                <w:rFonts w:ascii="Times New Roman" w:hAnsi="Times New Roman" w:eastAsia="宋体" w:cs="Times New Roman"/>
                <w:sz w:val="24"/>
                <w:lang w:eastAsia="zh-CN"/>
              </w:rPr>
              <w:t>）</w:t>
            </w:r>
            <w:r>
              <w:rPr>
                <w:rFonts w:ascii="Times New Roman" w:hAnsi="宋体" w:eastAsia="宋体" w:cs="Times New Roman"/>
                <w:sz w:val="24"/>
                <w:lang w:eastAsia="zh-CN"/>
              </w:rPr>
              <w:t>中</w:t>
            </w:r>
            <w:r>
              <w:rPr>
                <w:rFonts w:hint="eastAsia" w:ascii="Times New Roman" w:hAnsi="Times New Roman" w:eastAsia="宋体" w:cs="Times New Roman"/>
                <w:sz w:val="24"/>
                <w:lang w:eastAsia="zh-CN"/>
              </w:rPr>
              <w:t>2</w:t>
            </w:r>
            <w:r>
              <w:rPr>
                <w:rFonts w:ascii="Times New Roman" w:hAnsi="宋体" w:eastAsia="宋体" w:cs="Times New Roman"/>
                <w:sz w:val="24"/>
                <w:lang w:eastAsia="zh-CN"/>
              </w:rPr>
              <w:t>类标准。</w:t>
            </w:r>
            <w:r>
              <w:rPr>
                <w:rFonts w:ascii="Times New Roman" w:hAnsi="宋体" w:eastAsia="宋体" w:cs="Times New Roman"/>
                <w:sz w:val="24"/>
                <w:szCs w:val="24"/>
                <w:lang w:eastAsia="zh-CN"/>
              </w:rPr>
              <w:t>具体详见下表。</w:t>
            </w:r>
          </w:p>
          <w:p w14:paraId="6F286BB3">
            <w:pPr>
              <w:jc w:val="center"/>
              <w:rPr>
                <w:rFonts w:eastAsia="黑体"/>
                <w:sz w:val="24"/>
                <w:szCs w:val="24"/>
              </w:rPr>
            </w:pPr>
            <w:r>
              <w:rPr>
                <w:rFonts w:hAnsi="黑体" w:eastAsia="黑体"/>
                <w:sz w:val="24"/>
                <w:szCs w:val="24"/>
              </w:rPr>
              <w:t>表</w:t>
            </w:r>
            <w:r>
              <w:rPr>
                <w:rFonts w:hint="eastAsia" w:hAnsi="黑体" w:eastAsia="黑体"/>
                <w:sz w:val="24"/>
                <w:szCs w:val="24"/>
              </w:rPr>
              <w:t>31</w:t>
            </w:r>
            <w:r>
              <w:rPr>
                <w:rFonts w:hAnsi="黑体" w:eastAsia="黑体"/>
                <w:sz w:val="24"/>
                <w:szCs w:val="24"/>
              </w:rPr>
              <w:t xml:space="preserve">  工业企业厂界环境噪声排放标准  单位：dB(A</w:t>
            </w:r>
            <w:r>
              <w:rPr>
                <w:rFonts w:eastAsia="黑体"/>
                <w:sz w:val="24"/>
                <w:szCs w:val="24"/>
              </w:rPr>
              <w:t>)</w:t>
            </w:r>
          </w:p>
          <w:tbl>
            <w:tblPr>
              <w:tblStyle w:val="3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997"/>
              <w:gridCol w:w="2517"/>
              <w:gridCol w:w="2211"/>
            </w:tblGrid>
            <w:tr w14:paraId="3DCE5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3085" w:type="dxa"/>
                  <w:vAlign w:val="center"/>
                </w:tcPr>
                <w:p w14:paraId="1B4FB03E">
                  <w:pPr>
                    <w:widowControl/>
                    <w:spacing w:line="276" w:lineRule="auto"/>
                    <w:jc w:val="center"/>
                    <w:rPr>
                      <w:b/>
                      <w:kern w:val="0"/>
                      <w:szCs w:val="21"/>
                    </w:rPr>
                  </w:pPr>
                  <w:r>
                    <w:rPr>
                      <w:b/>
                      <w:kern w:val="0"/>
                      <w:szCs w:val="21"/>
                    </w:rPr>
                    <w:t>标准</w:t>
                  </w:r>
                </w:p>
              </w:tc>
              <w:tc>
                <w:tcPr>
                  <w:tcW w:w="2691" w:type="dxa"/>
                  <w:vAlign w:val="center"/>
                </w:tcPr>
                <w:p w14:paraId="3C3A830F">
                  <w:pPr>
                    <w:widowControl/>
                    <w:spacing w:line="276" w:lineRule="auto"/>
                    <w:jc w:val="center"/>
                    <w:rPr>
                      <w:b/>
                      <w:kern w:val="0"/>
                      <w:szCs w:val="21"/>
                    </w:rPr>
                  </w:pPr>
                  <w:r>
                    <w:rPr>
                      <w:b/>
                      <w:kern w:val="0"/>
                      <w:szCs w:val="21"/>
                    </w:rPr>
                    <w:t>昼间</w:t>
                  </w:r>
                </w:p>
              </w:tc>
              <w:tc>
                <w:tcPr>
                  <w:tcW w:w="2359" w:type="dxa"/>
                  <w:vAlign w:val="center"/>
                </w:tcPr>
                <w:p w14:paraId="0D1C34D3">
                  <w:pPr>
                    <w:widowControl/>
                    <w:spacing w:line="276" w:lineRule="auto"/>
                    <w:jc w:val="center"/>
                    <w:rPr>
                      <w:b/>
                      <w:kern w:val="0"/>
                      <w:szCs w:val="21"/>
                    </w:rPr>
                  </w:pPr>
                  <w:r>
                    <w:rPr>
                      <w:b/>
                      <w:kern w:val="0"/>
                      <w:szCs w:val="21"/>
                    </w:rPr>
                    <w:t>夜间</w:t>
                  </w:r>
                </w:p>
              </w:tc>
            </w:tr>
            <w:tr w14:paraId="5D468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3085" w:type="dxa"/>
                  <w:vAlign w:val="center"/>
                </w:tcPr>
                <w:p w14:paraId="5CB9A17B">
                  <w:pPr>
                    <w:widowControl/>
                    <w:spacing w:line="276" w:lineRule="auto"/>
                    <w:jc w:val="center"/>
                    <w:rPr>
                      <w:kern w:val="0"/>
                      <w:szCs w:val="21"/>
                    </w:rPr>
                  </w:pPr>
                  <w:r>
                    <w:rPr>
                      <w:rFonts w:hAnsi="宋体"/>
                      <w:szCs w:val="21"/>
                    </w:rPr>
                    <w:t>（</w:t>
                  </w:r>
                  <w:r>
                    <w:rPr>
                      <w:szCs w:val="21"/>
                    </w:rPr>
                    <w:t>GB12348-2008）中</w:t>
                  </w:r>
                  <w:r>
                    <w:rPr>
                      <w:rFonts w:hint="eastAsia"/>
                      <w:kern w:val="0"/>
                      <w:szCs w:val="21"/>
                    </w:rPr>
                    <w:t>2</w:t>
                  </w:r>
                  <w:r>
                    <w:rPr>
                      <w:kern w:val="0"/>
                      <w:szCs w:val="21"/>
                    </w:rPr>
                    <w:t>类标准</w:t>
                  </w:r>
                </w:p>
              </w:tc>
              <w:tc>
                <w:tcPr>
                  <w:tcW w:w="2691" w:type="dxa"/>
                  <w:vAlign w:val="center"/>
                </w:tcPr>
                <w:p w14:paraId="340CC94C">
                  <w:pPr>
                    <w:widowControl/>
                    <w:spacing w:line="276" w:lineRule="auto"/>
                    <w:jc w:val="center"/>
                    <w:rPr>
                      <w:kern w:val="0"/>
                      <w:szCs w:val="21"/>
                    </w:rPr>
                  </w:pPr>
                  <w:r>
                    <w:rPr>
                      <w:rFonts w:hint="eastAsia"/>
                      <w:kern w:val="0"/>
                      <w:szCs w:val="21"/>
                    </w:rPr>
                    <w:t>60</w:t>
                  </w:r>
                </w:p>
              </w:tc>
              <w:tc>
                <w:tcPr>
                  <w:tcW w:w="2359" w:type="dxa"/>
                  <w:vAlign w:val="center"/>
                </w:tcPr>
                <w:p w14:paraId="2892DA69">
                  <w:pPr>
                    <w:widowControl/>
                    <w:spacing w:line="276" w:lineRule="auto"/>
                    <w:jc w:val="center"/>
                    <w:rPr>
                      <w:kern w:val="0"/>
                      <w:szCs w:val="21"/>
                    </w:rPr>
                  </w:pPr>
                  <w:r>
                    <w:rPr>
                      <w:rFonts w:hint="eastAsia"/>
                      <w:kern w:val="0"/>
                      <w:szCs w:val="21"/>
                    </w:rPr>
                    <w:t>50</w:t>
                  </w:r>
                </w:p>
              </w:tc>
            </w:tr>
          </w:tbl>
          <w:p w14:paraId="445A825D">
            <w:pPr>
              <w:widowControl/>
              <w:spacing w:line="360" w:lineRule="auto"/>
              <w:ind w:firstLine="482" w:firstLineChars="200"/>
              <w:rPr>
                <w:b/>
                <w:bCs/>
                <w:kern w:val="0"/>
                <w:sz w:val="24"/>
                <w:szCs w:val="24"/>
              </w:rPr>
            </w:pPr>
            <w:r>
              <w:rPr>
                <w:rFonts w:hint="eastAsia"/>
                <w:b/>
                <w:bCs/>
                <w:kern w:val="0"/>
                <w:sz w:val="24"/>
                <w:szCs w:val="24"/>
              </w:rPr>
              <w:t>4</w:t>
            </w:r>
            <w:r>
              <w:rPr>
                <w:b/>
                <w:bCs/>
                <w:kern w:val="0"/>
                <w:sz w:val="24"/>
                <w:szCs w:val="24"/>
              </w:rPr>
              <w:t>、固体废物</w:t>
            </w:r>
          </w:p>
          <w:p w14:paraId="4EBCD4EB">
            <w:pPr>
              <w:spacing w:line="360" w:lineRule="auto"/>
              <w:ind w:firstLine="480" w:firstLineChars="200"/>
              <w:rPr>
                <w:bCs/>
                <w:kern w:val="0"/>
                <w:sz w:val="24"/>
                <w:szCs w:val="24"/>
              </w:rPr>
            </w:pPr>
            <w:r>
              <w:rPr>
                <w:rFonts w:hint="eastAsia"/>
                <w:snapToGrid w:val="0"/>
                <w:kern w:val="0"/>
                <w:sz w:val="24"/>
              </w:rPr>
              <w:t>按照《中华人民共和国固体废物污染环境防治法》的要求，固体废物须妥善处置，不得形成二次污染。一般工业固体废物贮存、处置参照《一般工业固体废物贮存和填埋污染控制标准》（</w:t>
            </w:r>
            <w:r>
              <w:rPr>
                <w:snapToGrid w:val="0"/>
                <w:kern w:val="0"/>
                <w:sz w:val="24"/>
              </w:rPr>
              <w:t>GB18599-2020</w:t>
            </w:r>
            <w:r>
              <w:rPr>
                <w:rFonts w:hint="eastAsia"/>
                <w:snapToGrid w:val="0"/>
                <w:kern w:val="0"/>
                <w:sz w:val="24"/>
              </w:rPr>
              <w:t>）；危险废物贮存执行《危险废物贮存污染控制标准》（</w:t>
            </w:r>
            <w:r>
              <w:rPr>
                <w:snapToGrid w:val="0"/>
                <w:kern w:val="0"/>
                <w:sz w:val="24"/>
              </w:rPr>
              <w:t>GB18597-20</w:t>
            </w:r>
            <w:r>
              <w:rPr>
                <w:rFonts w:hint="eastAsia"/>
                <w:snapToGrid w:val="0"/>
                <w:kern w:val="0"/>
                <w:sz w:val="24"/>
              </w:rPr>
              <w:t>23）中有关规定。</w:t>
            </w:r>
          </w:p>
          <w:p w14:paraId="7A0D0D97">
            <w:pPr>
              <w:spacing w:line="360" w:lineRule="auto"/>
              <w:rPr>
                <w:snapToGrid w:val="0"/>
                <w:kern w:val="0"/>
                <w:sz w:val="24"/>
              </w:rPr>
            </w:pPr>
          </w:p>
          <w:p w14:paraId="7CD1F186">
            <w:pPr>
              <w:spacing w:line="360" w:lineRule="auto"/>
              <w:rPr>
                <w:snapToGrid w:val="0"/>
                <w:kern w:val="0"/>
                <w:sz w:val="24"/>
              </w:rPr>
            </w:pPr>
          </w:p>
          <w:p w14:paraId="33B7555D">
            <w:pPr>
              <w:spacing w:line="360" w:lineRule="auto"/>
              <w:rPr>
                <w:snapToGrid w:val="0"/>
                <w:kern w:val="0"/>
                <w:sz w:val="24"/>
              </w:rPr>
            </w:pPr>
          </w:p>
          <w:p w14:paraId="47898B28">
            <w:pPr>
              <w:spacing w:line="360" w:lineRule="auto"/>
              <w:rPr>
                <w:snapToGrid w:val="0"/>
                <w:kern w:val="0"/>
                <w:sz w:val="24"/>
              </w:rPr>
            </w:pPr>
          </w:p>
          <w:p w14:paraId="7011C2BD">
            <w:pPr>
              <w:pStyle w:val="142"/>
              <w:widowControl/>
              <w:spacing w:line="360" w:lineRule="auto"/>
              <w:ind w:firstLine="0" w:firstLineChars="0"/>
            </w:pPr>
          </w:p>
          <w:p w14:paraId="2DCCAF7A">
            <w:pPr>
              <w:pStyle w:val="142"/>
              <w:widowControl/>
              <w:spacing w:line="360" w:lineRule="auto"/>
              <w:ind w:firstLine="0" w:firstLineChars="0"/>
            </w:pPr>
          </w:p>
          <w:p w14:paraId="76CD0539">
            <w:pPr>
              <w:pStyle w:val="142"/>
              <w:widowControl/>
              <w:spacing w:line="360" w:lineRule="auto"/>
              <w:ind w:firstLine="0" w:firstLineChars="0"/>
            </w:pPr>
          </w:p>
          <w:p w14:paraId="0706187B">
            <w:pPr>
              <w:pStyle w:val="142"/>
              <w:widowControl/>
              <w:spacing w:line="360" w:lineRule="auto"/>
              <w:ind w:firstLine="0" w:firstLineChars="0"/>
            </w:pPr>
          </w:p>
        </w:tc>
      </w:tr>
      <w:tr w14:paraId="6E381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dxa"/>
            <w:vAlign w:val="center"/>
          </w:tcPr>
          <w:p w14:paraId="1FC8C1C2">
            <w:pPr>
              <w:pStyle w:val="142"/>
              <w:widowControl/>
              <w:spacing w:line="360" w:lineRule="auto"/>
              <w:ind w:firstLineChars="175"/>
              <w:jc w:val="center"/>
              <w:rPr>
                <w:rFonts w:hAnsi="宋体"/>
                <w:kern w:val="0"/>
                <w:sz w:val="24"/>
              </w:rPr>
            </w:pPr>
            <w:r>
              <w:rPr>
                <w:rFonts w:hint="eastAsia" w:hAnsi="宋体"/>
                <w:kern w:val="0"/>
                <w:sz w:val="24"/>
              </w:rPr>
              <w:t>总总量控制指标</w:t>
            </w:r>
          </w:p>
        </w:tc>
        <w:tc>
          <w:tcPr>
            <w:tcW w:w="8358" w:type="dxa"/>
          </w:tcPr>
          <w:p w14:paraId="5713C3BC">
            <w:pPr>
              <w:spacing w:line="360" w:lineRule="auto"/>
              <w:ind w:firstLine="480" w:firstLineChars="200"/>
              <w:jc w:val="left"/>
              <w:rPr>
                <w:rFonts w:hAnsi="宋体"/>
                <w:sz w:val="24"/>
              </w:rPr>
            </w:pPr>
            <w:r>
              <w:rPr>
                <w:rFonts w:hAnsi="宋体"/>
                <w:sz w:val="24"/>
              </w:rPr>
              <w:t>根据</w:t>
            </w:r>
            <w:r>
              <w:rPr>
                <w:rFonts w:hint="eastAsia"/>
                <w:sz w:val="24"/>
              </w:rPr>
              <w:t>《</w:t>
            </w:r>
            <w:r>
              <w:rPr>
                <w:rFonts w:hAnsi="宋体"/>
                <w:sz w:val="24"/>
              </w:rPr>
              <w:t>安徽省环保厅关于进一步加强建设项目新增大气主要污染物总量指标管理工作的通知</w:t>
            </w:r>
            <w:r>
              <w:rPr>
                <w:rFonts w:hint="eastAsia"/>
                <w:sz w:val="24"/>
              </w:rPr>
              <w:t>》（皖环发[2017]19号）</w:t>
            </w:r>
            <w:r>
              <w:rPr>
                <w:rFonts w:hAnsi="宋体"/>
                <w:sz w:val="24"/>
              </w:rPr>
              <w:t>中有关规定，大气主要污染物总量指标从两项增加为四项，在</w:t>
            </w:r>
            <w:r>
              <w:rPr>
                <w:sz w:val="24"/>
              </w:rPr>
              <w:t>SO</w:t>
            </w:r>
            <w:r>
              <w:rPr>
                <w:sz w:val="24"/>
                <w:vertAlign w:val="subscript"/>
              </w:rPr>
              <w:t>2</w:t>
            </w:r>
            <w:r>
              <w:rPr>
                <w:rFonts w:hAnsi="宋体"/>
                <w:sz w:val="24"/>
              </w:rPr>
              <w:t>、</w:t>
            </w:r>
            <w:r>
              <w:rPr>
                <w:sz w:val="24"/>
              </w:rPr>
              <w:t>NO</w:t>
            </w:r>
            <w:r>
              <w:rPr>
                <w:rFonts w:hint="eastAsia"/>
                <w:sz w:val="24"/>
                <w:vertAlign w:val="subscript"/>
              </w:rPr>
              <w:t>x</w:t>
            </w:r>
            <w:r>
              <w:rPr>
                <w:rFonts w:hAnsi="宋体"/>
                <w:sz w:val="24"/>
              </w:rPr>
              <w:t>的基础上增加烟（粉）尘、挥发性有机物（</w:t>
            </w:r>
            <w:r>
              <w:rPr>
                <w:sz w:val="24"/>
              </w:rPr>
              <w:t>VOCs</w:t>
            </w:r>
            <w:r>
              <w:rPr>
                <w:rFonts w:hAnsi="宋体"/>
                <w:sz w:val="24"/>
              </w:rPr>
              <w:t>）两项指标。</w:t>
            </w:r>
          </w:p>
          <w:p w14:paraId="09C2BF80">
            <w:pPr>
              <w:spacing w:line="360" w:lineRule="auto"/>
              <w:ind w:firstLine="480" w:firstLineChars="200"/>
              <w:rPr>
                <w:kern w:val="0"/>
                <w:sz w:val="24"/>
              </w:rPr>
            </w:pPr>
            <w:r>
              <w:rPr>
                <w:rFonts w:hint="eastAsia"/>
                <w:kern w:val="0"/>
                <w:sz w:val="24"/>
              </w:rPr>
              <w:t>本项目大气污染物主要为颗粒物、SO</w:t>
            </w:r>
            <w:r>
              <w:rPr>
                <w:rFonts w:hint="eastAsia"/>
                <w:kern w:val="0"/>
                <w:sz w:val="24"/>
                <w:vertAlign w:val="subscript"/>
              </w:rPr>
              <w:t>2</w:t>
            </w:r>
            <w:r>
              <w:rPr>
                <w:rFonts w:hint="eastAsia"/>
                <w:kern w:val="0"/>
                <w:sz w:val="24"/>
              </w:rPr>
              <w:t>、NO</w:t>
            </w:r>
            <w:r>
              <w:rPr>
                <w:rFonts w:hint="eastAsia"/>
                <w:kern w:val="0"/>
                <w:sz w:val="24"/>
                <w:vertAlign w:val="subscript"/>
              </w:rPr>
              <w:t>2</w:t>
            </w:r>
            <w:r>
              <w:rPr>
                <w:rFonts w:hint="eastAsia"/>
                <w:kern w:val="0"/>
                <w:sz w:val="24"/>
              </w:rPr>
              <w:t>、VOCs</w:t>
            </w:r>
            <w:r>
              <w:rPr>
                <w:rFonts w:hint="eastAsia"/>
                <w:sz w:val="24"/>
              </w:rPr>
              <w:t>，</w:t>
            </w:r>
            <w:r>
              <w:rPr>
                <w:rFonts w:hint="eastAsia"/>
                <w:kern w:val="0"/>
                <w:sz w:val="24"/>
              </w:rPr>
              <w:t>排放量分别为</w:t>
            </w:r>
            <w:r>
              <w:rPr>
                <w:rFonts w:hint="eastAsia"/>
                <w:sz w:val="24"/>
              </w:rPr>
              <w:t>：2.43</w:t>
            </w:r>
            <m:oMath>
              <m:r>
                <m:rPr>
                  <m:sty m:val="p"/>
                </m:rPr>
                <w:rPr>
                  <w:rFonts w:ascii="Cambria Math" w:hAnsi="Cambria Math"/>
                  <w:sz w:val="24"/>
                </w:rPr>
                <m:t>×</m:t>
              </m:r>
            </m:oMath>
            <w:r>
              <w:rPr>
                <w:rFonts w:hint="eastAsia"/>
                <w:sz w:val="24"/>
              </w:rPr>
              <w:t>10</w:t>
            </w:r>
            <w:r>
              <w:rPr>
                <w:rFonts w:hint="eastAsia"/>
                <w:sz w:val="24"/>
                <w:vertAlign w:val="superscript"/>
              </w:rPr>
              <w:t>-5</w:t>
            </w:r>
            <w:r>
              <w:rPr>
                <w:rFonts w:hint="eastAsia"/>
                <w:sz w:val="24"/>
              </w:rPr>
              <w:t>t/a、1.17</w:t>
            </w:r>
            <m:oMath>
              <m:r>
                <m:rPr>
                  <m:sty m:val="p"/>
                </m:rPr>
                <w:rPr>
                  <w:rFonts w:ascii="Cambria Math" w:hAnsi="Cambria Math"/>
                  <w:sz w:val="24"/>
                </w:rPr>
                <m:t>×</m:t>
              </m:r>
            </m:oMath>
            <w:r>
              <w:rPr>
                <w:rFonts w:hint="eastAsia"/>
                <w:sz w:val="24"/>
              </w:rPr>
              <w:t>10</w:t>
            </w:r>
            <w:r>
              <w:rPr>
                <w:rFonts w:hint="eastAsia"/>
                <w:sz w:val="24"/>
                <w:vertAlign w:val="superscript"/>
              </w:rPr>
              <w:t>-7</w:t>
            </w:r>
            <w:r>
              <w:rPr>
                <w:rFonts w:hint="eastAsia"/>
                <w:sz w:val="24"/>
              </w:rPr>
              <w:t>t/a、2.7</w:t>
            </w:r>
            <m:oMath>
              <m:r>
                <m:rPr>
                  <m:sty m:val="p"/>
                </m:rPr>
                <w:rPr>
                  <w:rFonts w:ascii="Cambria Math" w:hAnsi="Cambria Math"/>
                  <w:sz w:val="24"/>
                </w:rPr>
                <m:t>×</m:t>
              </m:r>
            </m:oMath>
            <w:r>
              <w:rPr>
                <w:rFonts w:hint="eastAsia"/>
                <w:sz w:val="24"/>
              </w:rPr>
              <w:t>10</w:t>
            </w:r>
            <w:r>
              <w:rPr>
                <w:rFonts w:hint="eastAsia"/>
                <w:sz w:val="24"/>
                <w:vertAlign w:val="superscript"/>
              </w:rPr>
              <w:t>-4</w:t>
            </w:r>
            <w:r>
              <w:rPr>
                <w:rFonts w:hint="eastAsia"/>
                <w:sz w:val="24"/>
              </w:rPr>
              <w:t>t/a、0.033t/a</w:t>
            </w:r>
            <w:r>
              <w:rPr>
                <w:rFonts w:hint="eastAsia"/>
                <w:kern w:val="0"/>
                <w:sz w:val="24"/>
              </w:rPr>
              <w:t>。具体总量指标由生态环境主管部门统一调配。</w:t>
            </w:r>
          </w:p>
          <w:p w14:paraId="5C74CE2F">
            <w:pPr>
              <w:pStyle w:val="108"/>
              <w:adjustRightInd/>
              <w:spacing w:line="360" w:lineRule="auto"/>
              <w:ind w:firstLine="480" w:firstLineChars="200"/>
              <w:rPr>
                <w:color w:val="auto"/>
              </w:rPr>
            </w:pPr>
            <w:r>
              <w:rPr>
                <w:color w:val="auto"/>
                <w:szCs w:val="20"/>
              </w:rPr>
              <w:t>本项目仅排放生活污水，生活污水经</w:t>
            </w:r>
            <w:r>
              <w:rPr>
                <w:rFonts w:hint="eastAsia"/>
                <w:color w:val="auto"/>
              </w:rPr>
              <w:t>化粪池预处理后</w:t>
            </w:r>
            <w:r>
              <w:rPr>
                <w:rFonts w:hint="eastAsia" w:ascii="宋体" w:hAnsi="宋体" w:cs="宋体"/>
                <w:color w:val="auto"/>
              </w:rPr>
              <w:t>排入市政管网接管毛集实验区污水处理厂</w:t>
            </w:r>
            <w:r>
              <w:rPr>
                <w:rFonts w:hint="eastAsia"/>
                <w:bCs/>
                <w:color w:val="auto"/>
              </w:rPr>
              <w:t>，</w:t>
            </w:r>
            <w:r>
              <w:rPr>
                <w:rFonts w:hint="eastAsia" w:hAnsi="宋体"/>
                <w:snapToGrid w:val="0"/>
                <w:color w:val="auto"/>
              </w:rPr>
              <w:t>废水</w:t>
            </w:r>
            <w:r>
              <w:rPr>
                <w:rFonts w:hint="eastAsia" w:hAnsi="宋体"/>
                <w:color w:val="auto"/>
              </w:rPr>
              <w:t>控制指标统一纳入</w:t>
            </w:r>
            <w:r>
              <w:rPr>
                <w:rFonts w:hint="eastAsia" w:ascii="宋体" w:hAnsi="宋体" w:cs="宋体"/>
                <w:color w:val="auto"/>
              </w:rPr>
              <w:t>毛集实验区污水处理厂管理</w:t>
            </w:r>
            <w:r>
              <w:rPr>
                <w:rFonts w:hint="eastAsia" w:hAnsi="宋体"/>
                <w:color w:val="auto"/>
              </w:rPr>
              <w:t>，本项目不需要单独申请总量。</w:t>
            </w:r>
          </w:p>
          <w:p w14:paraId="524A00B1">
            <w:pPr>
              <w:pStyle w:val="142"/>
              <w:widowControl/>
              <w:spacing w:line="360" w:lineRule="auto"/>
              <w:ind w:firstLine="482"/>
              <w:rPr>
                <w:b/>
                <w:sz w:val="24"/>
                <w:szCs w:val="24"/>
              </w:rPr>
            </w:pPr>
          </w:p>
          <w:p w14:paraId="5732A9F9">
            <w:pPr>
              <w:pStyle w:val="142"/>
              <w:widowControl/>
              <w:spacing w:line="360" w:lineRule="auto"/>
              <w:ind w:firstLine="482"/>
              <w:rPr>
                <w:b/>
                <w:sz w:val="24"/>
                <w:szCs w:val="24"/>
              </w:rPr>
            </w:pPr>
          </w:p>
          <w:p w14:paraId="7E9B2AEA">
            <w:pPr>
              <w:pStyle w:val="142"/>
              <w:widowControl/>
              <w:spacing w:line="360" w:lineRule="auto"/>
              <w:ind w:firstLine="482"/>
              <w:rPr>
                <w:b/>
                <w:sz w:val="24"/>
                <w:szCs w:val="24"/>
              </w:rPr>
            </w:pPr>
          </w:p>
          <w:p w14:paraId="3C704D7A">
            <w:pPr>
              <w:pStyle w:val="142"/>
              <w:widowControl/>
              <w:spacing w:line="360" w:lineRule="auto"/>
              <w:ind w:firstLine="482"/>
              <w:rPr>
                <w:b/>
                <w:sz w:val="24"/>
                <w:szCs w:val="24"/>
              </w:rPr>
            </w:pPr>
          </w:p>
          <w:p w14:paraId="351A6EB0">
            <w:pPr>
              <w:pStyle w:val="142"/>
              <w:widowControl/>
              <w:spacing w:line="360" w:lineRule="auto"/>
              <w:ind w:firstLine="482"/>
              <w:rPr>
                <w:b/>
                <w:sz w:val="24"/>
                <w:szCs w:val="24"/>
              </w:rPr>
            </w:pPr>
          </w:p>
          <w:p w14:paraId="1B88DA6F">
            <w:pPr>
              <w:pStyle w:val="142"/>
              <w:widowControl/>
              <w:spacing w:line="360" w:lineRule="auto"/>
              <w:ind w:firstLine="482"/>
              <w:rPr>
                <w:b/>
                <w:sz w:val="24"/>
                <w:szCs w:val="24"/>
              </w:rPr>
            </w:pPr>
          </w:p>
          <w:p w14:paraId="52C0E552">
            <w:pPr>
              <w:pStyle w:val="142"/>
              <w:widowControl/>
              <w:spacing w:line="360" w:lineRule="auto"/>
              <w:ind w:firstLine="482"/>
              <w:rPr>
                <w:b/>
                <w:sz w:val="24"/>
                <w:szCs w:val="24"/>
              </w:rPr>
            </w:pPr>
          </w:p>
          <w:p w14:paraId="245A6730">
            <w:pPr>
              <w:widowControl/>
              <w:spacing w:line="360" w:lineRule="auto"/>
              <w:rPr>
                <w:b/>
                <w:sz w:val="24"/>
                <w:szCs w:val="24"/>
              </w:rPr>
            </w:pPr>
          </w:p>
          <w:p w14:paraId="0AE8B5A7">
            <w:pPr>
              <w:widowControl/>
              <w:spacing w:line="360" w:lineRule="auto"/>
              <w:rPr>
                <w:b/>
                <w:sz w:val="24"/>
                <w:szCs w:val="24"/>
              </w:rPr>
            </w:pPr>
          </w:p>
          <w:p w14:paraId="3CF64311">
            <w:pPr>
              <w:widowControl/>
              <w:spacing w:line="360" w:lineRule="auto"/>
              <w:rPr>
                <w:b/>
                <w:sz w:val="24"/>
                <w:szCs w:val="24"/>
              </w:rPr>
            </w:pPr>
          </w:p>
          <w:p w14:paraId="2DAA36EE">
            <w:pPr>
              <w:widowControl/>
              <w:spacing w:line="360" w:lineRule="auto"/>
              <w:rPr>
                <w:b/>
                <w:sz w:val="24"/>
                <w:szCs w:val="24"/>
              </w:rPr>
            </w:pPr>
          </w:p>
          <w:p w14:paraId="265A7428">
            <w:pPr>
              <w:widowControl/>
              <w:spacing w:line="360" w:lineRule="auto"/>
              <w:rPr>
                <w:b/>
                <w:sz w:val="24"/>
                <w:szCs w:val="24"/>
              </w:rPr>
            </w:pPr>
          </w:p>
          <w:p w14:paraId="392D21F4">
            <w:pPr>
              <w:widowControl/>
              <w:spacing w:line="360" w:lineRule="auto"/>
              <w:rPr>
                <w:b/>
                <w:sz w:val="24"/>
                <w:szCs w:val="24"/>
              </w:rPr>
            </w:pPr>
          </w:p>
          <w:p w14:paraId="73095115">
            <w:pPr>
              <w:widowControl/>
              <w:spacing w:line="360" w:lineRule="auto"/>
              <w:rPr>
                <w:b/>
                <w:sz w:val="24"/>
                <w:szCs w:val="24"/>
              </w:rPr>
            </w:pPr>
          </w:p>
          <w:p w14:paraId="756B81D3">
            <w:pPr>
              <w:widowControl/>
              <w:spacing w:line="360" w:lineRule="auto"/>
              <w:rPr>
                <w:b/>
                <w:sz w:val="24"/>
                <w:szCs w:val="24"/>
              </w:rPr>
            </w:pPr>
          </w:p>
          <w:p w14:paraId="15F22C4A">
            <w:pPr>
              <w:widowControl/>
              <w:spacing w:line="360" w:lineRule="auto"/>
              <w:rPr>
                <w:b/>
                <w:sz w:val="24"/>
                <w:szCs w:val="24"/>
              </w:rPr>
            </w:pPr>
          </w:p>
          <w:p w14:paraId="36BF0093">
            <w:pPr>
              <w:widowControl/>
              <w:spacing w:line="360" w:lineRule="auto"/>
              <w:rPr>
                <w:b/>
                <w:sz w:val="24"/>
                <w:szCs w:val="24"/>
              </w:rPr>
            </w:pPr>
          </w:p>
        </w:tc>
      </w:tr>
    </w:tbl>
    <w:p w14:paraId="1DEBF53B">
      <w:pPr>
        <w:widowControl/>
        <w:outlineLvl w:val="0"/>
        <w:rPr>
          <w:rFonts w:ascii="宋体" w:hAnsi="宋体"/>
          <w:b/>
          <w:bCs/>
          <w:kern w:val="0"/>
          <w:sz w:val="30"/>
          <w:szCs w:val="30"/>
        </w:rPr>
        <w:sectPr>
          <w:pgSz w:w="11906" w:h="16838"/>
          <w:pgMar w:top="1440" w:right="1508" w:bottom="1440" w:left="1797" w:header="851" w:footer="992" w:gutter="0"/>
          <w:cols w:space="720" w:num="1"/>
          <w:docGrid w:type="lines" w:linePitch="312" w:charSpace="0"/>
        </w:sectPr>
      </w:pPr>
    </w:p>
    <w:p w14:paraId="596EE78F">
      <w:pPr>
        <w:widowControl/>
        <w:jc w:val="center"/>
        <w:outlineLvl w:val="0"/>
        <w:rPr>
          <w:b/>
          <w:bCs/>
          <w:kern w:val="0"/>
          <w:sz w:val="30"/>
          <w:szCs w:val="30"/>
        </w:rPr>
      </w:pPr>
      <w:r>
        <w:rPr>
          <w:b/>
          <w:bCs/>
          <w:kern w:val="0"/>
          <w:sz w:val="30"/>
          <w:szCs w:val="30"/>
        </w:rPr>
        <w:t>四、</w:t>
      </w:r>
      <w:bookmarkEnd w:id="9"/>
      <w:r>
        <w:rPr>
          <w:b/>
          <w:bCs/>
          <w:kern w:val="0"/>
          <w:sz w:val="30"/>
          <w:szCs w:val="30"/>
        </w:rPr>
        <w:t>主要环境影响和保护措施</w:t>
      </w:r>
    </w:p>
    <w:tbl>
      <w:tblPr>
        <w:tblStyle w:val="34"/>
        <w:tblpPr w:leftFromText="180" w:rightFromText="180" w:vertAnchor="text" w:tblpXSpec="right" w:tblpY="1"/>
        <w:tblOverlap w:val="never"/>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6"/>
        <w:gridCol w:w="8361"/>
      </w:tblGrid>
      <w:tr w14:paraId="2A0CC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456" w:type="dxa"/>
            <w:vAlign w:val="center"/>
          </w:tcPr>
          <w:p w14:paraId="78F881FA">
            <w:pPr>
              <w:widowControl/>
              <w:spacing w:line="360" w:lineRule="auto"/>
              <w:jc w:val="center"/>
              <w:rPr>
                <w:b/>
                <w:bCs/>
                <w:kern w:val="0"/>
                <w:sz w:val="25"/>
                <w:szCs w:val="25"/>
              </w:rPr>
            </w:pPr>
            <w:r>
              <w:rPr>
                <w:rFonts w:hint="eastAsia" w:hAnsi="宋体"/>
                <w:kern w:val="0"/>
                <w:sz w:val="24"/>
              </w:rPr>
              <w:t>施工期环境保护措施</w:t>
            </w:r>
          </w:p>
        </w:tc>
        <w:tc>
          <w:tcPr>
            <w:tcW w:w="8361" w:type="dxa"/>
          </w:tcPr>
          <w:p w14:paraId="7900B505">
            <w:pPr>
              <w:spacing w:line="360" w:lineRule="auto"/>
              <w:ind w:firstLine="480" w:firstLineChars="200"/>
              <w:rPr>
                <w:rFonts w:hAnsi="宋体"/>
                <w:snapToGrid w:val="0"/>
                <w:sz w:val="24"/>
              </w:rPr>
            </w:pPr>
            <w:r>
              <w:rPr>
                <w:rFonts w:hint="eastAsia"/>
                <w:snapToGrid w:val="0"/>
                <w:sz w:val="24"/>
              </w:rPr>
              <w:t>本项目租赁安徽焦岗湖产业发展有限公司内标准化厂房3层，</w:t>
            </w:r>
            <w:r>
              <w:rPr>
                <w:rFonts w:hint="eastAsia" w:hAnsi="宋体"/>
                <w:snapToGrid w:val="0"/>
                <w:sz w:val="24"/>
              </w:rPr>
              <w:t>本项目仅在空置厂房内进行设备安装调试，不涉及土建工程，产生的污染物较少。因此，本次评价仅对其进行简要定性分析和评价。</w:t>
            </w:r>
          </w:p>
          <w:p w14:paraId="23C11275">
            <w:pPr>
              <w:widowControl/>
              <w:spacing w:line="360" w:lineRule="auto"/>
              <w:ind w:firstLine="480" w:firstLineChars="200"/>
              <w:rPr>
                <w:rFonts w:ascii="宋体" w:hAnsi="宋体"/>
                <w:snapToGrid w:val="0"/>
                <w:sz w:val="24"/>
              </w:rPr>
            </w:pPr>
            <w:r>
              <w:rPr>
                <w:rFonts w:hint="eastAsia" w:ascii="宋体" w:hAnsi="宋体"/>
                <w:snapToGrid w:val="0"/>
                <w:sz w:val="24"/>
              </w:rPr>
              <w:t>施工期保护措施如下：</w:t>
            </w:r>
          </w:p>
          <w:p w14:paraId="130283E5">
            <w:pPr>
              <w:widowControl/>
              <w:spacing w:line="360" w:lineRule="auto"/>
              <w:ind w:firstLine="480" w:firstLineChars="200"/>
              <w:rPr>
                <w:rFonts w:hAnsi="宋体"/>
                <w:sz w:val="24"/>
                <w:szCs w:val="21"/>
              </w:rPr>
            </w:pPr>
            <w:r>
              <w:rPr>
                <w:rFonts w:hint="eastAsia" w:hAnsi="宋体"/>
                <w:sz w:val="24"/>
                <w:szCs w:val="21"/>
              </w:rPr>
              <w:t>1、施工人员生活废水经化粪池预处理后排入市政污水管网。</w:t>
            </w:r>
          </w:p>
          <w:p w14:paraId="31488682">
            <w:pPr>
              <w:pStyle w:val="108"/>
              <w:adjustRightInd/>
              <w:spacing w:line="360" w:lineRule="auto"/>
              <w:ind w:firstLine="480" w:firstLineChars="200"/>
              <w:jc w:val="both"/>
              <w:rPr>
                <w:rFonts w:hAnsi="宋体" w:cs="宋体"/>
                <w:color w:val="auto"/>
                <w:szCs w:val="21"/>
              </w:rPr>
            </w:pPr>
            <w:r>
              <w:rPr>
                <w:rFonts w:hint="eastAsia" w:hAnsi="宋体"/>
                <w:color w:val="auto"/>
                <w:szCs w:val="21"/>
              </w:rPr>
              <w:t>2、施工人员生活垃圾由垃圾桶收集后委托环卫清运。</w:t>
            </w:r>
          </w:p>
          <w:p w14:paraId="29BE529E">
            <w:pPr>
              <w:autoSpaceDE w:val="0"/>
              <w:autoSpaceDN w:val="0"/>
              <w:adjustRightInd w:val="0"/>
              <w:spacing w:line="360" w:lineRule="auto"/>
              <w:ind w:firstLine="480" w:firstLineChars="200"/>
              <w:rPr>
                <w:kern w:val="0"/>
                <w:sz w:val="24"/>
              </w:rPr>
            </w:pPr>
            <w:r>
              <w:rPr>
                <w:rFonts w:hint="eastAsia" w:hAnsi="宋体"/>
                <w:kern w:val="0"/>
                <w:sz w:val="24"/>
                <w:szCs w:val="21"/>
              </w:rPr>
              <w:t>3、通过关闭厂房门窗降低施工噪声对周围环境的影响</w:t>
            </w:r>
            <w:r>
              <w:rPr>
                <w:rFonts w:hint="eastAsia" w:ascii="宋体" w:hAnsi="宋体"/>
                <w:snapToGrid w:val="0"/>
                <w:kern w:val="0"/>
                <w:sz w:val="24"/>
              </w:rPr>
              <w:t>。</w:t>
            </w:r>
          </w:p>
        </w:tc>
      </w:tr>
      <w:tr w14:paraId="2AFF2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65" w:hRule="atLeast"/>
        </w:trPr>
        <w:tc>
          <w:tcPr>
            <w:tcW w:w="456" w:type="dxa"/>
            <w:vAlign w:val="center"/>
          </w:tcPr>
          <w:p w14:paraId="371CDB4B">
            <w:pPr>
              <w:widowControl/>
              <w:spacing w:line="360" w:lineRule="auto"/>
              <w:jc w:val="center"/>
              <w:rPr>
                <w:bCs/>
                <w:kern w:val="0"/>
                <w:sz w:val="24"/>
                <w:szCs w:val="24"/>
              </w:rPr>
            </w:pPr>
            <w:r>
              <w:rPr>
                <w:rFonts w:hint="eastAsia" w:hAnsi="宋体"/>
                <w:kern w:val="0"/>
                <w:sz w:val="24"/>
              </w:rPr>
              <w:t>运营期环境影响和保护措施</w:t>
            </w:r>
          </w:p>
        </w:tc>
        <w:tc>
          <w:tcPr>
            <w:tcW w:w="8361" w:type="dxa"/>
            <w:vAlign w:val="center"/>
          </w:tcPr>
          <w:p w14:paraId="2E86D489">
            <w:pPr>
              <w:spacing w:line="360" w:lineRule="auto"/>
              <w:ind w:firstLine="482" w:firstLineChars="200"/>
              <w:rPr>
                <w:b/>
                <w:bCs/>
                <w:sz w:val="24"/>
                <w:szCs w:val="28"/>
              </w:rPr>
            </w:pPr>
            <w:r>
              <w:rPr>
                <w:rFonts w:hint="eastAsia"/>
                <w:b/>
                <w:bCs/>
                <w:sz w:val="24"/>
                <w:szCs w:val="28"/>
              </w:rPr>
              <w:t>一、大气污染源强及环境影响和保护措施</w:t>
            </w:r>
          </w:p>
          <w:p w14:paraId="0968F4EB">
            <w:pPr>
              <w:spacing w:line="360" w:lineRule="auto"/>
              <w:ind w:firstLine="482" w:firstLineChars="200"/>
              <w:rPr>
                <w:b/>
                <w:bCs/>
                <w:sz w:val="24"/>
                <w:szCs w:val="28"/>
              </w:rPr>
            </w:pPr>
            <w:r>
              <w:rPr>
                <w:rFonts w:hint="eastAsia"/>
                <w:b/>
                <w:bCs/>
                <w:sz w:val="24"/>
                <w:szCs w:val="28"/>
              </w:rPr>
              <w:t>1、废气源强分析</w:t>
            </w:r>
          </w:p>
          <w:p w14:paraId="20C77AF3">
            <w:pPr>
              <w:pStyle w:val="108"/>
              <w:spacing w:line="360" w:lineRule="auto"/>
              <w:ind w:firstLine="480" w:firstLineChars="200"/>
              <w:rPr>
                <w:rFonts w:hAnsi="宋体"/>
                <w:color w:val="auto"/>
              </w:rPr>
            </w:pPr>
            <w:r>
              <w:rPr>
                <w:rFonts w:hint="eastAsia" w:hAnsi="宋体"/>
                <w:color w:val="auto"/>
              </w:rPr>
              <w:t>本项目运营期产生的废气主要为</w:t>
            </w:r>
            <w:r>
              <w:rPr>
                <w:rFonts w:hint="eastAsia"/>
                <w:color w:val="auto"/>
              </w:rPr>
              <w:t>玻璃管热熔封口废气（G</w:t>
            </w:r>
            <w:r>
              <w:rPr>
                <w:color w:val="auto"/>
                <w:vertAlign w:val="subscript"/>
              </w:rPr>
              <w:t>1</w:t>
            </w:r>
            <w:r>
              <w:rPr>
                <w:rFonts w:hint="eastAsia"/>
                <w:color w:val="auto"/>
              </w:rPr>
              <w:t>）、组合管封口废气（G</w:t>
            </w:r>
            <w:r>
              <w:rPr>
                <w:color w:val="auto"/>
                <w:vertAlign w:val="subscript"/>
              </w:rPr>
              <w:t>2</w:t>
            </w:r>
            <w:r>
              <w:rPr>
                <w:rFonts w:hint="eastAsia"/>
                <w:color w:val="auto"/>
              </w:rPr>
              <w:t>）、清洗废气（G</w:t>
            </w:r>
            <w:r>
              <w:rPr>
                <w:color w:val="auto"/>
                <w:vertAlign w:val="subscript"/>
              </w:rPr>
              <w:t>3</w:t>
            </w:r>
            <w:r>
              <w:rPr>
                <w:rFonts w:hint="eastAsia"/>
                <w:color w:val="auto"/>
              </w:rPr>
              <w:t>）、</w:t>
            </w:r>
            <w:r>
              <w:rPr>
                <w:rFonts w:hint="eastAsia" w:hAnsi="宋体"/>
                <w:color w:val="auto"/>
              </w:rPr>
              <w:t>（组合管）离心废气（G</w:t>
            </w:r>
            <w:r>
              <w:rPr>
                <w:rFonts w:hAnsi="宋体"/>
                <w:color w:val="auto"/>
                <w:vertAlign w:val="subscript"/>
              </w:rPr>
              <w:t>4</w:t>
            </w:r>
            <w:r>
              <w:rPr>
                <w:rFonts w:hint="eastAsia" w:hAnsi="宋体"/>
                <w:color w:val="auto"/>
              </w:rPr>
              <w:t>）</w:t>
            </w:r>
            <w:r>
              <w:rPr>
                <w:rFonts w:hint="eastAsia"/>
                <w:color w:val="auto"/>
              </w:rPr>
              <w:t>。</w:t>
            </w:r>
          </w:p>
          <w:p w14:paraId="32872365">
            <w:pPr>
              <w:spacing w:line="360" w:lineRule="auto"/>
              <w:ind w:firstLine="480" w:firstLineChars="200"/>
              <w:jc w:val="left"/>
              <w:rPr>
                <w:sz w:val="24"/>
              </w:rPr>
            </w:pPr>
            <w:r>
              <w:rPr>
                <w:rFonts w:hint="eastAsia"/>
                <w:sz w:val="24"/>
              </w:rPr>
              <w:t>（1）</w:t>
            </w:r>
            <w:r>
              <w:rPr>
                <w:rFonts w:hint="eastAsia"/>
                <w:sz w:val="24"/>
                <w:szCs w:val="24"/>
              </w:rPr>
              <w:t>玻璃管热熔封口废气（G</w:t>
            </w:r>
            <w:r>
              <w:rPr>
                <w:sz w:val="24"/>
                <w:szCs w:val="24"/>
                <w:vertAlign w:val="subscript"/>
              </w:rPr>
              <w:t>1</w:t>
            </w:r>
            <w:r>
              <w:rPr>
                <w:rFonts w:hint="eastAsia"/>
                <w:sz w:val="24"/>
                <w:szCs w:val="24"/>
              </w:rPr>
              <w:t>）</w:t>
            </w:r>
          </w:p>
          <w:p w14:paraId="43E62336">
            <w:pPr>
              <w:spacing w:line="360" w:lineRule="auto"/>
              <w:ind w:firstLine="480" w:firstLineChars="200"/>
              <w:jc w:val="left"/>
              <w:rPr>
                <w:sz w:val="24"/>
              </w:rPr>
            </w:pPr>
            <w:r>
              <w:rPr>
                <w:rFonts w:hint="eastAsia"/>
                <w:sz w:val="24"/>
              </w:rPr>
              <w:t>项目生产过程中玻璃管封口采用液化气燃烧火焰加热熔融封口，本项目液化气以甲烷为主要成分，燃烧过程中主要产生的污染物有二氧化硫、氮氧化物（以NO</w:t>
            </w:r>
            <w:r>
              <w:rPr>
                <w:rFonts w:hint="eastAsia"/>
                <w:sz w:val="24"/>
                <w:vertAlign w:val="subscript"/>
              </w:rPr>
              <w:t>2</w:t>
            </w:r>
            <w:r>
              <w:rPr>
                <w:rFonts w:hint="eastAsia"/>
                <w:sz w:val="24"/>
              </w:rPr>
              <w:t>计）、颗粒物。</w:t>
            </w:r>
          </w:p>
          <w:p w14:paraId="52D79CFC">
            <w:pPr>
              <w:spacing w:line="360" w:lineRule="auto"/>
              <w:ind w:firstLine="480" w:firstLineChars="200"/>
              <w:jc w:val="left"/>
              <w:rPr>
                <w:sz w:val="24"/>
              </w:rPr>
            </w:pPr>
            <w:r>
              <w:rPr>
                <w:rFonts w:hint="eastAsia"/>
                <w:sz w:val="24"/>
              </w:rPr>
              <w:t>根据</w:t>
            </w:r>
            <w:r>
              <w:rPr>
                <w:rFonts w:hint="eastAsia"/>
                <w:sz w:val="24"/>
                <w:szCs w:val="24"/>
              </w:rPr>
              <w:t>《</w:t>
            </w:r>
            <w:r>
              <w:rPr>
                <w:rFonts w:ascii="Roboto" w:hAnsi="Roboto"/>
                <w:sz w:val="24"/>
                <w:szCs w:val="24"/>
                <w:shd w:val="clear" w:color="auto" w:fill="FFFFFF"/>
              </w:rPr>
              <w:t>生活源产排污核算方法和系数手册</w:t>
            </w:r>
            <w:r>
              <w:rPr>
                <w:rFonts w:hint="eastAsia"/>
                <w:sz w:val="24"/>
              </w:rPr>
              <w:t>》（生态环境部2</w:t>
            </w:r>
            <w:r>
              <w:rPr>
                <w:sz w:val="24"/>
              </w:rPr>
              <w:t>021</w:t>
            </w:r>
            <w:r>
              <w:rPr>
                <w:rFonts w:hint="eastAsia"/>
                <w:sz w:val="24"/>
              </w:rPr>
              <w:t>年6月1</w:t>
            </w:r>
            <w:r>
              <w:rPr>
                <w:sz w:val="24"/>
              </w:rPr>
              <w:t>1</w:t>
            </w:r>
            <w:r>
              <w:rPr>
                <w:rFonts w:hint="eastAsia"/>
                <w:sz w:val="24"/>
              </w:rPr>
              <w:t>日公布），液化天然气燃烧排放系数为：颗粒物：</w:t>
            </w:r>
            <w:r>
              <w:rPr>
                <w:sz w:val="24"/>
              </w:rPr>
              <w:t>1.1</w:t>
            </w:r>
            <w:r>
              <w:rPr>
                <w:rFonts w:hint="eastAsia"/>
                <w:sz w:val="24"/>
              </w:rPr>
              <w:t>kg</w:t>
            </w:r>
            <w:r>
              <w:rPr>
                <w:sz w:val="24"/>
              </w:rPr>
              <w:t>/</w:t>
            </w:r>
            <w:r>
              <w:rPr>
                <w:rFonts w:hint="eastAsia"/>
                <w:sz w:val="24"/>
              </w:rPr>
              <w:t>万m</w:t>
            </w:r>
            <w:r>
              <w:rPr>
                <w:sz w:val="24"/>
                <w:vertAlign w:val="superscript"/>
              </w:rPr>
              <w:t>3</w:t>
            </w:r>
            <w:r>
              <w:rPr>
                <w:rFonts w:hint="eastAsia"/>
                <w:sz w:val="24"/>
              </w:rPr>
              <w:t>，SO</w:t>
            </w:r>
            <w:r>
              <w:rPr>
                <w:rFonts w:hint="eastAsia"/>
                <w:sz w:val="24"/>
                <w:vertAlign w:val="subscript"/>
              </w:rPr>
              <w:t>2</w:t>
            </w:r>
            <w:r>
              <w:rPr>
                <w:rFonts w:hint="eastAsia"/>
                <w:sz w:val="24"/>
              </w:rPr>
              <w:t>：</w:t>
            </w:r>
            <w:r>
              <w:rPr>
                <w:sz w:val="24"/>
              </w:rPr>
              <w:t>0.0054</w:t>
            </w:r>
            <w:r>
              <w:rPr>
                <w:rFonts w:hint="eastAsia"/>
                <w:sz w:val="24"/>
              </w:rPr>
              <w:t>kg</w:t>
            </w:r>
            <w:r>
              <w:rPr>
                <w:sz w:val="24"/>
              </w:rPr>
              <w:t>/</w:t>
            </w:r>
            <w:r>
              <w:rPr>
                <w:rFonts w:hint="eastAsia"/>
                <w:sz w:val="24"/>
              </w:rPr>
              <w:t>万m</w:t>
            </w:r>
            <w:r>
              <w:rPr>
                <w:sz w:val="24"/>
                <w:vertAlign w:val="superscript"/>
              </w:rPr>
              <w:t>3</w:t>
            </w:r>
            <w:r>
              <w:rPr>
                <w:rFonts w:hint="eastAsia"/>
                <w:sz w:val="24"/>
              </w:rPr>
              <w:t>，NO</w:t>
            </w:r>
            <w:r>
              <w:rPr>
                <w:rFonts w:hint="eastAsia"/>
                <w:sz w:val="24"/>
                <w:vertAlign w:val="subscript"/>
              </w:rPr>
              <w:t>2</w:t>
            </w:r>
            <w:r>
              <w:rPr>
                <w:rFonts w:hint="eastAsia"/>
                <w:sz w:val="24"/>
              </w:rPr>
              <w:t>：</w:t>
            </w:r>
            <w:r>
              <w:rPr>
                <w:sz w:val="24"/>
              </w:rPr>
              <w:t>12</w:t>
            </w:r>
            <w:r>
              <w:rPr>
                <w:rFonts w:hint="eastAsia"/>
                <w:sz w:val="24"/>
              </w:rPr>
              <w:t>kg</w:t>
            </w:r>
            <w:r>
              <w:rPr>
                <w:sz w:val="24"/>
              </w:rPr>
              <w:t>/</w:t>
            </w:r>
            <w:r>
              <w:rPr>
                <w:rFonts w:hint="eastAsia"/>
                <w:sz w:val="24"/>
              </w:rPr>
              <w:t>万m</w:t>
            </w:r>
            <w:r>
              <w:rPr>
                <w:sz w:val="24"/>
                <w:vertAlign w:val="superscript"/>
              </w:rPr>
              <w:t>3</w:t>
            </w:r>
            <w:r>
              <w:rPr>
                <w:rFonts w:hint="eastAsia"/>
                <w:sz w:val="24"/>
              </w:rPr>
              <w:t>。根据建设单位提供的资料，本项目使用的液化气为246m</w:t>
            </w:r>
            <w:r>
              <w:rPr>
                <w:rFonts w:hint="eastAsia"/>
                <w:sz w:val="24"/>
                <w:vertAlign w:val="superscript"/>
              </w:rPr>
              <w:t>3</w:t>
            </w:r>
            <w:r>
              <w:rPr>
                <w:rFonts w:hint="eastAsia"/>
                <w:sz w:val="24"/>
              </w:rPr>
              <w:t>，液化气完全燃烧，则该过程污染物产生量分别为：颗粒物：2</w:t>
            </w:r>
            <w:r>
              <w:rPr>
                <w:sz w:val="24"/>
              </w:rPr>
              <w:t>.7</w:t>
            </w:r>
            <m:oMath>
              <m:r>
                <m:rPr/>
                <w:rPr>
                  <w:rFonts w:ascii="Cambria Math" w:hAnsi="Cambria Math"/>
                  <w:sz w:val="24"/>
                </w:rPr>
                <m:t>×</m:t>
              </m:r>
            </m:oMath>
            <w:r>
              <w:rPr>
                <w:rFonts w:hint="eastAsia"/>
                <w:sz w:val="24"/>
              </w:rPr>
              <w:t>1</w:t>
            </w:r>
            <w:r>
              <w:rPr>
                <w:sz w:val="24"/>
              </w:rPr>
              <w:t>0</w:t>
            </w:r>
            <w:r>
              <w:rPr>
                <w:sz w:val="24"/>
                <w:vertAlign w:val="superscript"/>
              </w:rPr>
              <w:t>-5</w:t>
            </w:r>
            <w:r>
              <w:rPr>
                <w:rFonts w:hint="eastAsia"/>
                <w:sz w:val="24"/>
              </w:rPr>
              <w:t>t/a，SO</w:t>
            </w:r>
            <w:r>
              <w:rPr>
                <w:rFonts w:hint="eastAsia"/>
                <w:sz w:val="24"/>
                <w:vertAlign w:val="subscript"/>
              </w:rPr>
              <w:t>2</w:t>
            </w:r>
            <w:r>
              <w:rPr>
                <w:rFonts w:hint="eastAsia"/>
                <w:sz w:val="24"/>
              </w:rPr>
              <w:t>：</w:t>
            </w:r>
            <w:r>
              <w:rPr>
                <w:sz w:val="24"/>
              </w:rPr>
              <w:t>1.33</w:t>
            </w:r>
            <m:oMath>
              <m:r>
                <m:rPr/>
                <w:rPr>
                  <w:rFonts w:ascii="Cambria Math" w:hAnsi="Cambria Math"/>
                  <w:sz w:val="24"/>
                </w:rPr>
                <m:t>×</m:t>
              </m:r>
            </m:oMath>
            <w:r>
              <w:rPr>
                <w:rFonts w:hint="eastAsia"/>
                <w:sz w:val="24"/>
              </w:rPr>
              <w:t>1</w:t>
            </w:r>
            <w:r>
              <w:rPr>
                <w:sz w:val="24"/>
              </w:rPr>
              <w:t>0</w:t>
            </w:r>
            <w:r>
              <w:rPr>
                <w:sz w:val="24"/>
                <w:vertAlign w:val="superscript"/>
              </w:rPr>
              <w:t>-7</w:t>
            </w:r>
            <w:r>
              <w:rPr>
                <w:rFonts w:hint="eastAsia"/>
                <w:sz w:val="24"/>
              </w:rPr>
              <w:t>t/a，NO</w:t>
            </w:r>
            <w:r>
              <w:rPr>
                <w:rFonts w:hint="eastAsia"/>
                <w:sz w:val="24"/>
                <w:vertAlign w:val="subscript"/>
              </w:rPr>
              <w:t>2</w:t>
            </w:r>
            <w:r>
              <w:rPr>
                <w:rFonts w:hint="eastAsia"/>
                <w:sz w:val="24"/>
              </w:rPr>
              <w:t>：</w:t>
            </w:r>
            <w:r>
              <w:rPr>
                <w:sz w:val="24"/>
              </w:rPr>
              <w:t>0.0003</w:t>
            </w:r>
            <w:r>
              <w:rPr>
                <w:rFonts w:hint="eastAsia"/>
                <w:sz w:val="24"/>
              </w:rPr>
              <w:t>t/a。该过程废气由集气罩收集后由DA001排气筒排放，设备集气罩收集系统的效率为</w:t>
            </w:r>
            <w:r>
              <w:rPr>
                <w:sz w:val="24"/>
              </w:rPr>
              <w:t>90</w:t>
            </w:r>
            <w:r>
              <w:rPr>
                <w:rFonts w:hint="eastAsia"/>
                <w:sz w:val="24"/>
              </w:rPr>
              <w:t>%，风机设计总风量</w:t>
            </w:r>
            <w:r>
              <w:rPr>
                <w:rFonts w:hint="eastAsia"/>
                <w:sz w:val="24"/>
                <w:szCs w:val="24"/>
              </w:rPr>
              <w:t>为</w:t>
            </w:r>
            <w:r>
              <w:rPr>
                <w:sz w:val="24"/>
                <w:szCs w:val="24"/>
              </w:rPr>
              <w:t>6500</w:t>
            </w:r>
            <w:r>
              <w:rPr>
                <w:rFonts w:hint="eastAsia"/>
                <w:sz w:val="24"/>
              </w:rPr>
              <w:t>m</w:t>
            </w:r>
            <w:r>
              <w:rPr>
                <w:rFonts w:hint="eastAsia"/>
                <w:sz w:val="24"/>
                <w:vertAlign w:val="superscript"/>
              </w:rPr>
              <w:t>3</w:t>
            </w:r>
            <w:r>
              <w:rPr>
                <w:rFonts w:hint="eastAsia"/>
                <w:sz w:val="24"/>
              </w:rPr>
              <w:t>/h。</w:t>
            </w:r>
          </w:p>
          <w:p w14:paraId="0CDD1C50">
            <w:pPr>
              <w:autoSpaceDE w:val="0"/>
              <w:autoSpaceDN w:val="0"/>
              <w:adjustRightInd w:val="0"/>
              <w:snapToGrid w:val="0"/>
              <w:jc w:val="center"/>
              <w:rPr>
                <w:rFonts w:eastAsia="黑体"/>
                <w:szCs w:val="21"/>
              </w:rPr>
            </w:pPr>
            <w:r>
              <w:rPr>
                <w:rFonts w:hAnsi="黑体" w:eastAsia="黑体"/>
                <w:sz w:val="24"/>
                <w:szCs w:val="24"/>
              </w:rPr>
              <w:t>表</w:t>
            </w:r>
            <w:r>
              <w:rPr>
                <w:rFonts w:hint="eastAsia" w:hAnsi="黑体" w:eastAsia="黑体"/>
                <w:sz w:val="24"/>
                <w:szCs w:val="24"/>
              </w:rPr>
              <w:t>32</w:t>
            </w:r>
            <w:r>
              <w:rPr>
                <w:rFonts w:hAnsi="黑体" w:eastAsia="黑体"/>
                <w:sz w:val="24"/>
                <w:szCs w:val="24"/>
              </w:rPr>
              <w:t xml:space="preserve">  </w:t>
            </w:r>
            <w:r>
              <w:rPr>
                <w:rFonts w:hint="eastAsia" w:hAnsi="黑体" w:eastAsia="黑体"/>
                <w:sz w:val="24"/>
                <w:szCs w:val="24"/>
              </w:rPr>
              <w:t>热熔封口</w:t>
            </w:r>
            <w:r>
              <w:rPr>
                <w:rFonts w:hAnsi="黑体" w:eastAsia="黑体"/>
                <w:sz w:val="24"/>
                <w:szCs w:val="24"/>
              </w:rPr>
              <w:t>废气产排情况一览表</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23"/>
              <w:gridCol w:w="1371"/>
              <w:gridCol w:w="1030"/>
              <w:gridCol w:w="1057"/>
              <w:gridCol w:w="1068"/>
              <w:gridCol w:w="1119"/>
              <w:gridCol w:w="1177"/>
            </w:tblGrid>
            <w:tr w14:paraId="1533DA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dxa"/>
                  <w:vMerge w:val="restart"/>
                  <w:vAlign w:val="center"/>
                </w:tcPr>
                <w:p w14:paraId="1F98BD1E">
                  <w:pPr>
                    <w:spacing w:line="276" w:lineRule="auto"/>
                    <w:jc w:val="center"/>
                    <w:rPr>
                      <w:szCs w:val="21"/>
                    </w:rPr>
                  </w:pPr>
                  <w:r>
                    <w:rPr>
                      <w:rFonts w:hAnsi="宋体"/>
                      <w:szCs w:val="21"/>
                    </w:rPr>
                    <w:t>污染物</w:t>
                  </w:r>
                </w:p>
              </w:tc>
              <w:tc>
                <w:tcPr>
                  <w:tcW w:w="1371" w:type="dxa"/>
                  <w:vAlign w:val="center"/>
                </w:tcPr>
                <w:p w14:paraId="447DD226">
                  <w:pPr>
                    <w:spacing w:line="276" w:lineRule="auto"/>
                    <w:jc w:val="center"/>
                    <w:rPr>
                      <w:szCs w:val="21"/>
                    </w:rPr>
                  </w:pPr>
                  <w:r>
                    <w:rPr>
                      <w:szCs w:val="21"/>
                    </w:rPr>
                    <w:t>产生量</w:t>
                  </w:r>
                </w:p>
              </w:tc>
              <w:tc>
                <w:tcPr>
                  <w:tcW w:w="1030" w:type="dxa"/>
                  <w:vMerge w:val="restart"/>
                  <w:vAlign w:val="center"/>
                </w:tcPr>
                <w:p w14:paraId="558B3B4C">
                  <w:pPr>
                    <w:spacing w:line="276" w:lineRule="auto"/>
                    <w:jc w:val="center"/>
                    <w:rPr>
                      <w:szCs w:val="21"/>
                    </w:rPr>
                  </w:pPr>
                  <w:r>
                    <w:rPr>
                      <w:szCs w:val="21"/>
                    </w:rPr>
                    <w:t>排放</w:t>
                  </w:r>
                </w:p>
                <w:p w14:paraId="7A161F28">
                  <w:pPr>
                    <w:spacing w:line="276" w:lineRule="auto"/>
                    <w:jc w:val="center"/>
                    <w:rPr>
                      <w:szCs w:val="21"/>
                    </w:rPr>
                  </w:pPr>
                  <w:r>
                    <w:rPr>
                      <w:szCs w:val="21"/>
                    </w:rPr>
                    <w:t>方式</w:t>
                  </w:r>
                </w:p>
              </w:tc>
              <w:tc>
                <w:tcPr>
                  <w:tcW w:w="1057" w:type="dxa"/>
                  <w:vAlign w:val="center"/>
                </w:tcPr>
                <w:p w14:paraId="6AACC3CD">
                  <w:pPr>
                    <w:spacing w:line="276" w:lineRule="auto"/>
                    <w:jc w:val="center"/>
                    <w:rPr>
                      <w:szCs w:val="21"/>
                    </w:rPr>
                  </w:pPr>
                  <w:r>
                    <w:rPr>
                      <w:szCs w:val="21"/>
                    </w:rPr>
                    <w:t>风量</w:t>
                  </w:r>
                </w:p>
              </w:tc>
              <w:tc>
                <w:tcPr>
                  <w:tcW w:w="1068" w:type="dxa"/>
                  <w:vAlign w:val="center"/>
                </w:tcPr>
                <w:p w14:paraId="0AE7E1D4">
                  <w:pPr>
                    <w:spacing w:line="276" w:lineRule="auto"/>
                    <w:jc w:val="center"/>
                    <w:rPr>
                      <w:szCs w:val="21"/>
                    </w:rPr>
                  </w:pPr>
                  <w:r>
                    <w:rPr>
                      <w:szCs w:val="21"/>
                    </w:rPr>
                    <w:t>排放量</w:t>
                  </w:r>
                </w:p>
              </w:tc>
              <w:tc>
                <w:tcPr>
                  <w:tcW w:w="1119" w:type="dxa"/>
                  <w:vAlign w:val="center"/>
                </w:tcPr>
                <w:p w14:paraId="17F83C80">
                  <w:pPr>
                    <w:spacing w:line="276" w:lineRule="auto"/>
                    <w:jc w:val="center"/>
                    <w:rPr>
                      <w:szCs w:val="21"/>
                    </w:rPr>
                  </w:pPr>
                  <w:r>
                    <w:rPr>
                      <w:szCs w:val="21"/>
                    </w:rPr>
                    <w:t>排放速率</w:t>
                  </w:r>
                </w:p>
              </w:tc>
              <w:tc>
                <w:tcPr>
                  <w:tcW w:w="1177" w:type="dxa"/>
                  <w:vAlign w:val="center"/>
                </w:tcPr>
                <w:p w14:paraId="08ED6D9A">
                  <w:pPr>
                    <w:spacing w:line="276" w:lineRule="auto"/>
                    <w:jc w:val="center"/>
                    <w:rPr>
                      <w:szCs w:val="21"/>
                    </w:rPr>
                  </w:pPr>
                  <w:r>
                    <w:rPr>
                      <w:szCs w:val="21"/>
                    </w:rPr>
                    <w:t>排放浓度</w:t>
                  </w:r>
                </w:p>
              </w:tc>
            </w:tr>
            <w:tr w14:paraId="1CDF90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dxa"/>
                  <w:vMerge w:val="continue"/>
                  <w:vAlign w:val="center"/>
                </w:tcPr>
                <w:p w14:paraId="4C2132B2">
                  <w:pPr>
                    <w:spacing w:line="276" w:lineRule="auto"/>
                    <w:jc w:val="center"/>
                    <w:rPr>
                      <w:szCs w:val="21"/>
                    </w:rPr>
                  </w:pPr>
                </w:p>
              </w:tc>
              <w:tc>
                <w:tcPr>
                  <w:tcW w:w="1371" w:type="dxa"/>
                  <w:vAlign w:val="center"/>
                </w:tcPr>
                <w:p w14:paraId="60306298">
                  <w:pPr>
                    <w:spacing w:line="276" w:lineRule="auto"/>
                    <w:jc w:val="center"/>
                    <w:rPr>
                      <w:szCs w:val="21"/>
                    </w:rPr>
                  </w:pPr>
                  <w:r>
                    <w:rPr>
                      <w:szCs w:val="21"/>
                    </w:rPr>
                    <w:t>t/a</w:t>
                  </w:r>
                </w:p>
              </w:tc>
              <w:tc>
                <w:tcPr>
                  <w:tcW w:w="1030" w:type="dxa"/>
                  <w:vMerge w:val="continue"/>
                  <w:vAlign w:val="center"/>
                </w:tcPr>
                <w:p w14:paraId="1E753B78">
                  <w:pPr>
                    <w:spacing w:line="276" w:lineRule="auto"/>
                    <w:jc w:val="center"/>
                    <w:rPr>
                      <w:szCs w:val="21"/>
                    </w:rPr>
                  </w:pPr>
                </w:p>
              </w:tc>
              <w:tc>
                <w:tcPr>
                  <w:tcW w:w="1057" w:type="dxa"/>
                  <w:vAlign w:val="center"/>
                </w:tcPr>
                <w:p w14:paraId="73AC63D1">
                  <w:pPr>
                    <w:spacing w:line="276" w:lineRule="auto"/>
                    <w:jc w:val="center"/>
                    <w:rPr>
                      <w:szCs w:val="21"/>
                    </w:rPr>
                  </w:pPr>
                  <w:r>
                    <w:rPr>
                      <w:rFonts w:hint="eastAsia"/>
                      <w:szCs w:val="21"/>
                    </w:rPr>
                    <w:t>m</w:t>
                  </w:r>
                  <w:r>
                    <w:rPr>
                      <w:rFonts w:hint="eastAsia"/>
                      <w:szCs w:val="21"/>
                      <w:vertAlign w:val="superscript"/>
                    </w:rPr>
                    <w:t>3</w:t>
                  </w:r>
                  <w:r>
                    <w:rPr>
                      <w:rFonts w:hint="eastAsia"/>
                      <w:szCs w:val="21"/>
                    </w:rPr>
                    <w:t>/h</w:t>
                  </w:r>
                </w:p>
              </w:tc>
              <w:tc>
                <w:tcPr>
                  <w:tcW w:w="1068" w:type="dxa"/>
                  <w:vAlign w:val="center"/>
                </w:tcPr>
                <w:p w14:paraId="42B7BC2F">
                  <w:pPr>
                    <w:spacing w:line="276" w:lineRule="auto"/>
                    <w:jc w:val="center"/>
                    <w:rPr>
                      <w:szCs w:val="21"/>
                    </w:rPr>
                  </w:pPr>
                  <w:r>
                    <w:rPr>
                      <w:szCs w:val="21"/>
                    </w:rPr>
                    <w:t>t/a</w:t>
                  </w:r>
                </w:p>
              </w:tc>
              <w:tc>
                <w:tcPr>
                  <w:tcW w:w="1119" w:type="dxa"/>
                  <w:vAlign w:val="center"/>
                </w:tcPr>
                <w:p w14:paraId="1A0D2795">
                  <w:pPr>
                    <w:spacing w:line="276" w:lineRule="auto"/>
                    <w:jc w:val="center"/>
                    <w:rPr>
                      <w:szCs w:val="21"/>
                    </w:rPr>
                  </w:pPr>
                  <w:r>
                    <w:rPr>
                      <w:szCs w:val="21"/>
                    </w:rPr>
                    <w:t>kg/h</w:t>
                  </w:r>
                </w:p>
              </w:tc>
              <w:tc>
                <w:tcPr>
                  <w:tcW w:w="1177" w:type="dxa"/>
                  <w:vAlign w:val="center"/>
                </w:tcPr>
                <w:p w14:paraId="2A5B8B23">
                  <w:pPr>
                    <w:spacing w:line="276" w:lineRule="auto"/>
                    <w:jc w:val="center"/>
                    <w:rPr>
                      <w:szCs w:val="21"/>
                    </w:rPr>
                  </w:pPr>
                  <w:r>
                    <w:rPr>
                      <w:szCs w:val="21"/>
                    </w:rPr>
                    <w:t>mg</w:t>
                  </w:r>
                  <w:r>
                    <w:rPr>
                      <w:rFonts w:hint="eastAsia"/>
                      <w:szCs w:val="21"/>
                    </w:rPr>
                    <w:t>/m</w:t>
                  </w:r>
                  <w:r>
                    <w:rPr>
                      <w:rFonts w:hint="eastAsia"/>
                      <w:szCs w:val="21"/>
                      <w:vertAlign w:val="superscript"/>
                    </w:rPr>
                    <w:t>3</w:t>
                  </w:r>
                </w:p>
              </w:tc>
            </w:tr>
            <w:tr w14:paraId="12A22A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dxa"/>
                  <w:vMerge w:val="restart"/>
                  <w:vAlign w:val="center"/>
                </w:tcPr>
                <w:p w14:paraId="7D698F60">
                  <w:pPr>
                    <w:spacing w:line="276" w:lineRule="auto"/>
                    <w:jc w:val="center"/>
                    <w:rPr>
                      <w:szCs w:val="21"/>
                    </w:rPr>
                  </w:pPr>
                  <w:r>
                    <w:rPr>
                      <w:rFonts w:hint="eastAsia"/>
                      <w:szCs w:val="21"/>
                    </w:rPr>
                    <w:t>颗粒物</w:t>
                  </w:r>
                </w:p>
              </w:tc>
              <w:tc>
                <w:tcPr>
                  <w:tcW w:w="1371" w:type="dxa"/>
                  <w:vMerge w:val="restart"/>
                  <w:vAlign w:val="center"/>
                </w:tcPr>
                <w:p w14:paraId="7059A318">
                  <w:pPr>
                    <w:spacing w:line="276" w:lineRule="auto"/>
                    <w:jc w:val="center"/>
                    <w:rPr>
                      <w:szCs w:val="21"/>
                    </w:rPr>
                  </w:pPr>
                  <w:r>
                    <w:rPr>
                      <w:rFonts w:hint="eastAsia"/>
                      <w:szCs w:val="21"/>
                    </w:rPr>
                    <w:t>2</w:t>
                  </w:r>
                  <w:r>
                    <w:rPr>
                      <w:szCs w:val="21"/>
                    </w:rPr>
                    <w:t>.7</w:t>
                  </w:r>
                  <m:oMath>
                    <m:r>
                      <m:rPr/>
                      <w:rPr>
                        <w:rFonts w:ascii="Cambria Math" w:hAnsi="Cambria Math"/>
                        <w:szCs w:val="21"/>
                      </w:rPr>
                      <m:t>×</m:t>
                    </m:r>
                  </m:oMath>
                  <w:r>
                    <w:rPr>
                      <w:rFonts w:hint="eastAsia"/>
                      <w:szCs w:val="21"/>
                    </w:rPr>
                    <w:t>1</w:t>
                  </w:r>
                  <w:r>
                    <w:rPr>
                      <w:szCs w:val="21"/>
                    </w:rPr>
                    <w:t>0</w:t>
                  </w:r>
                  <w:r>
                    <w:rPr>
                      <w:szCs w:val="21"/>
                      <w:vertAlign w:val="superscript"/>
                    </w:rPr>
                    <w:t>-5</w:t>
                  </w:r>
                </w:p>
              </w:tc>
              <w:tc>
                <w:tcPr>
                  <w:tcW w:w="1030" w:type="dxa"/>
                  <w:vAlign w:val="center"/>
                </w:tcPr>
                <w:p w14:paraId="31B239A9">
                  <w:pPr>
                    <w:spacing w:line="276" w:lineRule="auto"/>
                    <w:jc w:val="center"/>
                    <w:rPr>
                      <w:szCs w:val="21"/>
                    </w:rPr>
                  </w:pPr>
                  <w:r>
                    <w:rPr>
                      <w:szCs w:val="21"/>
                    </w:rPr>
                    <w:t>有组织</w:t>
                  </w:r>
                </w:p>
              </w:tc>
              <w:tc>
                <w:tcPr>
                  <w:tcW w:w="1057" w:type="dxa"/>
                  <w:vAlign w:val="center"/>
                </w:tcPr>
                <w:p w14:paraId="3AE50929">
                  <w:pPr>
                    <w:spacing w:line="276" w:lineRule="auto"/>
                    <w:jc w:val="center"/>
                    <w:rPr>
                      <w:szCs w:val="21"/>
                    </w:rPr>
                  </w:pPr>
                  <w:r>
                    <w:rPr>
                      <w:szCs w:val="21"/>
                    </w:rPr>
                    <w:t>6500</w:t>
                  </w:r>
                </w:p>
              </w:tc>
              <w:tc>
                <w:tcPr>
                  <w:tcW w:w="1068" w:type="dxa"/>
                  <w:vAlign w:val="center"/>
                </w:tcPr>
                <w:p w14:paraId="384E784D">
                  <w:pPr>
                    <w:spacing w:line="276" w:lineRule="auto"/>
                    <w:jc w:val="center"/>
                    <w:rPr>
                      <w:szCs w:val="21"/>
                    </w:rPr>
                  </w:pPr>
                  <w:r>
                    <w:rPr>
                      <w:rFonts w:hint="eastAsia"/>
                      <w:szCs w:val="21"/>
                    </w:rPr>
                    <w:t>2</w:t>
                  </w:r>
                  <w:r>
                    <w:rPr>
                      <w:szCs w:val="21"/>
                    </w:rPr>
                    <w:t>.</w:t>
                  </w:r>
                  <w:r>
                    <w:rPr>
                      <w:rFonts w:hint="eastAsia"/>
                      <w:szCs w:val="21"/>
                    </w:rPr>
                    <w:t>43</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5</w:t>
                  </w:r>
                </w:p>
              </w:tc>
              <w:tc>
                <w:tcPr>
                  <w:tcW w:w="1119" w:type="dxa"/>
                  <w:vAlign w:val="center"/>
                </w:tcPr>
                <w:p w14:paraId="54726424">
                  <w:pPr>
                    <w:spacing w:line="276" w:lineRule="auto"/>
                    <w:jc w:val="center"/>
                    <w:rPr>
                      <w:szCs w:val="21"/>
                    </w:rPr>
                  </w:pPr>
                  <w:r>
                    <w:rPr>
                      <w:szCs w:val="21"/>
                    </w:rPr>
                    <w:t>8.1</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6</w:t>
                  </w:r>
                </w:p>
              </w:tc>
              <w:tc>
                <w:tcPr>
                  <w:tcW w:w="1177" w:type="dxa"/>
                  <w:vAlign w:val="center"/>
                </w:tcPr>
                <w:p w14:paraId="0A78B2CF">
                  <w:pPr>
                    <w:spacing w:line="276" w:lineRule="auto"/>
                    <w:jc w:val="center"/>
                    <w:rPr>
                      <w:szCs w:val="21"/>
                    </w:rPr>
                  </w:pPr>
                  <w:r>
                    <w:rPr>
                      <w:rFonts w:hint="eastAsia"/>
                      <w:szCs w:val="21"/>
                    </w:rPr>
                    <w:t>1.25</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3</w:t>
                  </w:r>
                </w:p>
              </w:tc>
            </w:tr>
            <w:tr w14:paraId="53DA80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dxa"/>
                  <w:vMerge w:val="continue"/>
                  <w:vAlign w:val="center"/>
                </w:tcPr>
                <w:p w14:paraId="1B80EB83">
                  <w:pPr>
                    <w:spacing w:line="276" w:lineRule="auto"/>
                    <w:jc w:val="center"/>
                    <w:rPr>
                      <w:szCs w:val="21"/>
                    </w:rPr>
                  </w:pPr>
                </w:p>
              </w:tc>
              <w:tc>
                <w:tcPr>
                  <w:tcW w:w="1371" w:type="dxa"/>
                  <w:vMerge w:val="continue"/>
                  <w:vAlign w:val="center"/>
                </w:tcPr>
                <w:p w14:paraId="046CF1D5">
                  <w:pPr>
                    <w:spacing w:line="276" w:lineRule="auto"/>
                    <w:jc w:val="center"/>
                    <w:rPr>
                      <w:szCs w:val="21"/>
                    </w:rPr>
                  </w:pPr>
                </w:p>
              </w:tc>
              <w:tc>
                <w:tcPr>
                  <w:tcW w:w="1030" w:type="dxa"/>
                  <w:vAlign w:val="center"/>
                </w:tcPr>
                <w:p w14:paraId="3EEDBE9A">
                  <w:pPr>
                    <w:spacing w:line="276" w:lineRule="auto"/>
                    <w:jc w:val="center"/>
                    <w:rPr>
                      <w:szCs w:val="21"/>
                    </w:rPr>
                  </w:pPr>
                  <w:r>
                    <w:rPr>
                      <w:szCs w:val="21"/>
                    </w:rPr>
                    <w:t>无组织</w:t>
                  </w:r>
                </w:p>
              </w:tc>
              <w:tc>
                <w:tcPr>
                  <w:tcW w:w="1057" w:type="dxa"/>
                  <w:vAlign w:val="center"/>
                </w:tcPr>
                <w:p w14:paraId="1791427B">
                  <w:pPr>
                    <w:spacing w:line="276" w:lineRule="auto"/>
                    <w:jc w:val="center"/>
                    <w:rPr>
                      <w:szCs w:val="21"/>
                    </w:rPr>
                  </w:pPr>
                  <w:r>
                    <w:rPr>
                      <w:rFonts w:hint="eastAsia"/>
                      <w:szCs w:val="21"/>
                    </w:rPr>
                    <w:t>—</w:t>
                  </w:r>
                </w:p>
              </w:tc>
              <w:tc>
                <w:tcPr>
                  <w:tcW w:w="1068" w:type="dxa"/>
                  <w:vAlign w:val="center"/>
                </w:tcPr>
                <w:p w14:paraId="7890446B">
                  <w:pPr>
                    <w:spacing w:line="276" w:lineRule="auto"/>
                    <w:jc w:val="center"/>
                    <w:rPr>
                      <w:szCs w:val="21"/>
                    </w:rPr>
                  </w:pPr>
                  <w:r>
                    <w:rPr>
                      <w:rFonts w:hint="eastAsia"/>
                      <w:szCs w:val="21"/>
                    </w:rPr>
                    <w:t>2</w:t>
                  </w:r>
                  <w:r>
                    <w:rPr>
                      <w:szCs w:val="21"/>
                    </w:rPr>
                    <w:t>.7</w:t>
                  </w:r>
                  <m:oMath>
                    <m:r>
                      <m:rPr/>
                      <w:rPr>
                        <w:rFonts w:ascii="Cambria Math" w:hAnsi="Cambria Math"/>
                        <w:szCs w:val="21"/>
                      </w:rPr>
                      <m:t>×</m:t>
                    </m:r>
                  </m:oMath>
                  <w:r>
                    <w:rPr>
                      <w:rFonts w:hint="eastAsia"/>
                      <w:szCs w:val="21"/>
                    </w:rPr>
                    <w:t>1</w:t>
                  </w:r>
                  <w:r>
                    <w:rPr>
                      <w:szCs w:val="21"/>
                    </w:rPr>
                    <w:t>0</w:t>
                  </w:r>
                  <w:r>
                    <w:rPr>
                      <w:szCs w:val="21"/>
                      <w:vertAlign w:val="superscript"/>
                    </w:rPr>
                    <w:t>-6</w:t>
                  </w:r>
                </w:p>
              </w:tc>
              <w:tc>
                <w:tcPr>
                  <w:tcW w:w="1119" w:type="dxa"/>
                  <w:vAlign w:val="center"/>
                </w:tcPr>
                <w:p w14:paraId="77C5B6C4">
                  <w:pPr>
                    <w:spacing w:line="276" w:lineRule="auto"/>
                    <w:jc w:val="center"/>
                    <w:rPr>
                      <w:szCs w:val="21"/>
                    </w:rPr>
                  </w:pPr>
                  <w:r>
                    <w:rPr>
                      <w:rFonts w:hint="eastAsia"/>
                      <w:szCs w:val="21"/>
                    </w:rPr>
                    <w:t>9</w:t>
                  </w:r>
                  <w:r>
                    <w:rPr>
                      <w:szCs w:val="21"/>
                    </w:rPr>
                    <w:t>.0</w:t>
                  </w:r>
                  <m:oMath>
                    <m:r>
                      <m:rPr/>
                      <w:rPr>
                        <w:rFonts w:ascii="Cambria Math" w:hAnsi="Cambria Math"/>
                        <w:szCs w:val="21"/>
                      </w:rPr>
                      <m:t>×</m:t>
                    </m:r>
                  </m:oMath>
                  <w:r>
                    <w:rPr>
                      <w:rFonts w:hint="eastAsia"/>
                      <w:szCs w:val="21"/>
                    </w:rPr>
                    <w:t>1</w:t>
                  </w:r>
                  <w:r>
                    <w:rPr>
                      <w:szCs w:val="21"/>
                    </w:rPr>
                    <w:t>0</w:t>
                  </w:r>
                  <w:r>
                    <w:rPr>
                      <w:szCs w:val="21"/>
                      <w:vertAlign w:val="superscript"/>
                    </w:rPr>
                    <w:t>-7</w:t>
                  </w:r>
                </w:p>
              </w:tc>
              <w:tc>
                <w:tcPr>
                  <w:tcW w:w="1177" w:type="dxa"/>
                  <w:vAlign w:val="center"/>
                </w:tcPr>
                <w:p w14:paraId="61267BB5">
                  <w:pPr>
                    <w:spacing w:line="276" w:lineRule="auto"/>
                    <w:jc w:val="center"/>
                    <w:rPr>
                      <w:szCs w:val="21"/>
                    </w:rPr>
                  </w:pPr>
                  <w:r>
                    <w:rPr>
                      <w:rFonts w:hint="eastAsia"/>
                      <w:szCs w:val="21"/>
                    </w:rPr>
                    <w:t>—</w:t>
                  </w:r>
                </w:p>
              </w:tc>
            </w:tr>
            <w:tr w14:paraId="03C1C4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dxa"/>
                  <w:vMerge w:val="restart"/>
                  <w:vAlign w:val="center"/>
                </w:tcPr>
                <w:p w14:paraId="66EEC8D7">
                  <w:pPr>
                    <w:spacing w:line="276" w:lineRule="auto"/>
                    <w:jc w:val="center"/>
                    <w:rPr>
                      <w:szCs w:val="21"/>
                    </w:rPr>
                  </w:pPr>
                  <w:r>
                    <w:rPr>
                      <w:rFonts w:hint="eastAsia"/>
                      <w:szCs w:val="21"/>
                    </w:rPr>
                    <w:t>S</w:t>
                  </w:r>
                  <w:r>
                    <w:rPr>
                      <w:szCs w:val="21"/>
                    </w:rPr>
                    <w:t>O</w:t>
                  </w:r>
                  <w:r>
                    <w:rPr>
                      <w:szCs w:val="21"/>
                      <w:vertAlign w:val="subscript"/>
                    </w:rPr>
                    <w:t>2</w:t>
                  </w:r>
                </w:p>
              </w:tc>
              <w:tc>
                <w:tcPr>
                  <w:tcW w:w="1371" w:type="dxa"/>
                  <w:vMerge w:val="restart"/>
                  <w:vAlign w:val="center"/>
                </w:tcPr>
                <w:p w14:paraId="199A45D8">
                  <w:pPr>
                    <w:spacing w:line="276" w:lineRule="auto"/>
                    <w:jc w:val="center"/>
                    <w:rPr>
                      <w:szCs w:val="21"/>
                    </w:rPr>
                  </w:pPr>
                  <w:r>
                    <w:rPr>
                      <w:szCs w:val="21"/>
                    </w:rPr>
                    <w:t>1.3</w:t>
                  </w:r>
                  <w:r>
                    <w:rPr>
                      <w:rFonts w:hint="eastAsia"/>
                      <w:szCs w:val="21"/>
                    </w:rPr>
                    <w:t>3</w:t>
                  </w:r>
                  <m:oMath>
                    <m:r>
                      <m:rPr/>
                      <w:rPr>
                        <w:rFonts w:ascii="Cambria Math" w:hAnsi="Cambria Math"/>
                        <w:szCs w:val="21"/>
                      </w:rPr>
                      <m:t>×</m:t>
                    </m:r>
                  </m:oMath>
                  <w:r>
                    <w:rPr>
                      <w:rFonts w:hint="eastAsia"/>
                      <w:szCs w:val="21"/>
                    </w:rPr>
                    <w:t>1</w:t>
                  </w:r>
                  <w:r>
                    <w:rPr>
                      <w:szCs w:val="21"/>
                    </w:rPr>
                    <w:t>0</w:t>
                  </w:r>
                  <w:r>
                    <w:rPr>
                      <w:szCs w:val="21"/>
                      <w:vertAlign w:val="superscript"/>
                    </w:rPr>
                    <w:t>-7</w:t>
                  </w:r>
                </w:p>
              </w:tc>
              <w:tc>
                <w:tcPr>
                  <w:tcW w:w="1030" w:type="dxa"/>
                  <w:vAlign w:val="center"/>
                </w:tcPr>
                <w:p w14:paraId="0AC54520">
                  <w:pPr>
                    <w:spacing w:line="276" w:lineRule="auto"/>
                    <w:jc w:val="center"/>
                    <w:rPr>
                      <w:szCs w:val="21"/>
                    </w:rPr>
                  </w:pPr>
                  <w:r>
                    <w:rPr>
                      <w:szCs w:val="21"/>
                    </w:rPr>
                    <w:t>有组织</w:t>
                  </w:r>
                </w:p>
              </w:tc>
              <w:tc>
                <w:tcPr>
                  <w:tcW w:w="1057" w:type="dxa"/>
                  <w:vAlign w:val="center"/>
                </w:tcPr>
                <w:p w14:paraId="0103AE87">
                  <w:pPr>
                    <w:spacing w:line="276" w:lineRule="auto"/>
                    <w:jc w:val="center"/>
                    <w:rPr>
                      <w:szCs w:val="21"/>
                    </w:rPr>
                  </w:pPr>
                  <w:r>
                    <w:rPr>
                      <w:szCs w:val="21"/>
                    </w:rPr>
                    <w:t>6500</w:t>
                  </w:r>
                </w:p>
              </w:tc>
              <w:tc>
                <w:tcPr>
                  <w:tcW w:w="1068" w:type="dxa"/>
                  <w:vAlign w:val="center"/>
                </w:tcPr>
                <w:p w14:paraId="6EC68E73">
                  <w:pPr>
                    <w:spacing w:line="276" w:lineRule="auto"/>
                    <w:jc w:val="center"/>
                    <w:rPr>
                      <w:szCs w:val="21"/>
                    </w:rPr>
                  </w:pPr>
                  <w:r>
                    <w:rPr>
                      <w:rFonts w:hint="eastAsia"/>
                      <w:szCs w:val="21"/>
                    </w:rPr>
                    <w:t>1.17</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7</w:t>
                  </w:r>
                </w:p>
              </w:tc>
              <w:tc>
                <w:tcPr>
                  <w:tcW w:w="1119" w:type="dxa"/>
                  <w:vAlign w:val="center"/>
                </w:tcPr>
                <w:p w14:paraId="51973DE4">
                  <w:pPr>
                    <w:spacing w:line="276" w:lineRule="auto"/>
                    <w:jc w:val="center"/>
                    <w:rPr>
                      <w:szCs w:val="21"/>
                    </w:rPr>
                  </w:pPr>
                  <w:r>
                    <w:rPr>
                      <w:rFonts w:hint="eastAsia"/>
                      <w:szCs w:val="21"/>
                    </w:rPr>
                    <w:t>3.9</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8</w:t>
                  </w:r>
                </w:p>
              </w:tc>
              <w:tc>
                <w:tcPr>
                  <w:tcW w:w="1177" w:type="dxa"/>
                  <w:vAlign w:val="center"/>
                </w:tcPr>
                <w:p w14:paraId="00C2B2C3">
                  <w:pPr>
                    <w:spacing w:line="276" w:lineRule="auto"/>
                    <w:jc w:val="center"/>
                    <w:rPr>
                      <w:szCs w:val="21"/>
                    </w:rPr>
                  </w:pPr>
                  <w:r>
                    <w:rPr>
                      <w:rFonts w:hint="eastAsia"/>
                      <w:szCs w:val="21"/>
                    </w:rPr>
                    <w:t>6.0</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6</w:t>
                  </w:r>
                </w:p>
              </w:tc>
            </w:tr>
            <w:tr w14:paraId="613CF4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dxa"/>
                  <w:vMerge w:val="continue"/>
                  <w:vAlign w:val="center"/>
                </w:tcPr>
                <w:p w14:paraId="195C5171">
                  <w:pPr>
                    <w:spacing w:line="276" w:lineRule="auto"/>
                    <w:jc w:val="center"/>
                    <w:rPr>
                      <w:szCs w:val="21"/>
                    </w:rPr>
                  </w:pPr>
                </w:p>
              </w:tc>
              <w:tc>
                <w:tcPr>
                  <w:tcW w:w="1371" w:type="dxa"/>
                  <w:vMerge w:val="continue"/>
                  <w:vAlign w:val="center"/>
                </w:tcPr>
                <w:p w14:paraId="1089712E">
                  <w:pPr>
                    <w:spacing w:line="276" w:lineRule="auto"/>
                    <w:jc w:val="center"/>
                    <w:rPr>
                      <w:szCs w:val="21"/>
                    </w:rPr>
                  </w:pPr>
                </w:p>
              </w:tc>
              <w:tc>
                <w:tcPr>
                  <w:tcW w:w="1030" w:type="dxa"/>
                  <w:vAlign w:val="center"/>
                </w:tcPr>
                <w:p w14:paraId="580331B3">
                  <w:pPr>
                    <w:spacing w:line="276" w:lineRule="auto"/>
                    <w:jc w:val="center"/>
                    <w:rPr>
                      <w:szCs w:val="21"/>
                    </w:rPr>
                  </w:pPr>
                  <w:r>
                    <w:rPr>
                      <w:szCs w:val="21"/>
                    </w:rPr>
                    <w:t>无组织</w:t>
                  </w:r>
                </w:p>
              </w:tc>
              <w:tc>
                <w:tcPr>
                  <w:tcW w:w="1057" w:type="dxa"/>
                  <w:vAlign w:val="center"/>
                </w:tcPr>
                <w:p w14:paraId="02DB35F9">
                  <w:pPr>
                    <w:spacing w:line="276" w:lineRule="auto"/>
                    <w:jc w:val="center"/>
                    <w:rPr>
                      <w:szCs w:val="21"/>
                    </w:rPr>
                  </w:pPr>
                  <w:r>
                    <w:rPr>
                      <w:rFonts w:hint="eastAsia"/>
                      <w:szCs w:val="21"/>
                    </w:rPr>
                    <w:t>—</w:t>
                  </w:r>
                </w:p>
              </w:tc>
              <w:tc>
                <w:tcPr>
                  <w:tcW w:w="1068" w:type="dxa"/>
                  <w:vAlign w:val="center"/>
                </w:tcPr>
                <w:p w14:paraId="61182116">
                  <w:pPr>
                    <w:spacing w:line="276" w:lineRule="auto"/>
                    <w:jc w:val="center"/>
                    <w:rPr>
                      <w:szCs w:val="21"/>
                    </w:rPr>
                  </w:pPr>
                  <w:r>
                    <w:rPr>
                      <w:rFonts w:hint="eastAsia"/>
                      <w:szCs w:val="21"/>
                    </w:rPr>
                    <w:t>1</w:t>
                  </w:r>
                  <w:r>
                    <w:rPr>
                      <w:szCs w:val="21"/>
                    </w:rPr>
                    <w:t>.3</w:t>
                  </w:r>
                  <w:r>
                    <w:rPr>
                      <w:rFonts w:hint="eastAsia"/>
                      <w:szCs w:val="21"/>
                    </w:rPr>
                    <w:t>3</w:t>
                  </w:r>
                  <m:oMath>
                    <m:r>
                      <m:rPr/>
                      <w:rPr>
                        <w:rFonts w:ascii="Cambria Math" w:hAnsi="Cambria Math"/>
                        <w:szCs w:val="21"/>
                      </w:rPr>
                      <m:t>×</m:t>
                    </m:r>
                  </m:oMath>
                  <w:r>
                    <w:rPr>
                      <w:rFonts w:hint="eastAsia"/>
                      <w:szCs w:val="21"/>
                    </w:rPr>
                    <w:t>1</w:t>
                  </w:r>
                  <w:r>
                    <w:rPr>
                      <w:szCs w:val="21"/>
                    </w:rPr>
                    <w:t>0</w:t>
                  </w:r>
                  <w:r>
                    <w:rPr>
                      <w:szCs w:val="21"/>
                      <w:vertAlign w:val="superscript"/>
                    </w:rPr>
                    <w:t>-8</w:t>
                  </w:r>
                </w:p>
              </w:tc>
              <w:tc>
                <w:tcPr>
                  <w:tcW w:w="1119" w:type="dxa"/>
                  <w:vAlign w:val="center"/>
                </w:tcPr>
                <w:p w14:paraId="77567CD9">
                  <w:pPr>
                    <w:spacing w:line="276" w:lineRule="auto"/>
                    <w:jc w:val="center"/>
                    <w:rPr>
                      <w:szCs w:val="21"/>
                    </w:rPr>
                  </w:pPr>
                  <w:r>
                    <w:rPr>
                      <w:rFonts w:hint="eastAsia"/>
                      <w:szCs w:val="21"/>
                    </w:rPr>
                    <w:t>4</w:t>
                  </w:r>
                  <w:r>
                    <w:rPr>
                      <w:szCs w:val="21"/>
                    </w:rPr>
                    <w:t>.4</w:t>
                  </w:r>
                  <m:oMath>
                    <m:r>
                      <m:rPr/>
                      <w:rPr>
                        <w:rFonts w:ascii="Cambria Math" w:hAnsi="Cambria Math"/>
                        <w:szCs w:val="21"/>
                      </w:rPr>
                      <m:t>×</m:t>
                    </m:r>
                  </m:oMath>
                  <w:r>
                    <w:rPr>
                      <w:rFonts w:hint="eastAsia"/>
                      <w:szCs w:val="21"/>
                    </w:rPr>
                    <w:t>1</w:t>
                  </w:r>
                  <w:r>
                    <w:rPr>
                      <w:szCs w:val="21"/>
                    </w:rPr>
                    <w:t>0</w:t>
                  </w:r>
                  <w:r>
                    <w:rPr>
                      <w:szCs w:val="21"/>
                      <w:vertAlign w:val="superscript"/>
                    </w:rPr>
                    <w:t>-9</w:t>
                  </w:r>
                </w:p>
              </w:tc>
              <w:tc>
                <w:tcPr>
                  <w:tcW w:w="1177" w:type="dxa"/>
                  <w:vAlign w:val="center"/>
                </w:tcPr>
                <w:p w14:paraId="44483647">
                  <w:pPr>
                    <w:spacing w:line="276" w:lineRule="auto"/>
                    <w:jc w:val="center"/>
                    <w:rPr>
                      <w:szCs w:val="21"/>
                    </w:rPr>
                  </w:pPr>
                  <w:r>
                    <w:rPr>
                      <w:rFonts w:hint="eastAsia"/>
                      <w:szCs w:val="21"/>
                    </w:rPr>
                    <w:t>—</w:t>
                  </w:r>
                </w:p>
              </w:tc>
            </w:tr>
            <w:tr w14:paraId="5CB519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dxa"/>
                  <w:vMerge w:val="restart"/>
                  <w:vAlign w:val="center"/>
                </w:tcPr>
                <w:p w14:paraId="2D83AC19">
                  <w:pPr>
                    <w:spacing w:line="276" w:lineRule="auto"/>
                    <w:jc w:val="center"/>
                    <w:rPr>
                      <w:szCs w:val="21"/>
                    </w:rPr>
                  </w:pPr>
                  <w:r>
                    <w:rPr>
                      <w:rFonts w:hint="eastAsia"/>
                      <w:szCs w:val="21"/>
                    </w:rPr>
                    <w:t>N</w:t>
                  </w:r>
                  <w:r>
                    <w:rPr>
                      <w:szCs w:val="21"/>
                    </w:rPr>
                    <w:t>O</w:t>
                  </w:r>
                  <w:r>
                    <w:rPr>
                      <w:szCs w:val="21"/>
                      <w:vertAlign w:val="subscript"/>
                    </w:rPr>
                    <w:t>2</w:t>
                  </w:r>
                </w:p>
              </w:tc>
              <w:tc>
                <w:tcPr>
                  <w:tcW w:w="1371" w:type="dxa"/>
                  <w:vMerge w:val="restart"/>
                  <w:vAlign w:val="center"/>
                </w:tcPr>
                <w:p w14:paraId="59509467">
                  <w:pPr>
                    <w:spacing w:line="276" w:lineRule="auto"/>
                    <w:jc w:val="center"/>
                    <w:rPr>
                      <w:szCs w:val="21"/>
                    </w:rPr>
                  </w:pPr>
                  <w:r>
                    <w:rPr>
                      <w:szCs w:val="21"/>
                    </w:rPr>
                    <w:t>0.0003</w:t>
                  </w:r>
                </w:p>
              </w:tc>
              <w:tc>
                <w:tcPr>
                  <w:tcW w:w="1030" w:type="dxa"/>
                  <w:vAlign w:val="center"/>
                </w:tcPr>
                <w:p w14:paraId="423C8AAE">
                  <w:pPr>
                    <w:spacing w:line="276" w:lineRule="auto"/>
                    <w:jc w:val="center"/>
                    <w:rPr>
                      <w:szCs w:val="21"/>
                    </w:rPr>
                  </w:pPr>
                  <w:r>
                    <w:rPr>
                      <w:szCs w:val="21"/>
                    </w:rPr>
                    <w:t>有组织</w:t>
                  </w:r>
                </w:p>
              </w:tc>
              <w:tc>
                <w:tcPr>
                  <w:tcW w:w="1057" w:type="dxa"/>
                  <w:vAlign w:val="center"/>
                </w:tcPr>
                <w:p w14:paraId="241D256A">
                  <w:pPr>
                    <w:spacing w:line="276" w:lineRule="auto"/>
                    <w:jc w:val="center"/>
                    <w:rPr>
                      <w:szCs w:val="21"/>
                    </w:rPr>
                  </w:pPr>
                  <w:r>
                    <w:rPr>
                      <w:szCs w:val="21"/>
                    </w:rPr>
                    <w:t>6500</w:t>
                  </w:r>
                </w:p>
              </w:tc>
              <w:tc>
                <w:tcPr>
                  <w:tcW w:w="1068" w:type="dxa"/>
                  <w:vAlign w:val="center"/>
                </w:tcPr>
                <w:p w14:paraId="07FA2713">
                  <w:pPr>
                    <w:spacing w:line="276" w:lineRule="auto"/>
                    <w:jc w:val="center"/>
                    <w:rPr>
                      <w:szCs w:val="21"/>
                    </w:rPr>
                  </w:pPr>
                  <w:r>
                    <w:rPr>
                      <w:rFonts w:hint="eastAsia"/>
                      <w:szCs w:val="21"/>
                    </w:rPr>
                    <w:t>2</w:t>
                  </w:r>
                  <w:r>
                    <w:rPr>
                      <w:szCs w:val="21"/>
                    </w:rPr>
                    <w:t>.7</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4</w:t>
                  </w:r>
                </w:p>
              </w:tc>
              <w:tc>
                <w:tcPr>
                  <w:tcW w:w="1119" w:type="dxa"/>
                  <w:vAlign w:val="center"/>
                </w:tcPr>
                <w:p w14:paraId="19B7407D">
                  <w:pPr>
                    <w:spacing w:line="276" w:lineRule="auto"/>
                    <w:jc w:val="center"/>
                    <w:rPr>
                      <w:szCs w:val="21"/>
                    </w:rPr>
                  </w:pPr>
                  <w:r>
                    <w:rPr>
                      <w:rFonts w:hint="eastAsia"/>
                      <w:szCs w:val="21"/>
                    </w:rPr>
                    <w:t>9.0</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5</w:t>
                  </w:r>
                </w:p>
              </w:tc>
              <w:tc>
                <w:tcPr>
                  <w:tcW w:w="1177" w:type="dxa"/>
                  <w:vAlign w:val="center"/>
                </w:tcPr>
                <w:p w14:paraId="1DD82E42">
                  <w:pPr>
                    <w:spacing w:line="276" w:lineRule="auto"/>
                    <w:jc w:val="center"/>
                    <w:rPr>
                      <w:szCs w:val="21"/>
                    </w:rPr>
                  </w:pPr>
                  <w:r>
                    <w:rPr>
                      <w:rFonts w:hint="eastAsia"/>
                      <w:szCs w:val="21"/>
                    </w:rPr>
                    <w:t>0.0138</w:t>
                  </w:r>
                </w:p>
              </w:tc>
            </w:tr>
            <w:tr w14:paraId="24B5B5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323" w:type="dxa"/>
                  <w:vMerge w:val="continue"/>
                  <w:vAlign w:val="center"/>
                </w:tcPr>
                <w:p w14:paraId="27290516">
                  <w:pPr>
                    <w:spacing w:line="276" w:lineRule="auto"/>
                    <w:jc w:val="center"/>
                    <w:rPr>
                      <w:szCs w:val="21"/>
                    </w:rPr>
                  </w:pPr>
                </w:p>
              </w:tc>
              <w:tc>
                <w:tcPr>
                  <w:tcW w:w="1371" w:type="dxa"/>
                  <w:vMerge w:val="continue"/>
                  <w:vAlign w:val="center"/>
                </w:tcPr>
                <w:p w14:paraId="0BC38AB7">
                  <w:pPr>
                    <w:spacing w:line="276" w:lineRule="auto"/>
                    <w:jc w:val="center"/>
                    <w:rPr>
                      <w:szCs w:val="21"/>
                    </w:rPr>
                  </w:pPr>
                </w:p>
              </w:tc>
              <w:tc>
                <w:tcPr>
                  <w:tcW w:w="1030" w:type="dxa"/>
                  <w:vAlign w:val="center"/>
                </w:tcPr>
                <w:p w14:paraId="6A4C303E">
                  <w:pPr>
                    <w:spacing w:line="276" w:lineRule="auto"/>
                    <w:jc w:val="center"/>
                    <w:rPr>
                      <w:szCs w:val="21"/>
                    </w:rPr>
                  </w:pPr>
                  <w:r>
                    <w:rPr>
                      <w:szCs w:val="21"/>
                    </w:rPr>
                    <w:t>无组织</w:t>
                  </w:r>
                </w:p>
              </w:tc>
              <w:tc>
                <w:tcPr>
                  <w:tcW w:w="1057" w:type="dxa"/>
                  <w:vAlign w:val="center"/>
                </w:tcPr>
                <w:p w14:paraId="3ADCAF4C">
                  <w:pPr>
                    <w:spacing w:line="276" w:lineRule="auto"/>
                    <w:jc w:val="center"/>
                    <w:rPr>
                      <w:szCs w:val="21"/>
                    </w:rPr>
                  </w:pPr>
                  <w:r>
                    <w:rPr>
                      <w:rFonts w:hint="eastAsia"/>
                      <w:szCs w:val="21"/>
                    </w:rPr>
                    <w:t>—</w:t>
                  </w:r>
                </w:p>
              </w:tc>
              <w:tc>
                <w:tcPr>
                  <w:tcW w:w="1068" w:type="dxa"/>
                  <w:vAlign w:val="center"/>
                </w:tcPr>
                <w:p w14:paraId="1D4AE25A">
                  <w:pPr>
                    <w:spacing w:line="276" w:lineRule="auto"/>
                    <w:jc w:val="center"/>
                    <w:rPr>
                      <w:szCs w:val="21"/>
                    </w:rPr>
                  </w:pPr>
                  <w:r>
                    <w:rPr>
                      <w:rFonts w:hint="eastAsia"/>
                      <w:szCs w:val="21"/>
                    </w:rPr>
                    <w:t>3.0</w:t>
                  </w:r>
                  <m:oMath>
                    <m:r>
                      <m:rPr/>
                      <w:rPr>
                        <w:rFonts w:ascii="Cambria Math" w:hAnsi="Cambria Math"/>
                        <w:szCs w:val="21"/>
                      </w:rPr>
                      <m:t>×</m:t>
                    </m:r>
                  </m:oMath>
                  <w:r>
                    <w:rPr>
                      <w:rFonts w:hint="eastAsia"/>
                      <w:szCs w:val="21"/>
                    </w:rPr>
                    <w:t>1</w:t>
                  </w:r>
                  <w:r>
                    <w:rPr>
                      <w:szCs w:val="21"/>
                    </w:rPr>
                    <w:t>0</w:t>
                  </w:r>
                  <w:r>
                    <w:rPr>
                      <w:szCs w:val="21"/>
                      <w:vertAlign w:val="superscript"/>
                    </w:rPr>
                    <w:t>-5</w:t>
                  </w:r>
                </w:p>
              </w:tc>
              <w:tc>
                <w:tcPr>
                  <w:tcW w:w="1119" w:type="dxa"/>
                  <w:vAlign w:val="center"/>
                </w:tcPr>
                <w:p w14:paraId="1A1F8159">
                  <w:pPr>
                    <w:spacing w:line="276" w:lineRule="auto"/>
                    <w:jc w:val="center"/>
                    <w:rPr>
                      <w:szCs w:val="21"/>
                    </w:rPr>
                  </w:pPr>
                  <w:r>
                    <w:rPr>
                      <w:rFonts w:hint="eastAsia"/>
                      <w:szCs w:val="21"/>
                    </w:rPr>
                    <w:t>1.0</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5</w:t>
                  </w:r>
                </w:p>
              </w:tc>
              <w:tc>
                <w:tcPr>
                  <w:tcW w:w="1177" w:type="dxa"/>
                  <w:vAlign w:val="center"/>
                </w:tcPr>
                <w:p w14:paraId="5C74267D">
                  <w:pPr>
                    <w:spacing w:line="276" w:lineRule="auto"/>
                    <w:jc w:val="center"/>
                    <w:rPr>
                      <w:szCs w:val="21"/>
                    </w:rPr>
                  </w:pPr>
                  <w:r>
                    <w:rPr>
                      <w:rFonts w:hint="eastAsia"/>
                      <w:szCs w:val="21"/>
                    </w:rPr>
                    <w:t>—</w:t>
                  </w:r>
                </w:p>
              </w:tc>
            </w:tr>
          </w:tbl>
          <w:p w14:paraId="747514A5">
            <w:pPr>
              <w:spacing w:line="360" w:lineRule="auto"/>
              <w:ind w:firstLine="480" w:firstLineChars="200"/>
              <w:jc w:val="left"/>
              <w:rPr>
                <w:sz w:val="24"/>
              </w:rPr>
            </w:pPr>
            <w:r>
              <w:rPr>
                <w:rFonts w:hint="eastAsia"/>
                <w:sz w:val="24"/>
              </w:rPr>
              <w:t>结合企业实际情况，对玻璃管热熔封口工序液化气燃烧产生的废气采用以下废气收集处理方案：</w:t>
            </w:r>
          </w:p>
          <w:p w14:paraId="48E11116">
            <w:pPr>
              <w:jc w:val="center"/>
              <w:rPr>
                <w:rFonts w:eastAsia="黑体"/>
                <w:sz w:val="24"/>
                <w:szCs w:val="24"/>
              </w:rPr>
            </w:pPr>
            <w:r>
              <w:rPr>
                <w:rFonts w:hAnsi="黑体" w:eastAsia="黑体"/>
                <w:sz w:val="24"/>
                <w:szCs w:val="24"/>
              </w:rPr>
              <w:t>表</w:t>
            </w:r>
            <w:r>
              <w:rPr>
                <w:rFonts w:hint="eastAsia" w:hAnsi="黑体" w:eastAsia="黑体"/>
                <w:sz w:val="24"/>
                <w:szCs w:val="24"/>
              </w:rPr>
              <w:t>33</w:t>
            </w:r>
            <w:r>
              <w:rPr>
                <w:rFonts w:hAnsi="黑体" w:eastAsia="黑体"/>
                <w:sz w:val="24"/>
                <w:szCs w:val="24"/>
              </w:rPr>
              <w:t xml:space="preserve">  玻璃管热熔封口废气污染防治设施设计参数一览表</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1363"/>
              <w:gridCol w:w="1225"/>
              <w:gridCol w:w="1331"/>
              <w:gridCol w:w="2045"/>
              <w:gridCol w:w="1031"/>
            </w:tblGrid>
            <w:tr w14:paraId="45F99E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Align w:val="center"/>
                </w:tcPr>
                <w:p w14:paraId="0E4EF704">
                  <w:pPr>
                    <w:spacing w:line="276" w:lineRule="auto"/>
                    <w:jc w:val="center"/>
                    <w:rPr>
                      <w:szCs w:val="21"/>
                    </w:rPr>
                  </w:pPr>
                  <w:r>
                    <w:rPr>
                      <w:rFonts w:hint="eastAsia"/>
                      <w:szCs w:val="21"/>
                    </w:rPr>
                    <w:t>生产工序</w:t>
                  </w:r>
                </w:p>
              </w:tc>
              <w:tc>
                <w:tcPr>
                  <w:tcW w:w="1470" w:type="dxa"/>
                  <w:vAlign w:val="center"/>
                </w:tcPr>
                <w:p w14:paraId="268B9414">
                  <w:pPr>
                    <w:spacing w:line="276" w:lineRule="auto"/>
                    <w:jc w:val="center"/>
                    <w:rPr>
                      <w:szCs w:val="21"/>
                    </w:rPr>
                  </w:pPr>
                  <w:r>
                    <w:rPr>
                      <w:rFonts w:hint="eastAsia"/>
                      <w:szCs w:val="21"/>
                    </w:rPr>
                    <w:t>集气罩设置情况</w:t>
                  </w:r>
                </w:p>
              </w:tc>
              <w:tc>
                <w:tcPr>
                  <w:tcW w:w="1316" w:type="dxa"/>
                  <w:vAlign w:val="center"/>
                </w:tcPr>
                <w:p w14:paraId="3C272EDC">
                  <w:pPr>
                    <w:spacing w:line="276" w:lineRule="auto"/>
                    <w:jc w:val="center"/>
                    <w:rPr>
                      <w:szCs w:val="21"/>
                    </w:rPr>
                  </w:pPr>
                  <w:r>
                    <w:rPr>
                      <w:rFonts w:hint="eastAsia"/>
                      <w:szCs w:val="21"/>
                    </w:rPr>
                    <w:t>集气罩数量</w:t>
                  </w:r>
                </w:p>
              </w:tc>
              <w:tc>
                <w:tcPr>
                  <w:tcW w:w="1344" w:type="dxa"/>
                  <w:vAlign w:val="center"/>
                </w:tcPr>
                <w:p w14:paraId="09C83D57">
                  <w:pPr>
                    <w:spacing w:line="276" w:lineRule="auto"/>
                    <w:jc w:val="center"/>
                    <w:rPr>
                      <w:szCs w:val="21"/>
                    </w:rPr>
                  </w:pPr>
                  <w:r>
                    <w:rPr>
                      <w:rFonts w:hint="eastAsia"/>
                      <w:szCs w:val="21"/>
                    </w:rPr>
                    <w:t>集气罩尺寸</w:t>
                  </w:r>
                </w:p>
              </w:tc>
              <w:tc>
                <w:tcPr>
                  <w:tcW w:w="2141" w:type="dxa"/>
                  <w:vAlign w:val="center"/>
                </w:tcPr>
                <w:p w14:paraId="54CDCDA8">
                  <w:pPr>
                    <w:spacing w:line="276" w:lineRule="auto"/>
                    <w:jc w:val="center"/>
                    <w:rPr>
                      <w:szCs w:val="21"/>
                    </w:rPr>
                  </w:pPr>
                  <w:r>
                    <w:rPr>
                      <w:rFonts w:hint="eastAsia"/>
                      <w:szCs w:val="21"/>
                    </w:rPr>
                    <w:t>风量计算过程</w:t>
                  </w:r>
                </w:p>
              </w:tc>
              <w:tc>
                <w:tcPr>
                  <w:tcW w:w="642" w:type="dxa"/>
                  <w:vAlign w:val="center"/>
                </w:tcPr>
                <w:p w14:paraId="23E36AA5">
                  <w:pPr>
                    <w:spacing w:line="276" w:lineRule="auto"/>
                    <w:jc w:val="center"/>
                    <w:rPr>
                      <w:szCs w:val="21"/>
                    </w:rPr>
                  </w:pPr>
                  <w:r>
                    <w:rPr>
                      <w:rFonts w:hint="eastAsia"/>
                      <w:szCs w:val="21"/>
                    </w:rPr>
                    <w:t>计算风量</w:t>
                  </w:r>
                </w:p>
              </w:tc>
            </w:tr>
            <w:tr w14:paraId="086C64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Align w:val="center"/>
                </w:tcPr>
                <w:p w14:paraId="177D8DA3">
                  <w:pPr>
                    <w:spacing w:line="276" w:lineRule="auto"/>
                    <w:jc w:val="center"/>
                    <w:rPr>
                      <w:szCs w:val="21"/>
                    </w:rPr>
                  </w:pPr>
                  <w:r>
                    <w:rPr>
                      <w:rFonts w:hint="eastAsia"/>
                      <w:szCs w:val="21"/>
                    </w:rPr>
                    <w:t>玻璃管热熔封口</w:t>
                  </w:r>
                </w:p>
              </w:tc>
              <w:tc>
                <w:tcPr>
                  <w:tcW w:w="1470" w:type="dxa"/>
                  <w:vAlign w:val="center"/>
                </w:tcPr>
                <w:p w14:paraId="3A8A9738">
                  <w:pPr>
                    <w:spacing w:line="276" w:lineRule="auto"/>
                    <w:jc w:val="center"/>
                    <w:rPr>
                      <w:szCs w:val="21"/>
                    </w:rPr>
                  </w:pPr>
                  <w:r>
                    <w:rPr>
                      <w:rFonts w:hint="eastAsia"/>
                      <w:szCs w:val="21"/>
                    </w:rPr>
                    <w:t>上方设置集气罩</w:t>
                  </w:r>
                </w:p>
              </w:tc>
              <w:tc>
                <w:tcPr>
                  <w:tcW w:w="1316" w:type="dxa"/>
                  <w:vAlign w:val="center"/>
                </w:tcPr>
                <w:p w14:paraId="065000D6">
                  <w:pPr>
                    <w:spacing w:line="276" w:lineRule="auto"/>
                    <w:jc w:val="center"/>
                    <w:rPr>
                      <w:szCs w:val="21"/>
                    </w:rPr>
                  </w:pPr>
                  <w:r>
                    <w:rPr>
                      <w:rFonts w:hint="eastAsia"/>
                      <w:szCs w:val="21"/>
                    </w:rPr>
                    <w:t>6</w:t>
                  </w:r>
                </w:p>
              </w:tc>
              <w:tc>
                <w:tcPr>
                  <w:tcW w:w="1344" w:type="dxa"/>
                  <w:vAlign w:val="center"/>
                </w:tcPr>
                <w:p w14:paraId="189F6D8B">
                  <w:pPr>
                    <w:spacing w:line="276" w:lineRule="auto"/>
                    <w:jc w:val="center"/>
                    <w:rPr>
                      <w:szCs w:val="21"/>
                    </w:rPr>
                  </w:pPr>
                  <w:r>
                    <w:rPr>
                      <w:rFonts w:hint="eastAsia"/>
                      <w:szCs w:val="21"/>
                    </w:rPr>
                    <w:t>0.5m</w:t>
                  </w:r>
                  <m:oMath>
                    <m:r>
                      <m:rPr>
                        <m:sty m:val="p"/>
                      </m:rPr>
                      <w:rPr>
                        <w:rFonts w:ascii="Cambria Math" w:hAnsi="Cambria Math"/>
                        <w:szCs w:val="21"/>
                      </w:rPr>
                      <m:t>×</m:t>
                    </m:r>
                  </m:oMath>
                  <w:r>
                    <w:rPr>
                      <w:rFonts w:hint="eastAsia"/>
                      <w:szCs w:val="21"/>
                    </w:rPr>
                    <w:t>0.3m</w:t>
                  </w:r>
                </w:p>
              </w:tc>
              <w:tc>
                <w:tcPr>
                  <w:tcW w:w="2141" w:type="dxa"/>
                  <w:vAlign w:val="center"/>
                </w:tcPr>
                <w:p w14:paraId="027B3F4A">
                  <w:pPr>
                    <w:spacing w:line="276" w:lineRule="auto"/>
                    <w:jc w:val="left"/>
                    <w:rPr>
                      <w:szCs w:val="21"/>
                    </w:rPr>
                  </w:pPr>
                  <w:r>
                    <w:rPr>
                      <w:rFonts w:hint="eastAsia"/>
                      <w:szCs w:val="21"/>
                    </w:rPr>
                    <w:t>计算公式：L=3600</w:t>
                  </w:r>
                  <m:oMath>
                    <m:r>
                      <m:rPr>
                        <m:sty m:val="p"/>
                      </m:rPr>
                      <w:rPr>
                        <w:rFonts w:ascii="Cambria Math" w:hAnsi="Cambria Math"/>
                        <w:szCs w:val="21"/>
                      </w:rPr>
                      <m:t>×</m:t>
                    </m:r>
                  </m:oMath>
                  <w:r>
                    <w:rPr>
                      <w:szCs w:val="21"/>
                    </w:rPr>
                    <w:t>（</w:t>
                  </w:r>
                  <w:r>
                    <w:rPr>
                      <w:rFonts w:hint="eastAsia"/>
                      <w:szCs w:val="21"/>
                    </w:rPr>
                    <w:t>5X</w:t>
                  </w:r>
                  <w:r>
                    <w:rPr>
                      <w:rFonts w:hint="eastAsia"/>
                      <w:szCs w:val="21"/>
                      <w:vertAlign w:val="superscript"/>
                    </w:rPr>
                    <w:t>2</w:t>
                  </w:r>
                  <w:r>
                    <w:rPr>
                      <w:rFonts w:hint="eastAsia"/>
                      <w:szCs w:val="21"/>
                    </w:rPr>
                    <w:t>+F</w:t>
                  </w:r>
                  <w:r>
                    <w:rPr>
                      <w:szCs w:val="21"/>
                    </w:rPr>
                    <w:t>）</w:t>
                  </w:r>
                  <m:oMath>
                    <m:r>
                      <m:rPr>
                        <m:sty m:val="p"/>
                      </m:rPr>
                      <w:rPr>
                        <w:rFonts w:ascii="Cambria Math" w:hAnsi="Cambria Math"/>
                        <w:szCs w:val="21"/>
                      </w:rPr>
                      <m:t>×</m:t>
                    </m:r>
                  </m:oMath>
                  <w:r>
                    <w:rPr>
                      <w:rFonts w:hint="eastAsia"/>
                      <w:szCs w:val="21"/>
                    </w:rPr>
                    <w:t>Vx</w:t>
                  </w:r>
                </w:p>
                <w:p w14:paraId="29DF4809">
                  <w:pPr>
                    <w:spacing w:line="276" w:lineRule="auto"/>
                    <w:jc w:val="left"/>
                    <w:rPr>
                      <w:szCs w:val="21"/>
                    </w:rPr>
                  </w:pPr>
                  <w:r>
                    <w:rPr>
                      <w:rFonts w:hint="eastAsia"/>
                      <w:szCs w:val="21"/>
                    </w:rPr>
                    <w:t>L—排风量，m</w:t>
                  </w:r>
                  <w:r>
                    <w:rPr>
                      <w:rFonts w:hint="eastAsia"/>
                      <w:szCs w:val="21"/>
                      <w:vertAlign w:val="superscript"/>
                    </w:rPr>
                    <w:t>3</w:t>
                  </w:r>
                  <w:r>
                    <w:rPr>
                      <w:rFonts w:hint="eastAsia"/>
                      <w:szCs w:val="21"/>
                    </w:rPr>
                    <w:t>/h；</w:t>
                  </w:r>
                </w:p>
                <w:p w14:paraId="78BA32D4">
                  <w:pPr>
                    <w:spacing w:line="276" w:lineRule="auto"/>
                    <w:jc w:val="left"/>
                    <w:rPr>
                      <w:szCs w:val="21"/>
                    </w:rPr>
                  </w:pPr>
                  <w:r>
                    <w:rPr>
                      <w:rFonts w:hint="eastAsia"/>
                      <w:szCs w:val="21"/>
                    </w:rPr>
                    <w:t>X—集气罩距离污染产生源的距离（取0.4m）；</w:t>
                  </w:r>
                </w:p>
                <w:p w14:paraId="3E090425">
                  <w:pPr>
                    <w:spacing w:line="276" w:lineRule="auto"/>
                    <w:jc w:val="left"/>
                    <w:rPr>
                      <w:szCs w:val="21"/>
                    </w:rPr>
                  </w:pPr>
                  <w:r>
                    <w:rPr>
                      <w:rFonts w:hint="eastAsia"/>
                      <w:szCs w:val="21"/>
                    </w:rPr>
                    <w:t>F—集气罩面积；</w:t>
                  </w:r>
                </w:p>
                <w:p w14:paraId="3716CE1D">
                  <w:pPr>
                    <w:spacing w:line="276" w:lineRule="auto"/>
                    <w:jc w:val="left"/>
                    <w:rPr>
                      <w:szCs w:val="21"/>
                    </w:rPr>
                  </w:pPr>
                  <w:r>
                    <w:rPr>
                      <w:rFonts w:hint="eastAsia"/>
                      <w:szCs w:val="21"/>
                    </w:rPr>
                    <w:t>Vx—控制风速（取0.3m/s）</w:t>
                  </w:r>
                </w:p>
              </w:tc>
              <w:tc>
                <w:tcPr>
                  <w:tcW w:w="642" w:type="dxa"/>
                  <w:vAlign w:val="center"/>
                </w:tcPr>
                <w:p w14:paraId="0DB87240">
                  <w:pPr>
                    <w:spacing w:line="276" w:lineRule="auto"/>
                    <w:jc w:val="center"/>
                    <w:rPr>
                      <w:szCs w:val="21"/>
                    </w:rPr>
                  </w:pPr>
                  <w:r>
                    <w:rPr>
                      <w:rFonts w:hint="eastAsia"/>
                      <w:szCs w:val="21"/>
                    </w:rPr>
                    <w:t>1026m</w:t>
                  </w:r>
                  <w:r>
                    <w:rPr>
                      <w:rFonts w:hint="eastAsia"/>
                      <w:szCs w:val="21"/>
                      <w:vertAlign w:val="superscript"/>
                    </w:rPr>
                    <w:t>3</w:t>
                  </w:r>
                  <w:r>
                    <w:rPr>
                      <w:rFonts w:hint="eastAsia"/>
                      <w:szCs w:val="21"/>
                    </w:rPr>
                    <w:t>/h</w:t>
                  </w:r>
                </w:p>
              </w:tc>
            </w:tr>
            <w:tr w14:paraId="75F208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503" w:type="dxa"/>
                  <w:gridSpan w:val="5"/>
                  <w:vAlign w:val="center"/>
                </w:tcPr>
                <w:p w14:paraId="16204B27">
                  <w:pPr>
                    <w:spacing w:line="276" w:lineRule="auto"/>
                    <w:jc w:val="center"/>
                    <w:rPr>
                      <w:szCs w:val="21"/>
                    </w:rPr>
                  </w:pPr>
                  <w:r>
                    <w:rPr>
                      <w:rFonts w:hint="eastAsia"/>
                      <w:szCs w:val="21"/>
                    </w:rPr>
                    <w:t>合计</w:t>
                  </w:r>
                </w:p>
              </w:tc>
              <w:tc>
                <w:tcPr>
                  <w:tcW w:w="642" w:type="dxa"/>
                  <w:vAlign w:val="center"/>
                </w:tcPr>
                <w:p w14:paraId="62F87CE2">
                  <w:pPr>
                    <w:spacing w:line="276" w:lineRule="auto"/>
                    <w:jc w:val="center"/>
                    <w:rPr>
                      <w:szCs w:val="21"/>
                    </w:rPr>
                  </w:pPr>
                  <w:r>
                    <w:rPr>
                      <w:rFonts w:hint="eastAsia"/>
                      <w:szCs w:val="21"/>
                    </w:rPr>
                    <w:t>6156m</w:t>
                  </w:r>
                  <w:r>
                    <w:rPr>
                      <w:rFonts w:hint="eastAsia"/>
                      <w:szCs w:val="21"/>
                      <w:vertAlign w:val="superscript"/>
                    </w:rPr>
                    <w:t>3</w:t>
                  </w:r>
                  <w:r>
                    <w:rPr>
                      <w:rFonts w:hint="eastAsia"/>
                      <w:szCs w:val="21"/>
                    </w:rPr>
                    <w:t>/h</w:t>
                  </w:r>
                </w:p>
              </w:tc>
            </w:tr>
            <w:tr w14:paraId="062DBF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503" w:type="dxa"/>
                  <w:gridSpan w:val="5"/>
                  <w:vAlign w:val="center"/>
                </w:tcPr>
                <w:p w14:paraId="0CCBD280">
                  <w:pPr>
                    <w:spacing w:line="276" w:lineRule="auto"/>
                    <w:jc w:val="center"/>
                    <w:rPr>
                      <w:szCs w:val="21"/>
                    </w:rPr>
                  </w:pPr>
                  <w:r>
                    <w:rPr>
                      <w:rFonts w:hint="eastAsia"/>
                      <w:szCs w:val="21"/>
                    </w:rPr>
                    <w:t>设计风量（考虑8</w:t>
                  </w:r>
                  <w:r>
                    <w:rPr>
                      <w:szCs w:val="21"/>
                    </w:rPr>
                    <w:t>~12%</w:t>
                  </w:r>
                  <w:r>
                    <w:rPr>
                      <w:rFonts w:hint="eastAsia"/>
                      <w:szCs w:val="21"/>
                    </w:rPr>
                    <w:t>的损失）</w:t>
                  </w:r>
                </w:p>
              </w:tc>
              <w:tc>
                <w:tcPr>
                  <w:tcW w:w="642" w:type="dxa"/>
                  <w:vAlign w:val="center"/>
                </w:tcPr>
                <w:p w14:paraId="234A0ADA">
                  <w:pPr>
                    <w:spacing w:line="276" w:lineRule="auto"/>
                    <w:jc w:val="center"/>
                    <w:rPr>
                      <w:szCs w:val="21"/>
                    </w:rPr>
                  </w:pPr>
                  <w:r>
                    <w:rPr>
                      <w:rFonts w:hint="eastAsia"/>
                      <w:szCs w:val="21"/>
                    </w:rPr>
                    <w:t>6</w:t>
                  </w:r>
                  <w:r>
                    <w:rPr>
                      <w:szCs w:val="21"/>
                    </w:rPr>
                    <w:t>500</w:t>
                  </w:r>
                  <w:r>
                    <w:rPr>
                      <w:rFonts w:hint="eastAsia"/>
                      <w:szCs w:val="21"/>
                    </w:rPr>
                    <w:t>m</w:t>
                  </w:r>
                  <w:r>
                    <w:rPr>
                      <w:rFonts w:hint="eastAsia"/>
                      <w:szCs w:val="21"/>
                      <w:vertAlign w:val="superscript"/>
                    </w:rPr>
                    <w:t>3</w:t>
                  </w:r>
                  <w:r>
                    <w:rPr>
                      <w:rFonts w:hint="eastAsia"/>
                      <w:szCs w:val="21"/>
                    </w:rPr>
                    <w:t>/h</w:t>
                  </w:r>
                </w:p>
              </w:tc>
            </w:tr>
          </w:tbl>
          <w:p w14:paraId="5403A236">
            <w:pPr>
              <w:spacing w:line="360" w:lineRule="auto"/>
              <w:ind w:firstLine="480" w:firstLineChars="200"/>
              <w:jc w:val="left"/>
              <w:rPr>
                <w:sz w:val="24"/>
              </w:rPr>
            </w:pPr>
            <w:r>
              <w:rPr>
                <w:rFonts w:hint="eastAsia"/>
                <w:sz w:val="24"/>
              </w:rPr>
              <w:t>（2）组合管封口废气（G</w:t>
            </w:r>
            <w:r>
              <w:rPr>
                <w:sz w:val="24"/>
                <w:vertAlign w:val="subscript"/>
              </w:rPr>
              <w:t>2</w:t>
            </w:r>
            <w:r>
              <w:rPr>
                <w:rFonts w:hint="eastAsia"/>
                <w:sz w:val="24"/>
              </w:rPr>
              <w:t>）</w:t>
            </w:r>
          </w:p>
          <w:p w14:paraId="52659F4C">
            <w:pPr>
              <w:spacing w:line="360" w:lineRule="auto"/>
              <w:ind w:firstLine="480" w:firstLineChars="200"/>
              <w:jc w:val="left"/>
              <w:rPr>
                <w:sz w:val="24"/>
              </w:rPr>
            </w:pPr>
            <w:r>
              <w:rPr>
                <w:rFonts w:hint="eastAsia"/>
                <w:sz w:val="24"/>
              </w:rPr>
              <w:t>项目生产过程中，玻璃管套装塑料管内后，封口采用塑料压封机对塑料管加热熔融封口。项目塑料管材质为聚乙烯，聚乙烯具有化学稳定性较高、耐热性能好的特点，分解温度为335~450℃。本项目压封机加热温度约为180℃，不会导致聚乙烯分解，但由于聚乙烯中都有少量的残留单体（残留单体为乙烯）存在，在熔融过程中不可避免的挥发出有机废气（主要为游离的乙烯单体），以非甲烷总烃计。</w:t>
            </w:r>
          </w:p>
          <w:p w14:paraId="77D12861">
            <w:pPr>
              <w:spacing w:line="360" w:lineRule="auto"/>
              <w:ind w:firstLine="480" w:firstLineChars="200"/>
              <w:jc w:val="left"/>
              <w:rPr>
                <w:sz w:val="24"/>
              </w:rPr>
            </w:pPr>
            <w:r>
              <w:rPr>
                <w:rFonts w:hint="eastAsia"/>
                <w:sz w:val="24"/>
              </w:rPr>
              <w:t>参照《排放源统计调查产排污核算方法和系数手册》（生态环境部）中2922塑料板、管、型材制造行业系数表，废气中挥发性有机物的产污系数为1.5kg/t产品，本项目使用的塑料管约为297.12t/a，塑料管受热部分约为2%，则该过程非甲烷总烃产生量为0.0089t/a（0.0030kg/h）。</w:t>
            </w:r>
          </w:p>
          <w:p w14:paraId="6DD57649">
            <w:pPr>
              <w:spacing w:line="360" w:lineRule="auto"/>
              <w:ind w:firstLine="480" w:firstLineChars="200"/>
              <w:jc w:val="left"/>
              <w:rPr>
                <w:sz w:val="24"/>
              </w:rPr>
            </w:pPr>
            <w:r>
              <w:rPr>
                <w:rFonts w:hint="eastAsia"/>
                <w:sz w:val="24"/>
              </w:rPr>
              <w:t>塑料封口年工作时间为3000h，产生的废气经集气罩收集后进入二级活性炭吸附装置处理后最终由DA00</w:t>
            </w:r>
            <w:r>
              <w:rPr>
                <w:sz w:val="24"/>
              </w:rPr>
              <w:t>2</w:t>
            </w:r>
            <w:r>
              <w:rPr>
                <w:rFonts w:hint="eastAsia"/>
                <w:sz w:val="24"/>
              </w:rPr>
              <w:t>排气筒排放，设备集气罩收集系统的效率为</w:t>
            </w:r>
            <w:r>
              <w:rPr>
                <w:sz w:val="24"/>
              </w:rPr>
              <w:t>90</w:t>
            </w:r>
            <w:r>
              <w:rPr>
                <w:rFonts w:hint="eastAsia"/>
                <w:sz w:val="24"/>
              </w:rPr>
              <w:t>%，二级活性炭处理效率为90%，风机设计总风量</w:t>
            </w:r>
            <w:r>
              <w:rPr>
                <w:rFonts w:hint="eastAsia"/>
                <w:sz w:val="24"/>
                <w:szCs w:val="24"/>
              </w:rPr>
              <w:t>为</w:t>
            </w:r>
            <w:r>
              <w:rPr>
                <w:sz w:val="24"/>
                <w:szCs w:val="24"/>
              </w:rPr>
              <w:t>9000</w:t>
            </w:r>
            <w:r>
              <w:rPr>
                <w:rFonts w:hint="eastAsia"/>
                <w:sz w:val="24"/>
              </w:rPr>
              <w:t>m</w:t>
            </w:r>
            <w:r>
              <w:rPr>
                <w:rFonts w:hint="eastAsia"/>
                <w:sz w:val="24"/>
                <w:vertAlign w:val="superscript"/>
              </w:rPr>
              <w:t>3</w:t>
            </w:r>
            <w:r>
              <w:rPr>
                <w:rFonts w:hint="eastAsia"/>
                <w:sz w:val="24"/>
              </w:rPr>
              <w:t>/h。结合企业实际情况，对组合管封口工序产生的封口废气采用以下废气收集处理方案：</w:t>
            </w:r>
          </w:p>
          <w:p w14:paraId="7736E1DA">
            <w:pPr>
              <w:jc w:val="center"/>
              <w:rPr>
                <w:rFonts w:eastAsia="黑体"/>
                <w:sz w:val="24"/>
                <w:szCs w:val="24"/>
              </w:rPr>
            </w:pPr>
            <w:r>
              <w:rPr>
                <w:rFonts w:hAnsi="黑体" w:eastAsia="黑体"/>
                <w:sz w:val="24"/>
                <w:szCs w:val="24"/>
              </w:rPr>
              <w:t>表</w:t>
            </w:r>
            <w:r>
              <w:rPr>
                <w:rFonts w:hint="eastAsia" w:hAnsi="黑体" w:eastAsia="黑体"/>
                <w:sz w:val="24"/>
                <w:szCs w:val="24"/>
              </w:rPr>
              <w:t>34</w:t>
            </w:r>
            <w:r>
              <w:rPr>
                <w:rFonts w:hAnsi="黑体" w:eastAsia="黑体"/>
                <w:sz w:val="24"/>
                <w:szCs w:val="24"/>
              </w:rPr>
              <w:t xml:space="preserve">  组合管封口废气污染防治设施设计参数一览表</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0"/>
              <w:gridCol w:w="1363"/>
              <w:gridCol w:w="1225"/>
              <w:gridCol w:w="1331"/>
              <w:gridCol w:w="2045"/>
              <w:gridCol w:w="1031"/>
            </w:tblGrid>
            <w:tr w14:paraId="52EABB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Align w:val="center"/>
                </w:tcPr>
                <w:p w14:paraId="7D3E5AA7">
                  <w:pPr>
                    <w:spacing w:line="276" w:lineRule="auto"/>
                    <w:jc w:val="center"/>
                    <w:rPr>
                      <w:szCs w:val="21"/>
                    </w:rPr>
                  </w:pPr>
                  <w:r>
                    <w:rPr>
                      <w:rFonts w:hint="eastAsia"/>
                      <w:szCs w:val="21"/>
                    </w:rPr>
                    <w:t>生产工序</w:t>
                  </w:r>
                </w:p>
              </w:tc>
              <w:tc>
                <w:tcPr>
                  <w:tcW w:w="1470" w:type="dxa"/>
                  <w:vAlign w:val="center"/>
                </w:tcPr>
                <w:p w14:paraId="618590B1">
                  <w:pPr>
                    <w:spacing w:line="276" w:lineRule="auto"/>
                    <w:jc w:val="center"/>
                    <w:rPr>
                      <w:szCs w:val="21"/>
                    </w:rPr>
                  </w:pPr>
                  <w:r>
                    <w:rPr>
                      <w:rFonts w:hint="eastAsia"/>
                      <w:szCs w:val="21"/>
                    </w:rPr>
                    <w:t>集气罩设置情况</w:t>
                  </w:r>
                </w:p>
              </w:tc>
              <w:tc>
                <w:tcPr>
                  <w:tcW w:w="1316" w:type="dxa"/>
                  <w:vAlign w:val="center"/>
                </w:tcPr>
                <w:p w14:paraId="6885F422">
                  <w:pPr>
                    <w:spacing w:line="276" w:lineRule="auto"/>
                    <w:jc w:val="center"/>
                    <w:rPr>
                      <w:szCs w:val="21"/>
                    </w:rPr>
                  </w:pPr>
                  <w:r>
                    <w:rPr>
                      <w:rFonts w:hint="eastAsia"/>
                      <w:szCs w:val="21"/>
                    </w:rPr>
                    <w:t>集气罩数量</w:t>
                  </w:r>
                </w:p>
              </w:tc>
              <w:tc>
                <w:tcPr>
                  <w:tcW w:w="1344" w:type="dxa"/>
                  <w:vAlign w:val="center"/>
                </w:tcPr>
                <w:p w14:paraId="05E82DD4">
                  <w:pPr>
                    <w:spacing w:line="276" w:lineRule="auto"/>
                    <w:jc w:val="center"/>
                    <w:rPr>
                      <w:szCs w:val="21"/>
                    </w:rPr>
                  </w:pPr>
                  <w:r>
                    <w:rPr>
                      <w:rFonts w:hint="eastAsia"/>
                      <w:szCs w:val="21"/>
                    </w:rPr>
                    <w:t>集气罩尺寸</w:t>
                  </w:r>
                </w:p>
              </w:tc>
              <w:tc>
                <w:tcPr>
                  <w:tcW w:w="2141" w:type="dxa"/>
                  <w:vAlign w:val="center"/>
                </w:tcPr>
                <w:p w14:paraId="07ACCA60">
                  <w:pPr>
                    <w:spacing w:line="276" w:lineRule="auto"/>
                    <w:jc w:val="center"/>
                    <w:rPr>
                      <w:szCs w:val="21"/>
                    </w:rPr>
                  </w:pPr>
                  <w:r>
                    <w:rPr>
                      <w:rFonts w:hint="eastAsia"/>
                      <w:szCs w:val="21"/>
                    </w:rPr>
                    <w:t>风量计算过程</w:t>
                  </w:r>
                </w:p>
              </w:tc>
              <w:tc>
                <w:tcPr>
                  <w:tcW w:w="642" w:type="dxa"/>
                  <w:vAlign w:val="center"/>
                </w:tcPr>
                <w:p w14:paraId="44ADDFDF">
                  <w:pPr>
                    <w:spacing w:line="276" w:lineRule="auto"/>
                    <w:jc w:val="center"/>
                    <w:rPr>
                      <w:szCs w:val="21"/>
                    </w:rPr>
                  </w:pPr>
                  <w:r>
                    <w:rPr>
                      <w:rFonts w:hint="eastAsia"/>
                      <w:szCs w:val="21"/>
                    </w:rPr>
                    <w:t>计算风量</w:t>
                  </w:r>
                </w:p>
              </w:tc>
            </w:tr>
            <w:tr w14:paraId="391BAB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Align w:val="center"/>
                </w:tcPr>
                <w:p w14:paraId="77877A1C">
                  <w:pPr>
                    <w:spacing w:line="276" w:lineRule="auto"/>
                    <w:jc w:val="center"/>
                    <w:rPr>
                      <w:szCs w:val="21"/>
                    </w:rPr>
                  </w:pPr>
                  <w:r>
                    <w:rPr>
                      <w:rFonts w:hint="eastAsia"/>
                      <w:szCs w:val="21"/>
                    </w:rPr>
                    <w:t>组合管封口</w:t>
                  </w:r>
                </w:p>
              </w:tc>
              <w:tc>
                <w:tcPr>
                  <w:tcW w:w="1470" w:type="dxa"/>
                  <w:vAlign w:val="center"/>
                </w:tcPr>
                <w:p w14:paraId="0E6AB6B7">
                  <w:pPr>
                    <w:spacing w:line="276" w:lineRule="auto"/>
                    <w:jc w:val="center"/>
                    <w:rPr>
                      <w:szCs w:val="21"/>
                    </w:rPr>
                  </w:pPr>
                  <w:r>
                    <w:rPr>
                      <w:rFonts w:hint="eastAsia"/>
                      <w:szCs w:val="21"/>
                    </w:rPr>
                    <w:t>上方设置集气罩</w:t>
                  </w:r>
                </w:p>
              </w:tc>
              <w:tc>
                <w:tcPr>
                  <w:tcW w:w="1316" w:type="dxa"/>
                  <w:vAlign w:val="center"/>
                </w:tcPr>
                <w:p w14:paraId="617714A3">
                  <w:pPr>
                    <w:spacing w:line="276" w:lineRule="auto"/>
                    <w:jc w:val="center"/>
                    <w:rPr>
                      <w:szCs w:val="21"/>
                    </w:rPr>
                  </w:pPr>
                  <w:r>
                    <w:rPr>
                      <w:rFonts w:hint="eastAsia"/>
                      <w:szCs w:val="21"/>
                    </w:rPr>
                    <w:t>7</w:t>
                  </w:r>
                </w:p>
              </w:tc>
              <w:tc>
                <w:tcPr>
                  <w:tcW w:w="1344" w:type="dxa"/>
                  <w:vAlign w:val="center"/>
                </w:tcPr>
                <w:p w14:paraId="5683C1C6">
                  <w:pPr>
                    <w:spacing w:line="276" w:lineRule="auto"/>
                    <w:jc w:val="center"/>
                    <w:rPr>
                      <w:szCs w:val="21"/>
                    </w:rPr>
                  </w:pPr>
                  <w:r>
                    <w:rPr>
                      <w:rFonts w:hint="eastAsia"/>
                      <w:szCs w:val="21"/>
                    </w:rPr>
                    <w:t>0.5m</w:t>
                  </w:r>
                  <m:oMath>
                    <m:r>
                      <m:rPr>
                        <m:sty m:val="p"/>
                      </m:rPr>
                      <w:rPr>
                        <w:rFonts w:ascii="Cambria Math" w:hAnsi="Cambria Math"/>
                        <w:szCs w:val="21"/>
                      </w:rPr>
                      <m:t>×</m:t>
                    </m:r>
                  </m:oMath>
                  <w:r>
                    <w:rPr>
                      <w:rFonts w:hint="eastAsia"/>
                      <w:szCs w:val="21"/>
                    </w:rPr>
                    <w:t>0.3m</w:t>
                  </w:r>
                </w:p>
              </w:tc>
              <w:tc>
                <w:tcPr>
                  <w:tcW w:w="2141" w:type="dxa"/>
                  <w:vAlign w:val="center"/>
                </w:tcPr>
                <w:p w14:paraId="3A5F5A64">
                  <w:pPr>
                    <w:spacing w:line="276" w:lineRule="auto"/>
                    <w:jc w:val="left"/>
                    <w:rPr>
                      <w:szCs w:val="21"/>
                    </w:rPr>
                  </w:pPr>
                  <w:r>
                    <w:rPr>
                      <w:rFonts w:hint="eastAsia"/>
                      <w:szCs w:val="21"/>
                    </w:rPr>
                    <w:t>计算公式：L=3600</w:t>
                  </w:r>
                  <m:oMath>
                    <m:r>
                      <m:rPr>
                        <m:sty m:val="p"/>
                      </m:rPr>
                      <w:rPr>
                        <w:rFonts w:ascii="Cambria Math" w:hAnsi="Cambria Math"/>
                        <w:szCs w:val="21"/>
                      </w:rPr>
                      <m:t>×</m:t>
                    </m:r>
                  </m:oMath>
                  <w:r>
                    <w:rPr>
                      <w:szCs w:val="21"/>
                    </w:rPr>
                    <w:t>（</w:t>
                  </w:r>
                  <w:r>
                    <w:rPr>
                      <w:rFonts w:hint="eastAsia"/>
                      <w:szCs w:val="21"/>
                    </w:rPr>
                    <w:t>5X</w:t>
                  </w:r>
                  <w:r>
                    <w:rPr>
                      <w:rFonts w:hint="eastAsia"/>
                      <w:szCs w:val="21"/>
                      <w:vertAlign w:val="superscript"/>
                    </w:rPr>
                    <w:t>2</w:t>
                  </w:r>
                  <w:r>
                    <w:rPr>
                      <w:rFonts w:hint="eastAsia"/>
                      <w:szCs w:val="21"/>
                    </w:rPr>
                    <w:t>+F</w:t>
                  </w:r>
                  <w:r>
                    <w:rPr>
                      <w:szCs w:val="21"/>
                    </w:rPr>
                    <w:t>）</w:t>
                  </w:r>
                  <m:oMath>
                    <m:r>
                      <m:rPr>
                        <m:sty m:val="p"/>
                      </m:rPr>
                      <w:rPr>
                        <w:rFonts w:ascii="Cambria Math" w:hAnsi="Cambria Math"/>
                        <w:szCs w:val="21"/>
                      </w:rPr>
                      <m:t>×</m:t>
                    </m:r>
                  </m:oMath>
                  <w:r>
                    <w:rPr>
                      <w:rFonts w:hint="eastAsia"/>
                      <w:szCs w:val="21"/>
                    </w:rPr>
                    <w:t>Vx</w:t>
                  </w:r>
                </w:p>
                <w:p w14:paraId="248B9485">
                  <w:pPr>
                    <w:spacing w:line="276" w:lineRule="auto"/>
                    <w:jc w:val="left"/>
                    <w:rPr>
                      <w:szCs w:val="21"/>
                    </w:rPr>
                  </w:pPr>
                  <w:r>
                    <w:rPr>
                      <w:rFonts w:hint="eastAsia"/>
                      <w:szCs w:val="21"/>
                    </w:rPr>
                    <w:t>L—排风量，m</w:t>
                  </w:r>
                  <w:r>
                    <w:rPr>
                      <w:rFonts w:hint="eastAsia"/>
                      <w:szCs w:val="21"/>
                      <w:vertAlign w:val="superscript"/>
                    </w:rPr>
                    <w:t>3</w:t>
                  </w:r>
                  <w:r>
                    <w:rPr>
                      <w:rFonts w:hint="eastAsia"/>
                      <w:szCs w:val="21"/>
                    </w:rPr>
                    <w:t>/h；</w:t>
                  </w:r>
                </w:p>
                <w:p w14:paraId="6A5514A5">
                  <w:pPr>
                    <w:spacing w:line="276" w:lineRule="auto"/>
                    <w:jc w:val="left"/>
                    <w:rPr>
                      <w:szCs w:val="21"/>
                    </w:rPr>
                  </w:pPr>
                  <w:r>
                    <w:rPr>
                      <w:rFonts w:hint="eastAsia"/>
                      <w:szCs w:val="21"/>
                    </w:rPr>
                    <w:t>X—集气罩距离污染产生源的距离（取0.3m）；</w:t>
                  </w:r>
                </w:p>
                <w:p w14:paraId="27FCE680">
                  <w:pPr>
                    <w:spacing w:line="276" w:lineRule="auto"/>
                    <w:jc w:val="left"/>
                    <w:rPr>
                      <w:szCs w:val="21"/>
                    </w:rPr>
                  </w:pPr>
                  <w:r>
                    <w:rPr>
                      <w:rFonts w:hint="eastAsia"/>
                      <w:szCs w:val="21"/>
                    </w:rPr>
                    <w:t>F—集气罩面积；</w:t>
                  </w:r>
                </w:p>
                <w:p w14:paraId="0CF210FC">
                  <w:pPr>
                    <w:spacing w:line="276" w:lineRule="auto"/>
                    <w:jc w:val="left"/>
                    <w:rPr>
                      <w:szCs w:val="21"/>
                    </w:rPr>
                  </w:pPr>
                  <w:r>
                    <w:rPr>
                      <w:rFonts w:hint="eastAsia"/>
                      <w:szCs w:val="21"/>
                    </w:rPr>
                    <w:t>Vx—控制风速（取0.3m/s）</w:t>
                  </w:r>
                </w:p>
              </w:tc>
              <w:tc>
                <w:tcPr>
                  <w:tcW w:w="642" w:type="dxa"/>
                  <w:vAlign w:val="center"/>
                </w:tcPr>
                <w:p w14:paraId="6FE76736">
                  <w:pPr>
                    <w:spacing w:line="276" w:lineRule="auto"/>
                    <w:jc w:val="center"/>
                    <w:rPr>
                      <w:szCs w:val="21"/>
                    </w:rPr>
                  </w:pPr>
                  <w:r>
                    <w:rPr>
                      <w:rFonts w:hint="eastAsia"/>
                      <w:szCs w:val="21"/>
                    </w:rPr>
                    <w:t>648 m</w:t>
                  </w:r>
                  <w:r>
                    <w:rPr>
                      <w:rFonts w:hint="eastAsia"/>
                      <w:szCs w:val="21"/>
                      <w:vertAlign w:val="superscript"/>
                    </w:rPr>
                    <w:t>3</w:t>
                  </w:r>
                  <w:r>
                    <w:rPr>
                      <w:rFonts w:hint="eastAsia"/>
                      <w:szCs w:val="21"/>
                    </w:rPr>
                    <w:t>/h</w:t>
                  </w:r>
                </w:p>
              </w:tc>
            </w:tr>
            <w:tr w14:paraId="4DAE16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503" w:type="dxa"/>
                  <w:gridSpan w:val="5"/>
                  <w:vAlign w:val="center"/>
                </w:tcPr>
                <w:p w14:paraId="58388DFD">
                  <w:pPr>
                    <w:spacing w:line="276" w:lineRule="auto"/>
                    <w:jc w:val="center"/>
                    <w:rPr>
                      <w:szCs w:val="21"/>
                    </w:rPr>
                  </w:pPr>
                  <w:r>
                    <w:rPr>
                      <w:rFonts w:hint="eastAsia"/>
                      <w:szCs w:val="21"/>
                    </w:rPr>
                    <w:t>合计</w:t>
                  </w:r>
                </w:p>
              </w:tc>
              <w:tc>
                <w:tcPr>
                  <w:tcW w:w="642" w:type="dxa"/>
                  <w:vAlign w:val="center"/>
                </w:tcPr>
                <w:p w14:paraId="2CC6FCF8">
                  <w:pPr>
                    <w:spacing w:line="276" w:lineRule="auto"/>
                    <w:jc w:val="center"/>
                    <w:rPr>
                      <w:szCs w:val="21"/>
                    </w:rPr>
                  </w:pPr>
                  <w:r>
                    <w:rPr>
                      <w:rFonts w:hint="eastAsia"/>
                      <w:szCs w:val="21"/>
                    </w:rPr>
                    <w:t>4536m</w:t>
                  </w:r>
                  <w:r>
                    <w:rPr>
                      <w:rFonts w:hint="eastAsia"/>
                      <w:szCs w:val="21"/>
                      <w:vertAlign w:val="superscript"/>
                    </w:rPr>
                    <w:t>3</w:t>
                  </w:r>
                  <w:r>
                    <w:rPr>
                      <w:rFonts w:hint="eastAsia"/>
                      <w:szCs w:val="21"/>
                    </w:rPr>
                    <w:t>/h</w:t>
                  </w:r>
                </w:p>
              </w:tc>
            </w:tr>
          </w:tbl>
          <w:p w14:paraId="26003983">
            <w:pPr>
              <w:spacing w:line="360" w:lineRule="auto"/>
              <w:ind w:firstLine="480" w:firstLineChars="200"/>
              <w:jc w:val="left"/>
              <w:rPr>
                <w:sz w:val="24"/>
              </w:rPr>
            </w:pPr>
            <w:r>
              <w:rPr>
                <w:rFonts w:hint="eastAsia"/>
                <w:sz w:val="24"/>
              </w:rPr>
              <w:t>（3）清洗废气（G</w:t>
            </w:r>
            <w:r>
              <w:rPr>
                <w:sz w:val="24"/>
                <w:vertAlign w:val="subscript"/>
              </w:rPr>
              <w:t>3</w:t>
            </w:r>
            <w:r>
              <w:rPr>
                <w:rFonts w:hint="eastAsia"/>
                <w:sz w:val="24"/>
              </w:rPr>
              <w:t>）</w:t>
            </w:r>
          </w:p>
          <w:p w14:paraId="582B2D62">
            <w:pPr>
              <w:spacing w:line="360" w:lineRule="auto"/>
              <w:ind w:firstLine="480" w:firstLineChars="200"/>
              <w:jc w:val="left"/>
              <w:rPr>
                <w:sz w:val="24"/>
              </w:rPr>
            </w:pPr>
            <w:r>
              <w:rPr>
                <w:sz w:val="24"/>
              </w:rPr>
              <w:t>封口后的塑料管后采用乙醇进行清洗，</w:t>
            </w:r>
            <w:r>
              <w:rPr>
                <w:rFonts w:hint="eastAsia"/>
                <w:sz w:val="24"/>
              </w:rPr>
              <w:t>乙醇清洗过程会挥发至空气中，由于乙醇属于挥发性有机物，本次纳入非甲烷总烃评价范畴。</w:t>
            </w:r>
          </w:p>
          <w:p w14:paraId="157D4320">
            <w:pPr>
              <w:spacing w:line="360" w:lineRule="auto"/>
              <w:ind w:firstLine="480" w:firstLineChars="200"/>
              <w:jc w:val="left"/>
              <w:rPr>
                <w:sz w:val="24"/>
              </w:rPr>
            </w:pPr>
            <w:r>
              <w:rPr>
                <w:sz w:val="24"/>
              </w:rPr>
              <w:t>根据建设单位提供资料，乙醇年消耗量为</w:t>
            </w:r>
            <w:r>
              <w:rPr>
                <w:rFonts w:hint="eastAsia"/>
                <w:sz w:val="24"/>
              </w:rPr>
              <w:t>3.4吨，</w:t>
            </w:r>
            <w:r>
              <w:rPr>
                <w:rFonts w:hint="eastAsia" w:hAnsi="宋体"/>
                <w:sz w:val="24"/>
              </w:rPr>
              <w:t>乙醇在清洗工序挥发以10%计，则非甲烷总烃产生量为0.34t/a。废气由清洗槽上方设置的集气罩，收集后进入</w:t>
            </w:r>
            <w:r>
              <w:rPr>
                <w:rFonts w:hint="eastAsia"/>
                <w:sz w:val="24"/>
              </w:rPr>
              <w:t>二级活性炭吸附装置处理后最终由</w:t>
            </w:r>
            <w:r>
              <w:rPr>
                <w:sz w:val="24"/>
              </w:rPr>
              <w:t>D</w:t>
            </w:r>
            <w:r>
              <w:rPr>
                <w:rFonts w:hint="eastAsia"/>
                <w:sz w:val="24"/>
              </w:rPr>
              <w:t>A00</w:t>
            </w:r>
            <w:r>
              <w:rPr>
                <w:sz w:val="24"/>
              </w:rPr>
              <w:t>2</w:t>
            </w:r>
            <w:r>
              <w:rPr>
                <w:rFonts w:hint="eastAsia"/>
                <w:sz w:val="24"/>
              </w:rPr>
              <w:t>排气筒排放，设备集气罩收集系统的效率为</w:t>
            </w:r>
            <w:r>
              <w:rPr>
                <w:sz w:val="24"/>
              </w:rPr>
              <w:t>90</w:t>
            </w:r>
            <w:r>
              <w:rPr>
                <w:rFonts w:hint="eastAsia"/>
                <w:sz w:val="24"/>
              </w:rPr>
              <w:t>%，二级活性炭处理效率为90%，设计风量为</w:t>
            </w:r>
            <w:r>
              <w:rPr>
                <w:sz w:val="24"/>
              </w:rPr>
              <w:t>90</w:t>
            </w:r>
            <w:r>
              <w:rPr>
                <w:rFonts w:hint="eastAsia"/>
                <w:sz w:val="24"/>
              </w:rPr>
              <w:t>00m</w:t>
            </w:r>
            <w:r>
              <w:rPr>
                <w:rFonts w:hint="eastAsia"/>
                <w:sz w:val="24"/>
                <w:vertAlign w:val="superscript"/>
              </w:rPr>
              <w:t>3</w:t>
            </w:r>
            <w:r>
              <w:rPr>
                <w:rFonts w:hint="eastAsia"/>
                <w:sz w:val="24"/>
              </w:rPr>
              <w:t>/h。结合企业实际情况，对组合管清洗工序产生的废气采用以下废气收集处理方案：</w:t>
            </w:r>
          </w:p>
          <w:p w14:paraId="4FA57235">
            <w:pPr>
              <w:jc w:val="center"/>
              <w:rPr>
                <w:rFonts w:eastAsia="黑体"/>
                <w:sz w:val="24"/>
                <w:szCs w:val="24"/>
              </w:rPr>
            </w:pPr>
            <w:r>
              <w:rPr>
                <w:rFonts w:hAnsi="黑体" w:eastAsia="黑体"/>
                <w:sz w:val="24"/>
                <w:szCs w:val="24"/>
              </w:rPr>
              <w:t>表</w:t>
            </w:r>
            <w:r>
              <w:rPr>
                <w:rFonts w:hint="eastAsia" w:hAnsi="黑体" w:eastAsia="黑体"/>
                <w:sz w:val="24"/>
                <w:szCs w:val="24"/>
              </w:rPr>
              <w:t>35</w:t>
            </w:r>
            <w:r>
              <w:rPr>
                <w:rFonts w:hAnsi="黑体" w:eastAsia="黑体"/>
                <w:sz w:val="24"/>
                <w:szCs w:val="24"/>
              </w:rPr>
              <w:t xml:space="preserve">  清洗废气污染防治设施设计参数一览表</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32"/>
              <w:gridCol w:w="1470"/>
              <w:gridCol w:w="1316"/>
              <w:gridCol w:w="1344"/>
              <w:gridCol w:w="2141"/>
              <w:gridCol w:w="642"/>
            </w:tblGrid>
            <w:tr w14:paraId="4131F6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Align w:val="center"/>
                </w:tcPr>
                <w:p w14:paraId="46635D0B">
                  <w:pPr>
                    <w:spacing w:line="276" w:lineRule="auto"/>
                    <w:jc w:val="center"/>
                    <w:rPr>
                      <w:szCs w:val="21"/>
                    </w:rPr>
                  </w:pPr>
                  <w:r>
                    <w:rPr>
                      <w:rFonts w:hint="eastAsia"/>
                      <w:szCs w:val="21"/>
                    </w:rPr>
                    <w:t>生产工序</w:t>
                  </w:r>
                </w:p>
              </w:tc>
              <w:tc>
                <w:tcPr>
                  <w:tcW w:w="1470" w:type="dxa"/>
                  <w:vAlign w:val="center"/>
                </w:tcPr>
                <w:p w14:paraId="0A2AE115">
                  <w:pPr>
                    <w:spacing w:line="276" w:lineRule="auto"/>
                    <w:jc w:val="center"/>
                    <w:rPr>
                      <w:szCs w:val="21"/>
                    </w:rPr>
                  </w:pPr>
                  <w:r>
                    <w:rPr>
                      <w:rFonts w:hint="eastAsia"/>
                      <w:szCs w:val="21"/>
                    </w:rPr>
                    <w:t>集气罩设置情况</w:t>
                  </w:r>
                </w:p>
              </w:tc>
              <w:tc>
                <w:tcPr>
                  <w:tcW w:w="1316" w:type="dxa"/>
                  <w:vAlign w:val="center"/>
                </w:tcPr>
                <w:p w14:paraId="4DD84DEA">
                  <w:pPr>
                    <w:spacing w:line="276" w:lineRule="auto"/>
                    <w:jc w:val="center"/>
                    <w:rPr>
                      <w:szCs w:val="21"/>
                    </w:rPr>
                  </w:pPr>
                  <w:r>
                    <w:rPr>
                      <w:rFonts w:hint="eastAsia"/>
                      <w:szCs w:val="21"/>
                    </w:rPr>
                    <w:t>集气罩数量</w:t>
                  </w:r>
                </w:p>
              </w:tc>
              <w:tc>
                <w:tcPr>
                  <w:tcW w:w="1344" w:type="dxa"/>
                  <w:vAlign w:val="center"/>
                </w:tcPr>
                <w:p w14:paraId="64185244">
                  <w:pPr>
                    <w:spacing w:line="276" w:lineRule="auto"/>
                    <w:jc w:val="center"/>
                    <w:rPr>
                      <w:szCs w:val="21"/>
                    </w:rPr>
                  </w:pPr>
                  <w:r>
                    <w:rPr>
                      <w:rFonts w:hint="eastAsia"/>
                      <w:szCs w:val="21"/>
                    </w:rPr>
                    <w:t>集气罩尺寸</w:t>
                  </w:r>
                </w:p>
              </w:tc>
              <w:tc>
                <w:tcPr>
                  <w:tcW w:w="2141" w:type="dxa"/>
                  <w:vAlign w:val="center"/>
                </w:tcPr>
                <w:p w14:paraId="4F2ED968">
                  <w:pPr>
                    <w:spacing w:line="276" w:lineRule="auto"/>
                    <w:jc w:val="center"/>
                    <w:rPr>
                      <w:szCs w:val="21"/>
                    </w:rPr>
                  </w:pPr>
                  <w:r>
                    <w:rPr>
                      <w:rFonts w:hint="eastAsia"/>
                      <w:szCs w:val="21"/>
                    </w:rPr>
                    <w:t>风量计算过程</w:t>
                  </w:r>
                </w:p>
              </w:tc>
              <w:tc>
                <w:tcPr>
                  <w:tcW w:w="642" w:type="dxa"/>
                  <w:vAlign w:val="center"/>
                </w:tcPr>
                <w:p w14:paraId="36D96BD3">
                  <w:pPr>
                    <w:spacing w:line="276" w:lineRule="auto"/>
                    <w:jc w:val="center"/>
                    <w:rPr>
                      <w:szCs w:val="21"/>
                    </w:rPr>
                  </w:pPr>
                  <w:r>
                    <w:rPr>
                      <w:rFonts w:hint="eastAsia"/>
                      <w:szCs w:val="21"/>
                    </w:rPr>
                    <w:t>计算风量</w:t>
                  </w:r>
                </w:p>
              </w:tc>
            </w:tr>
            <w:tr w14:paraId="44C64B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32" w:type="dxa"/>
                  <w:vAlign w:val="center"/>
                </w:tcPr>
                <w:p w14:paraId="75EFEB2A">
                  <w:pPr>
                    <w:spacing w:line="276" w:lineRule="auto"/>
                    <w:jc w:val="center"/>
                    <w:rPr>
                      <w:szCs w:val="21"/>
                    </w:rPr>
                  </w:pPr>
                  <w:r>
                    <w:rPr>
                      <w:rFonts w:hint="eastAsia"/>
                      <w:szCs w:val="21"/>
                    </w:rPr>
                    <w:t>组合管清洗</w:t>
                  </w:r>
                </w:p>
              </w:tc>
              <w:tc>
                <w:tcPr>
                  <w:tcW w:w="1470" w:type="dxa"/>
                  <w:vAlign w:val="center"/>
                </w:tcPr>
                <w:p w14:paraId="4DB3F5B9">
                  <w:pPr>
                    <w:spacing w:line="276" w:lineRule="auto"/>
                    <w:jc w:val="center"/>
                    <w:rPr>
                      <w:szCs w:val="21"/>
                    </w:rPr>
                  </w:pPr>
                  <w:r>
                    <w:rPr>
                      <w:rFonts w:hint="eastAsia"/>
                      <w:szCs w:val="21"/>
                    </w:rPr>
                    <w:t>清洗槽上方设置集气罩</w:t>
                  </w:r>
                </w:p>
              </w:tc>
              <w:tc>
                <w:tcPr>
                  <w:tcW w:w="1316" w:type="dxa"/>
                  <w:vAlign w:val="center"/>
                </w:tcPr>
                <w:p w14:paraId="78035E91">
                  <w:pPr>
                    <w:spacing w:line="276" w:lineRule="auto"/>
                    <w:jc w:val="center"/>
                    <w:rPr>
                      <w:szCs w:val="21"/>
                    </w:rPr>
                  </w:pPr>
                  <w:r>
                    <w:rPr>
                      <w:rFonts w:hint="eastAsia"/>
                      <w:szCs w:val="21"/>
                    </w:rPr>
                    <w:t>2</w:t>
                  </w:r>
                </w:p>
              </w:tc>
              <w:tc>
                <w:tcPr>
                  <w:tcW w:w="1344" w:type="dxa"/>
                  <w:vAlign w:val="center"/>
                </w:tcPr>
                <w:p w14:paraId="50A000E0">
                  <w:pPr>
                    <w:spacing w:line="276" w:lineRule="auto"/>
                    <w:jc w:val="center"/>
                    <w:rPr>
                      <w:szCs w:val="21"/>
                    </w:rPr>
                  </w:pPr>
                  <w:r>
                    <w:rPr>
                      <w:rFonts w:hint="eastAsia"/>
                      <w:szCs w:val="21"/>
                    </w:rPr>
                    <w:t>0.5m</w:t>
                  </w:r>
                  <m:oMath>
                    <m:r>
                      <m:rPr>
                        <m:sty m:val="p"/>
                      </m:rPr>
                      <w:rPr>
                        <w:rFonts w:ascii="Cambria Math" w:hAnsi="Cambria Math"/>
                        <w:szCs w:val="21"/>
                      </w:rPr>
                      <m:t>×</m:t>
                    </m:r>
                  </m:oMath>
                  <w:r>
                    <w:rPr>
                      <w:rFonts w:hint="eastAsia"/>
                      <w:szCs w:val="21"/>
                    </w:rPr>
                    <w:t>0.5m</w:t>
                  </w:r>
                </w:p>
              </w:tc>
              <w:tc>
                <w:tcPr>
                  <w:tcW w:w="2141" w:type="dxa"/>
                  <w:vAlign w:val="center"/>
                </w:tcPr>
                <w:p w14:paraId="240B795D">
                  <w:pPr>
                    <w:spacing w:line="276" w:lineRule="auto"/>
                    <w:jc w:val="left"/>
                    <w:rPr>
                      <w:szCs w:val="21"/>
                    </w:rPr>
                  </w:pPr>
                  <w:r>
                    <w:rPr>
                      <w:rFonts w:hint="eastAsia"/>
                      <w:szCs w:val="21"/>
                    </w:rPr>
                    <w:t>计算公式：L=3600</w:t>
                  </w:r>
                  <m:oMath>
                    <m:r>
                      <m:rPr>
                        <m:sty m:val="p"/>
                      </m:rPr>
                      <w:rPr>
                        <w:rFonts w:ascii="Cambria Math" w:hAnsi="Cambria Math"/>
                        <w:szCs w:val="21"/>
                      </w:rPr>
                      <m:t>×</m:t>
                    </m:r>
                  </m:oMath>
                  <w:r>
                    <w:rPr>
                      <w:szCs w:val="21"/>
                    </w:rPr>
                    <w:t>（</w:t>
                  </w:r>
                  <w:r>
                    <w:rPr>
                      <w:rFonts w:hint="eastAsia"/>
                      <w:szCs w:val="21"/>
                    </w:rPr>
                    <w:t>5X</w:t>
                  </w:r>
                  <w:r>
                    <w:rPr>
                      <w:rFonts w:hint="eastAsia"/>
                      <w:szCs w:val="21"/>
                      <w:vertAlign w:val="superscript"/>
                    </w:rPr>
                    <w:t>2</w:t>
                  </w:r>
                  <w:r>
                    <w:rPr>
                      <w:rFonts w:hint="eastAsia"/>
                      <w:szCs w:val="21"/>
                    </w:rPr>
                    <w:t>+F</w:t>
                  </w:r>
                  <w:r>
                    <w:rPr>
                      <w:szCs w:val="21"/>
                    </w:rPr>
                    <w:t>）</w:t>
                  </w:r>
                  <m:oMath>
                    <m:r>
                      <m:rPr>
                        <m:sty m:val="p"/>
                      </m:rPr>
                      <w:rPr>
                        <w:rFonts w:ascii="Cambria Math" w:hAnsi="Cambria Math"/>
                        <w:szCs w:val="21"/>
                      </w:rPr>
                      <m:t>×</m:t>
                    </m:r>
                  </m:oMath>
                  <w:r>
                    <w:rPr>
                      <w:rFonts w:hint="eastAsia"/>
                      <w:szCs w:val="21"/>
                    </w:rPr>
                    <w:t>Vx</w:t>
                  </w:r>
                </w:p>
                <w:p w14:paraId="4FB80DAD">
                  <w:pPr>
                    <w:spacing w:line="276" w:lineRule="auto"/>
                    <w:jc w:val="left"/>
                    <w:rPr>
                      <w:szCs w:val="21"/>
                    </w:rPr>
                  </w:pPr>
                  <w:r>
                    <w:rPr>
                      <w:rFonts w:hint="eastAsia"/>
                      <w:szCs w:val="21"/>
                    </w:rPr>
                    <w:t>L—排风量，m</w:t>
                  </w:r>
                  <w:r>
                    <w:rPr>
                      <w:rFonts w:hint="eastAsia"/>
                      <w:szCs w:val="21"/>
                      <w:vertAlign w:val="superscript"/>
                    </w:rPr>
                    <w:t>3</w:t>
                  </w:r>
                  <w:r>
                    <w:rPr>
                      <w:rFonts w:hint="eastAsia"/>
                      <w:szCs w:val="21"/>
                    </w:rPr>
                    <w:t>/h；</w:t>
                  </w:r>
                </w:p>
                <w:p w14:paraId="33ED8C8A">
                  <w:pPr>
                    <w:spacing w:line="276" w:lineRule="auto"/>
                    <w:jc w:val="left"/>
                    <w:rPr>
                      <w:szCs w:val="21"/>
                    </w:rPr>
                  </w:pPr>
                  <w:r>
                    <w:rPr>
                      <w:rFonts w:hint="eastAsia"/>
                      <w:szCs w:val="21"/>
                    </w:rPr>
                    <w:t>X—集气罩距离污染产生源的距离（取0.4m）；</w:t>
                  </w:r>
                </w:p>
                <w:p w14:paraId="648DE756">
                  <w:pPr>
                    <w:spacing w:line="276" w:lineRule="auto"/>
                    <w:jc w:val="left"/>
                    <w:rPr>
                      <w:szCs w:val="21"/>
                    </w:rPr>
                  </w:pPr>
                  <w:r>
                    <w:rPr>
                      <w:rFonts w:hint="eastAsia"/>
                      <w:szCs w:val="21"/>
                    </w:rPr>
                    <w:t>F—集气罩面积；</w:t>
                  </w:r>
                </w:p>
                <w:p w14:paraId="7A979000">
                  <w:pPr>
                    <w:spacing w:line="276" w:lineRule="auto"/>
                    <w:jc w:val="left"/>
                    <w:rPr>
                      <w:szCs w:val="21"/>
                    </w:rPr>
                  </w:pPr>
                  <w:r>
                    <w:rPr>
                      <w:rFonts w:hint="eastAsia"/>
                      <w:szCs w:val="21"/>
                    </w:rPr>
                    <w:t>Vx—控制风速（取0.3m/s）</w:t>
                  </w:r>
                </w:p>
              </w:tc>
              <w:tc>
                <w:tcPr>
                  <w:tcW w:w="642" w:type="dxa"/>
                  <w:vAlign w:val="center"/>
                </w:tcPr>
                <w:p w14:paraId="5D0303A3">
                  <w:pPr>
                    <w:spacing w:line="276" w:lineRule="auto"/>
                    <w:jc w:val="center"/>
                    <w:rPr>
                      <w:szCs w:val="21"/>
                    </w:rPr>
                  </w:pPr>
                  <w:r>
                    <w:rPr>
                      <w:szCs w:val="21"/>
                    </w:rPr>
                    <w:t>1134</w:t>
                  </w:r>
                  <w:r>
                    <w:rPr>
                      <w:rFonts w:hint="eastAsia"/>
                      <w:szCs w:val="21"/>
                    </w:rPr>
                    <w:t xml:space="preserve"> m</w:t>
                  </w:r>
                  <w:r>
                    <w:rPr>
                      <w:rFonts w:hint="eastAsia"/>
                      <w:szCs w:val="21"/>
                      <w:vertAlign w:val="superscript"/>
                    </w:rPr>
                    <w:t>3</w:t>
                  </w:r>
                  <w:r>
                    <w:rPr>
                      <w:rFonts w:hint="eastAsia"/>
                      <w:szCs w:val="21"/>
                    </w:rPr>
                    <w:t>/h</w:t>
                  </w:r>
                </w:p>
              </w:tc>
            </w:tr>
            <w:tr w14:paraId="2C621A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503" w:type="dxa"/>
                  <w:gridSpan w:val="5"/>
                  <w:vAlign w:val="center"/>
                </w:tcPr>
                <w:p w14:paraId="0AD90E8E">
                  <w:pPr>
                    <w:spacing w:line="276" w:lineRule="auto"/>
                    <w:jc w:val="center"/>
                    <w:rPr>
                      <w:szCs w:val="21"/>
                    </w:rPr>
                  </w:pPr>
                  <w:r>
                    <w:rPr>
                      <w:rFonts w:hint="eastAsia"/>
                      <w:szCs w:val="21"/>
                    </w:rPr>
                    <w:t>合计</w:t>
                  </w:r>
                </w:p>
              </w:tc>
              <w:tc>
                <w:tcPr>
                  <w:tcW w:w="642" w:type="dxa"/>
                  <w:vAlign w:val="center"/>
                </w:tcPr>
                <w:p w14:paraId="57CDF861">
                  <w:pPr>
                    <w:spacing w:line="276" w:lineRule="auto"/>
                    <w:jc w:val="center"/>
                    <w:rPr>
                      <w:szCs w:val="21"/>
                    </w:rPr>
                  </w:pPr>
                  <w:r>
                    <w:rPr>
                      <w:szCs w:val="21"/>
                    </w:rPr>
                    <w:t>2268</w:t>
                  </w:r>
                  <w:r>
                    <w:rPr>
                      <w:rFonts w:hint="eastAsia"/>
                      <w:szCs w:val="21"/>
                    </w:rPr>
                    <w:t xml:space="preserve"> m</w:t>
                  </w:r>
                  <w:r>
                    <w:rPr>
                      <w:rFonts w:hint="eastAsia"/>
                      <w:szCs w:val="21"/>
                      <w:vertAlign w:val="superscript"/>
                    </w:rPr>
                    <w:t>3</w:t>
                  </w:r>
                  <w:r>
                    <w:rPr>
                      <w:rFonts w:hint="eastAsia"/>
                      <w:szCs w:val="21"/>
                    </w:rPr>
                    <w:t>/h</w:t>
                  </w:r>
                </w:p>
              </w:tc>
            </w:tr>
          </w:tbl>
          <w:p w14:paraId="28DFD182">
            <w:pPr>
              <w:spacing w:line="360" w:lineRule="auto"/>
              <w:ind w:firstLine="480" w:firstLineChars="200"/>
              <w:jc w:val="left"/>
              <w:rPr>
                <w:rFonts w:hAnsi="宋体"/>
                <w:sz w:val="24"/>
              </w:rPr>
            </w:pPr>
            <w:r>
              <w:rPr>
                <w:rFonts w:hint="eastAsia" w:hAnsi="宋体"/>
                <w:sz w:val="24"/>
              </w:rPr>
              <w:t>（4）（组合管）离心废气（G</w:t>
            </w:r>
            <w:r>
              <w:rPr>
                <w:rFonts w:hAnsi="宋体"/>
                <w:sz w:val="24"/>
                <w:vertAlign w:val="subscript"/>
              </w:rPr>
              <w:t>4</w:t>
            </w:r>
            <w:r>
              <w:rPr>
                <w:rFonts w:hint="eastAsia" w:hAnsi="宋体"/>
                <w:sz w:val="24"/>
              </w:rPr>
              <w:t>）</w:t>
            </w:r>
          </w:p>
          <w:p w14:paraId="4E13C6BE">
            <w:pPr>
              <w:spacing w:line="360" w:lineRule="auto"/>
              <w:ind w:firstLine="480" w:firstLineChars="200"/>
              <w:jc w:val="left"/>
              <w:rPr>
                <w:rFonts w:hAnsi="黑体" w:eastAsia="黑体"/>
                <w:sz w:val="24"/>
                <w:szCs w:val="24"/>
              </w:rPr>
            </w:pPr>
            <w:r>
              <w:rPr>
                <w:rFonts w:hint="eastAsia" w:hAnsi="宋体"/>
                <w:sz w:val="24"/>
              </w:rPr>
              <w:t>清洗槽内捞出的组合管插入离心管内在离心机中离心脱水，管壁残留的乙醇部分挥发至空气中，残留乙醇量为总量的5%，其余随着离心作用滴落并由废液桶收集。该工序涉及非甲烷总烃的产生，乙醇挥发以10%计，则乙醇产生量为</w:t>
            </w:r>
            <w:r>
              <w:rPr>
                <w:rFonts w:hAnsi="宋体"/>
                <w:sz w:val="24"/>
              </w:rPr>
              <w:t>0.017</w:t>
            </w:r>
            <w:r>
              <w:rPr>
                <w:rFonts w:hint="eastAsia" w:hAnsi="宋体"/>
                <w:sz w:val="24"/>
              </w:rPr>
              <w:t>t/a。废气由集气罩上方设置集气罩，收集后进入</w:t>
            </w:r>
            <w:r>
              <w:rPr>
                <w:rFonts w:hint="eastAsia"/>
                <w:sz w:val="24"/>
              </w:rPr>
              <w:t>二级活性炭吸附装置处理后最终由DA00</w:t>
            </w:r>
            <w:r>
              <w:rPr>
                <w:sz w:val="24"/>
              </w:rPr>
              <w:t>2</w:t>
            </w:r>
            <w:r>
              <w:rPr>
                <w:rFonts w:hint="eastAsia"/>
                <w:sz w:val="24"/>
              </w:rPr>
              <w:t>排气筒排放，设备集气罩收集系统的效率为9</w:t>
            </w:r>
            <w:r>
              <w:rPr>
                <w:sz w:val="24"/>
              </w:rPr>
              <w:t>0</w:t>
            </w:r>
            <w:r>
              <w:rPr>
                <w:rFonts w:hint="eastAsia"/>
                <w:sz w:val="24"/>
              </w:rPr>
              <w:t>%，二级活性炭处理效率为90%，设计风量为</w:t>
            </w:r>
            <w:r>
              <w:rPr>
                <w:sz w:val="24"/>
              </w:rPr>
              <w:t>90</w:t>
            </w:r>
            <w:r>
              <w:rPr>
                <w:rFonts w:hint="eastAsia"/>
                <w:sz w:val="24"/>
              </w:rPr>
              <w:t>00m</w:t>
            </w:r>
            <w:r>
              <w:rPr>
                <w:rFonts w:hint="eastAsia"/>
                <w:sz w:val="24"/>
                <w:vertAlign w:val="superscript"/>
              </w:rPr>
              <w:t>3</w:t>
            </w:r>
            <w:r>
              <w:rPr>
                <w:rFonts w:hint="eastAsia"/>
                <w:sz w:val="24"/>
              </w:rPr>
              <w:t>/h。</w:t>
            </w:r>
          </w:p>
          <w:p w14:paraId="29AA8D5C">
            <w:pPr>
              <w:spacing w:line="360" w:lineRule="auto"/>
              <w:ind w:firstLine="480" w:firstLineChars="200"/>
              <w:jc w:val="left"/>
              <w:rPr>
                <w:sz w:val="24"/>
              </w:rPr>
            </w:pPr>
            <w:r>
              <w:rPr>
                <w:rFonts w:hint="eastAsia"/>
                <w:sz w:val="24"/>
              </w:rPr>
              <w:t>结合企业实际情况，对组合管清洗工序产生的废气采用以下废气收集处理方案：</w:t>
            </w:r>
          </w:p>
          <w:p w14:paraId="25873B7E">
            <w:pPr>
              <w:jc w:val="center"/>
              <w:rPr>
                <w:rFonts w:eastAsia="黑体"/>
                <w:sz w:val="24"/>
                <w:szCs w:val="24"/>
              </w:rPr>
            </w:pPr>
            <w:r>
              <w:rPr>
                <w:rFonts w:hAnsi="黑体" w:eastAsia="黑体"/>
                <w:sz w:val="24"/>
                <w:szCs w:val="24"/>
              </w:rPr>
              <w:t>表</w:t>
            </w:r>
            <w:r>
              <w:rPr>
                <w:rFonts w:hint="eastAsia" w:hAnsi="黑体" w:eastAsia="黑体"/>
                <w:sz w:val="24"/>
                <w:szCs w:val="24"/>
              </w:rPr>
              <w:t>36</w:t>
            </w:r>
            <w:r>
              <w:rPr>
                <w:rFonts w:hAnsi="黑体" w:eastAsia="黑体"/>
                <w:sz w:val="24"/>
                <w:szCs w:val="24"/>
              </w:rPr>
              <w:t xml:space="preserve">  组合管离心废气污染防治设施设计参数一览表</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62"/>
              <w:gridCol w:w="1189"/>
              <w:gridCol w:w="934"/>
              <w:gridCol w:w="1525"/>
              <w:gridCol w:w="2404"/>
              <w:gridCol w:w="1031"/>
            </w:tblGrid>
            <w:tr w14:paraId="08EBA4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134" w:type="dxa"/>
                  <w:vAlign w:val="center"/>
                </w:tcPr>
                <w:p w14:paraId="00579121">
                  <w:pPr>
                    <w:spacing w:line="276" w:lineRule="auto"/>
                    <w:jc w:val="center"/>
                    <w:rPr>
                      <w:szCs w:val="21"/>
                    </w:rPr>
                  </w:pPr>
                  <w:r>
                    <w:rPr>
                      <w:rFonts w:hint="eastAsia"/>
                      <w:szCs w:val="21"/>
                    </w:rPr>
                    <w:t>生产工序</w:t>
                  </w:r>
                </w:p>
              </w:tc>
              <w:tc>
                <w:tcPr>
                  <w:tcW w:w="1276" w:type="dxa"/>
                  <w:vAlign w:val="center"/>
                </w:tcPr>
                <w:p w14:paraId="32DD9BEA">
                  <w:pPr>
                    <w:spacing w:line="276" w:lineRule="auto"/>
                    <w:jc w:val="center"/>
                    <w:rPr>
                      <w:szCs w:val="21"/>
                    </w:rPr>
                  </w:pPr>
                  <w:r>
                    <w:rPr>
                      <w:rFonts w:hint="eastAsia"/>
                      <w:szCs w:val="21"/>
                    </w:rPr>
                    <w:t>集气罩设置情况</w:t>
                  </w:r>
                </w:p>
              </w:tc>
              <w:tc>
                <w:tcPr>
                  <w:tcW w:w="992" w:type="dxa"/>
                  <w:vAlign w:val="center"/>
                </w:tcPr>
                <w:p w14:paraId="3E63CBE7">
                  <w:pPr>
                    <w:spacing w:line="276" w:lineRule="auto"/>
                    <w:jc w:val="center"/>
                    <w:rPr>
                      <w:szCs w:val="21"/>
                    </w:rPr>
                  </w:pPr>
                  <w:r>
                    <w:rPr>
                      <w:rFonts w:hint="eastAsia"/>
                      <w:szCs w:val="21"/>
                    </w:rPr>
                    <w:t>集气罩数量</w:t>
                  </w:r>
                </w:p>
              </w:tc>
              <w:tc>
                <w:tcPr>
                  <w:tcW w:w="1560" w:type="dxa"/>
                  <w:vAlign w:val="center"/>
                </w:tcPr>
                <w:p w14:paraId="4C9BC157">
                  <w:pPr>
                    <w:spacing w:line="276" w:lineRule="auto"/>
                    <w:jc w:val="center"/>
                    <w:rPr>
                      <w:szCs w:val="21"/>
                    </w:rPr>
                  </w:pPr>
                  <w:r>
                    <w:rPr>
                      <w:rFonts w:hint="eastAsia"/>
                      <w:szCs w:val="21"/>
                    </w:rPr>
                    <w:t>集气罩尺寸</w:t>
                  </w:r>
                </w:p>
              </w:tc>
              <w:tc>
                <w:tcPr>
                  <w:tcW w:w="2541" w:type="dxa"/>
                  <w:vAlign w:val="center"/>
                </w:tcPr>
                <w:p w14:paraId="4B4FD078">
                  <w:pPr>
                    <w:spacing w:line="276" w:lineRule="auto"/>
                    <w:jc w:val="center"/>
                    <w:rPr>
                      <w:szCs w:val="21"/>
                    </w:rPr>
                  </w:pPr>
                  <w:r>
                    <w:rPr>
                      <w:rFonts w:hint="eastAsia"/>
                      <w:szCs w:val="21"/>
                    </w:rPr>
                    <w:t>风量计算过程</w:t>
                  </w:r>
                </w:p>
              </w:tc>
              <w:tc>
                <w:tcPr>
                  <w:tcW w:w="642" w:type="dxa"/>
                  <w:vAlign w:val="center"/>
                </w:tcPr>
                <w:p w14:paraId="1B81DF3B">
                  <w:pPr>
                    <w:spacing w:line="276" w:lineRule="auto"/>
                    <w:jc w:val="center"/>
                    <w:rPr>
                      <w:szCs w:val="21"/>
                    </w:rPr>
                  </w:pPr>
                  <w:r>
                    <w:rPr>
                      <w:rFonts w:hint="eastAsia"/>
                      <w:szCs w:val="21"/>
                    </w:rPr>
                    <w:t>计算风量</w:t>
                  </w:r>
                </w:p>
              </w:tc>
            </w:tr>
            <w:tr w14:paraId="396FC1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56" w:hRule="atLeast"/>
                <w:jc w:val="center"/>
              </w:trPr>
              <w:tc>
                <w:tcPr>
                  <w:tcW w:w="1134" w:type="dxa"/>
                  <w:vAlign w:val="center"/>
                </w:tcPr>
                <w:p w14:paraId="4976B33F">
                  <w:pPr>
                    <w:spacing w:line="276" w:lineRule="auto"/>
                    <w:jc w:val="center"/>
                    <w:rPr>
                      <w:szCs w:val="21"/>
                    </w:rPr>
                  </w:pPr>
                  <w:r>
                    <w:rPr>
                      <w:rFonts w:hint="eastAsia"/>
                      <w:szCs w:val="21"/>
                    </w:rPr>
                    <w:t>组合管离心</w:t>
                  </w:r>
                </w:p>
              </w:tc>
              <w:tc>
                <w:tcPr>
                  <w:tcW w:w="1276" w:type="dxa"/>
                  <w:vAlign w:val="center"/>
                </w:tcPr>
                <w:p w14:paraId="428BA997">
                  <w:pPr>
                    <w:spacing w:line="276" w:lineRule="auto"/>
                    <w:jc w:val="center"/>
                    <w:rPr>
                      <w:szCs w:val="21"/>
                    </w:rPr>
                  </w:pPr>
                  <w:r>
                    <w:rPr>
                      <w:rFonts w:hint="eastAsia"/>
                      <w:szCs w:val="21"/>
                    </w:rPr>
                    <w:t>上方设置集气罩</w:t>
                  </w:r>
                </w:p>
              </w:tc>
              <w:tc>
                <w:tcPr>
                  <w:tcW w:w="992" w:type="dxa"/>
                  <w:vAlign w:val="center"/>
                </w:tcPr>
                <w:p w14:paraId="6A14B202">
                  <w:pPr>
                    <w:spacing w:line="276" w:lineRule="auto"/>
                    <w:jc w:val="center"/>
                    <w:rPr>
                      <w:szCs w:val="21"/>
                    </w:rPr>
                  </w:pPr>
                  <w:r>
                    <w:rPr>
                      <w:rFonts w:hint="eastAsia"/>
                      <w:szCs w:val="21"/>
                    </w:rPr>
                    <w:t>1</w:t>
                  </w:r>
                </w:p>
              </w:tc>
              <w:tc>
                <w:tcPr>
                  <w:tcW w:w="1560" w:type="dxa"/>
                  <w:vAlign w:val="center"/>
                </w:tcPr>
                <w:p w14:paraId="55994EE0">
                  <w:pPr>
                    <w:spacing w:line="276" w:lineRule="auto"/>
                    <w:jc w:val="center"/>
                    <w:rPr>
                      <w:szCs w:val="21"/>
                    </w:rPr>
                  </w:pPr>
                  <w:r>
                    <w:rPr>
                      <w:rFonts w:hint="eastAsia"/>
                      <w:szCs w:val="21"/>
                    </w:rPr>
                    <w:t>0.5m</w:t>
                  </w:r>
                  <m:oMath>
                    <m:r>
                      <m:rPr>
                        <m:sty m:val="p"/>
                      </m:rPr>
                      <w:rPr>
                        <w:rFonts w:ascii="Cambria Math" w:hAnsi="Cambria Math"/>
                        <w:szCs w:val="21"/>
                      </w:rPr>
                      <m:t>×</m:t>
                    </m:r>
                  </m:oMath>
                  <w:r>
                    <w:rPr>
                      <w:rFonts w:hint="eastAsia"/>
                      <w:szCs w:val="21"/>
                    </w:rPr>
                    <w:t>0.3m</w:t>
                  </w:r>
                </w:p>
              </w:tc>
              <w:tc>
                <w:tcPr>
                  <w:tcW w:w="2541" w:type="dxa"/>
                  <w:vAlign w:val="center"/>
                </w:tcPr>
                <w:p w14:paraId="52C5318B">
                  <w:pPr>
                    <w:spacing w:line="276" w:lineRule="auto"/>
                    <w:jc w:val="left"/>
                    <w:rPr>
                      <w:szCs w:val="21"/>
                    </w:rPr>
                  </w:pPr>
                  <w:r>
                    <w:rPr>
                      <w:rFonts w:hint="eastAsia"/>
                      <w:szCs w:val="21"/>
                    </w:rPr>
                    <w:t>计算公式：L=3600</w:t>
                  </w:r>
                  <m:oMath>
                    <m:r>
                      <m:rPr>
                        <m:sty m:val="p"/>
                      </m:rPr>
                      <w:rPr>
                        <w:rFonts w:ascii="Cambria Math" w:hAnsi="Cambria Math"/>
                        <w:szCs w:val="21"/>
                      </w:rPr>
                      <m:t>×</m:t>
                    </m:r>
                  </m:oMath>
                  <w:r>
                    <w:rPr>
                      <w:szCs w:val="21"/>
                    </w:rPr>
                    <w:t>（</w:t>
                  </w:r>
                  <w:r>
                    <w:rPr>
                      <w:rFonts w:hint="eastAsia"/>
                      <w:szCs w:val="21"/>
                    </w:rPr>
                    <w:t>5X</w:t>
                  </w:r>
                  <w:r>
                    <w:rPr>
                      <w:rFonts w:hint="eastAsia"/>
                      <w:szCs w:val="21"/>
                      <w:vertAlign w:val="superscript"/>
                    </w:rPr>
                    <w:t>2</w:t>
                  </w:r>
                  <w:r>
                    <w:rPr>
                      <w:rFonts w:hint="eastAsia"/>
                      <w:szCs w:val="21"/>
                    </w:rPr>
                    <w:t>+F</w:t>
                  </w:r>
                  <w:r>
                    <w:rPr>
                      <w:szCs w:val="21"/>
                    </w:rPr>
                    <w:t>）</w:t>
                  </w:r>
                  <m:oMath>
                    <m:r>
                      <m:rPr>
                        <m:sty m:val="p"/>
                      </m:rPr>
                      <w:rPr>
                        <w:rFonts w:ascii="Cambria Math" w:hAnsi="Cambria Math"/>
                        <w:szCs w:val="21"/>
                      </w:rPr>
                      <m:t>×</m:t>
                    </m:r>
                  </m:oMath>
                  <w:r>
                    <w:rPr>
                      <w:rFonts w:hint="eastAsia"/>
                      <w:szCs w:val="21"/>
                    </w:rPr>
                    <w:t>Vx</w:t>
                  </w:r>
                </w:p>
                <w:p w14:paraId="36540B34">
                  <w:pPr>
                    <w:spacing w:line="276" w:lineRule="auto"/>
                    <w:jc w:val="left"/>
                    <w:rPr>
                      <w:szCs w:val="21"/>
                    </w:rPr>
                  </w:pPr>
                  <w:r>
                    <w:rPr>
                      <w:rFonts w:hint="eastAsia"/>
                      <w:szCs w:val="21"/>
                    </w:rPr>
                    <w:t>L—排风量，m</w:t>
                  </w:r>
                  <w:r>
                    <w:rPr>
                      <w:rFonts w:hint="eastAsia"/>
                      <w:szCs w:val="21"/>
                      <w:vertAlign w:val="superscript"/>
                    </w:rPr>
                    <w:t>3</w:t>
                  </w:r>
                  <w:r>
                    <w:rPr>
                      <w:rFonts w:hint="eastAsia"/>
                      <w:szCs w:val="21"/>
                    </w:rPr>
                    <w:t>/h；</w:t>
                  </w:r>
                </w:p>
                <w:p w14:paraId="4C52E78C">
                  <w:pPr>
                    <w:spacing w:line="276" w:lineRule="auto"/>
                    <w:jc w:val="left"/>
                    <w:rPr>
                      <w:szCs w:val="21"/>
                    </w:rPr>
                  </w:pPr>
                  <w:r>
                    <w:rPr>
                      <w:rFonts w:hint="eastAsia"/>
                      <w:szCs w:val="21"/>
                    </w:rPr>
                    <w:t>X—集气罩距离污染产生源的距离（取0.4m）；</w:t>
                  </w:r>
                </w:p>
                <w:p w14:paraId="3902B144">
                  <w:pPr>
                    <w:spacing w:line="276" w:lineRule="auto"/>
                    <w:jc w:val="left"/>
                    <w:rPr>
                      <w:szCs w:val="21"/>
                    </w:rPr>
                  </w:pPr>
                  <w:r>
                    <w:rPr>
                      <w:rFonts w:hint="eastAsia"/>
                      <w:szCs w:val="21"/>
                    </w:rPr>
                    <w:t>F—集气罩面积；</w:t>
                  </w:r>
                </w:p>
                <w:p w14:paraId="35AC4F3C">
                  <w:pPr>
                    <w:spacing w:line="276" w:lineRule="auto"/>
                    <w:jc w:val="left"/>
                    <w:rPr>
                      <w:szCs w:val="21"/>
                    </w:rPr>
                  </w:pPr>
                  <w:r>
                    <w:rPr>
                      <w:rFonts w:hint="eastAsia"/>
                      <w:szCs w:val="21"/>
                    </w:rPr>
                    <w:t>Vx—控制风速（取0.3m/s）</w:t>
                  </w:r>
                </w:p>
              </w:tc>
              <w:tc>
                <w:tcPr>
                  <w:tcW w:w="642" w:type="dxa"/>
                  <w:vAlign w:val="center"/>
                </w:tcPr>
                <w:p w14:paraId="576F5EA0">
                  <w:pPr>
                    <w:spacing w:line="276" w:lineRule="auto"/>
                    <w:jc w:val="center"/>
                    <w:rPr>
                      <w:szCs w:val="21"/>
                    </w:rPr>
                  </w:pPr>
                  <w:r>
                    <w:rPr>
                      <w:rFonts w:hint="eastAsia"/>
                      <w:szCs w:val="21"/>
                    </w:rPr>
                    <w:t>1026 m</w:t>
                  </w:r>
                  <w:r>
                    <w:rPr>
                      <w:rFonts w:hint="eastAsia"/>
                      <w:szCs w:val="21"/>
                      <w:vertAlign w:val="superscript"/>
                    </w:rPr>
                    <w:t>3</w:t>
                  </w:r>
                  <w:r>
                    <w:rPr>
                      <w:rFonts w:hint="eastAsia"/>
                      <w:szCs w:val="21"/>
                    </w:rPr>
                    <w:t>/h</w:t>
                  </w:r>
                </w:p>
              </w:tc>
            </w:tr>
            <w:tr w14:paraId="1E7739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503" w:type="dxa"/>
                  <w:gridSpan w:val="5"/>
                  <w:vAlign w:val="center"/>
                </w:tcPr>
                <w:p w14:paraId="3F63188E">
                  <w:pPr>
                    <w:spacing w:line="276" w:lineRule="auto"/>
                    <w:jc w:val="center"/>
                    <w:rPr>
                      <w:szCs w:val="21"/>
                    </w:rPr>
                  </w:pPr>
                  <w:r>
                    <w:rPr>
                      <w:rFonts w:hint="eastAsia"/>
                      <w:szCs w:val="21"/>
                    </w:rPr>
                    <w:t>合计</w:t>
                  </w:r>
                </w:p>
              </w:tc>
              <w:tc>
                <w:tcPr>
                  <w:tcW w:w="642" w:type="dxa"/>
                  <w:vAlign w:val="center"/>
                </w:tcPr>
                <w:p w14:paraId="4B7786A2">
                  <w:pPr>
                    <w:spacing w:line="276" w:lineRule="auto"/>
                    <w:jc w:val="center"/>
                    <w:rPr>
                      <w:szCs w:val="21"/>
                    </w:rPr>
                  </w:pPr>
                  <w:r>
                    <w:rPr>
                      <w:rFonts w:hint="eastAsia"/>
                      <w:szCs w:val="21"/>
                    </w:rPr>
                    <w:t>1026m</w:t>
                  </w:r>
                  <w:r>
                    <w:rPr>
                      <w:rFonts w:hint="eastAsia"/>
                      <w:szCs w:val="21"/>
                      <w:vertAlign w:val="superscript"/>
                    </w:rPr>
                    <w:t>3</w:t>
                  </w:r>
                  <w:r>
                    <w:rPr>
                      <w:rFonts w:hint="eastAsia"/>
                      <w:szCs w:val="21"/>
                    </w:rPr>
                    <w:t>/h</w:t>
                  </w:r>
                </w:p>
              </w:tc>
            </w:tr>
          </w:tbl>
          <w:p w14:paraId="1E19BB75">
            <w:pPr>
              <w:spacing w:line="360" w:lineRule="auto"/>
              <w:ind w:firstLine="480" w:firstLineChars="200"/>
              <w:jc w:val="left"/>
              <w:rPr>
                <w:sz w:val="24"/>
              </w:rPr>
            </w:pPr>
            <w:r>
              <w:rPr>
                <w:rFonts w:hint="eastAsia"/>
                <w:sz w:val="24"/>
              </w:rPr>
              <w:t>综上所述，本项目废气源强核算及污染治理措施汇总具体见下表。</w:t>
            </w:r>
          </w:p>
          <w:p w14:paraId="53DEDBC1">
            <w:pPr>
              <w:jc w:val="center"/>
              <w:rPr>
                <w:rFonts w:eastAsia="黑体"/>
                <w:sz w:val="24"/>
                <w:szCs w:val="24"/>
              </w:rPr>
            </w:pPr>
            <w:r>
              <w:rPr>
                <w:rFonts w:hAnsi="黑体" w:eastAsia="黑体"/>
                <w:sz w:val="24"/>
                <w:szCs w:val="24"/>
              </w:rPr>
              <w:t>表</w:t>
            </w:r>
            <w:r>
              <w:rPr>
                <w:rFonts w:hint="eastAsia" w:hAnsi="黑体" w:eastAsia="黑体"/>
                <w:sz w:val="24"/>
                <w:szCs w:val="24"/>
              </w:rPr>
              <w:t>37</w:t>
            </w:r>
            <w:r>
              <w:rPr>
                <w:rFonts w:hAnsi="黑体" w:eastAsia="黑体"/>
                <w:sz w:val="24"/>
                <w:szCs w:val="24"/>
              </w:rPr>
              <w:t xml:space="preserve">  废气源强及污染治理措施一览表</w:t>
            </w:r>
          </w:p>
          <w:tbl>
            <w:tblPr>
              <w:tblStyle w:val="35"/>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10"/>
              <w:gridCol w:w="849"/>
              <w:gridCol w:w="952"/>
              <w:gridCol w:w="830"/>
              <w:gridCol w:w="830"/>
              <w:gridCol w:w="636"/>
              <w:gridCol w:w="3138"/>
            </w:tblGrid>
            <w:tr w14:paraId="3AB94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14:paraId="7841280D">
                  <w:pPr>
                    <w:spacing w:line="276" w:lineRule="auto"/>
                    <w:jc w:val="center"/>
                    <w:rPr>
                      <w:szCs w:val="21"/>
                    </w:rPr>
                  </w:pPr>
                  <w:bookmarkStart w:id="10" w:name="_Hlk134030387"/>
                  <w:r>
                    <w:rPr>
                      <w:rFonts w:hint="eastAsia"/>
                      <w:szCs w:val="21"/>
                    </w:rPr>
                    <w:t>产生工序</w:t>
                  </w:r>
                </w:p>
              </w:tc>
              <w:tc>
                <w:tcPr>
                  <w:tcW w:w="0" w:type="auto"/>
                  <w:gridSpan w:val="2"/>
                  <w:vAlign w:val="center"/>
                </w:tcPr>
                <w:p w14:paraId="7ABF465F">
                  <w:pPr>
                    <w:spacing w:line="276" w:lineRule="auto"/>
                    <w:jc w:val="center"/>
                    <w:rPr>
                      <w:szCs w:val="21"/>
                    </w:rPr>
                  </w:pPr>
                  <w:r>
                    <w:rPr>
                      <w:rFonts w:hint="eastAsia"/>
                      <w:szCs w:val="21"/>
                    </w:rPr>
                    <w:t>源强</w:t>
                  </w:r>
                </w:p>
              </w:tc>
              <w:tc>
                <w:tcPr>
                  <w:tcW w:w="0" w:type="auto"/>
                  <w:vAlign w:val="center"/>
                </w:tcPr>
                <w:p w14:paraId="5B6A48C9">
                  <w:pPr>
                    <w:spacing w:line="276" w:lineRule="auto"/>
                    <w:jc w:val="center"/>
                    <w:rPr>
                      <w:szCs w:val="21"/>
                    </w:rPr>
                  </w:pPr>
                  <w:r>
                    <w:rPr>
                      <w:rFonts w:hint="eastAsia"/>
                      <w:szCs w:val="21"/>
                    </w:rPr>
                    <w:t>废气收集效率</w:t>
                  </w:r>
                </w:p>
              </w:tc>
              <w:tc>
                <w:tcPr>
                  <w:tcW w:w="0" w:type="auto"/>
                  <w:vAlign w:val="center"/>
                </w:tcPr>
                <w:p w14:paraId="41028441">
                  <w:pPr>
                    <w:spacing w:line="276" w:lineRule="auto"/>
                    <w:jc w:val="center"/>
                    <w:rPr>
                      <w:szCs w:val="21"/>
                    </w:rPr>
                  </w:pPr>
                  <w:r>
                    <w:rPr>
                      <w:rFonts w:hint="eastAsia"/>
                      <w:szCs w:val="21"/>
                    </w:rPr>
                    <w:t>废气处理效率</w:t>
                  </w:r>
                </w:p>
              </w:tc>
              <w:tc>
                <w:tcPr>
                  <w:tcW w:w="0" w:type="auto"/>
                  <w:vAlign w:val="center"/>
                </w:tcPr>
                <w:p w14:paraId="0E88B3F3">
                  <w:pPr>
                    <w:spacing w:line="276" w:lineRule="auto"/>
                    <w:jc w:val="center"/>
                    <w:rPr>
                      <w:szCs w:val="21"/>
                    </w:rPr>
                  </w:pPr>
                  <w:r>
                    <w:rPr>
                      <w:rFonts w:hint="eastAsia"/>
                      <w:szCs w:val="21"/>
                    </w:rPr>
                    <w:t>风量</w:t>
                  </w:r>
                </w:p>
              </w:tc>
              <w:tc>
                <w:tcPr>
                  <w:tcW w:w="0" w:type="auto"/>
                  <w:vMerge w:val="restart"/>
                  <w:vAlign w:val="center"/>
                </w:tcPr>
                <w:p w14:paraId="2739D396">
                  <w:pPr>
                    <w:spacing w:line="276" w:lineRule="auto"/>
                    <w:jc w:val="center"/>
                    <w:rPr>
                      <w:szCs w:val="21"/>
                    </w:rPr>
                  </w:pPr>
                  <w:r>
                    <w:rPr>
                      <w:rFonts w:hint="eastAsia"/>
                      <w:szCs w:val="21"/>
                    </w:rPr>
                    <w:t>处理措施</w:t>
                  </w:r>
                </w:p>
              </w:tc>
            </w:tr>
            <w:tr w14:paraId="762218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14:paraId="1BA71FF3">
                  <w:pPr>
                    <w:spacing w:line="276" w:lineRule="auto"/>
                    <w:jc w:val="center"/>
                    <w:rPr>
                      <w:szCs w:val="21"/>
                    </w:rPr>
                  </w:pPr>
                </w:p>
              </w:tc>
              <w:tc>
                <w:tcPr>
                  <w:tcW w:w="0" w:type="auto"/>
                  <w:gridSpan w:val="2"/>
                  <w:vAlign w:val="center"/>
                </w:tcPr>
                <w:p w14:paraId="62733DE3">
                  <w:pPr>
                    <w:spacing w:line="276" w:lineRule="auto"/>
                    <w:jc w:val="center"/>
                    <w:rPr>
                      <w:szCs w:val="21"/>
                    </w:rPr>
                  </w:pPr>
                  <w:r>
                    <w:rPr>
                      <w:rFonts w:hint="eastAsia"/>
                      <w:szCs w:val="21"/>
                    </w:rPr>
                    <w:t>t/a</w:t>
                  </w:r>
                </w:p>
              </w:tc>
              <w:tc>
                <w:tcPr>
                  <w:tcW w:w="0" w:type="auto"/>
                  <w:vAlign w:val="center"/>
                </w:tcPr>
                <w:p w14:paraId="20D8CD59">
                  <w:pPr>
                    <w:spacing w:line="276" w:lineRule="auto"/>
                    <w:jc w:val="center"/>
                    <w:rPr>
                      <w:szCs w:val="21"/>
                    </w:rPr>
                  </w:pPr>
                  <w:r>
                    <w:rPr>
                      <w:rFonts w:hint="eastAsia"/>
                      <w:szCs w:val="21"/>
                    </w:rPr>
                    <w:t>%</w:t>
                  </w:r>
                </w:p>
              </w:tc>
              <w:tc>
                <w:tcPr>
                  <w:tcW w:w="0" w:type="auto"/>
                  <w:vAlign w:val="center"/>
                </w:tcPr>
                <w:p w14:paraId="0A89E8ED">
                  <w:pPr>
                    <w:spacing w:line="276" w:lineRule="auto"/>
                    <w:jc w:val="center"/>
                    <w:rPr>
                      <w:szCs w:val="21"/>
                    </w:rPr>
                  </w:pPr>
                  <w:r>
                    <w:rPr>
                      <w:rFonts w:hint="eastAsia"/>
                      <w:szCs w:val="21"/>
                    </w:rPr>
                    <w:t>%</w:t>
                  </w:r>
                </w:p>
              </w:tc>
              <w:tc>
                <w:tcPr>
                  <w:tcW w:w="0" w:type="auto"/>
                  <w:vAlign w:val="center"/>
                </w:tcPr>
                <w:p w14:paraId="46EEE3DE">
                  <w:pPr>
                    <w:spacing w:line="276" w:lineRule="auto"/>
                    <w:jc w:val="center"/>
                    <w:rPr>
                      <w:szCs w:val="21"/>
                    </w:rPr>
                  </w:pPr>
                  <w:r>
                    <w:rPr>
                      <w:szCs w:val="21"/>
                    </w:rPr>
                    <w:t>m</w:t>
                  </w:r>
                  <w:r>
                    <w:rPr>
                      <w:rFonts w:hint="eastAsia"/>
                      <w:szCs w:val="21"/>
                      <w:vertAlign w:val="superscript"/>
                    </w:rPr>
                    <w:t>3</w:t>
                  </w:r>
                  <w:r>
                    <w:rPr>
                      <w:rFonts w:hint="eastAsia"/>
                      <w:szCs w:val="21"/>
                    </w:rPr>
                    <w:t>/h</w:t>
                  </w:r>
                </w:p>
              </w:tc>
              <w:tc>
                <w:tcPr>
                  <w:tcW w:w="0" w:type="auto"/>
                  <w:vMerge w:val="continue"/>
                  <w:vAlign w:val="center"/>
                </w:tcPr>
                <w:p w14:paraId="484E9E47">
                  <w:pPr>
                    <w:spacing w:line="276" w:lineRule="auto"/>
                    <w:jc w:val="center"/>
                    <w:rPr>
                      <w:szCs w:val="21"/>
                    </w:rPr>
                  </w:pPr>
                </w:p>
              </w:tc>
            </w:tr>
            <w:tr w14:paraId="657B8C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14:paraId="532CB93F">
                  <w:pPr>
                    <w:spacing w:line="276" w:lineRule="auto"/>
                    <w:jc w:val="center"/>
                    <w:rPr>
                      <w:szCs w:val="21"/>
                    </w:rPr>
                  </w:pPr>
                  <w:r>
                    <w:rPr>
                      <w:rFonts w:hint="eastAsia"/>
                      <w:szCs w:val="21"/>
                    </w:rPr>
                    <w:t>玻璃管热熔封口</w:t>
                  </w:r>
                </w:p>
              </w:tc>
              <w:tc>
                <w:tcPr>
                  <w:tcW w:w="0" w:type="auto"/>
                  <w:vAlign w:val="center"/>
                </w:tcPr>
                <w:p w14:paraId="22E1F517">
                  <w:pPr>
                    <w:spacing w:line="276" w:lineRule="auto"/>
                    <w:jc w:val="center"/>
                    <w:rPr>
                      <w:szCs w:val="21"/>
                    </w:rPr>
                  </w:pPr>
                  <w:r>
                    <w:rPr>
                      <w:rFonts w:hint="eastAsia"/>
                      <w:szCs w:val="21"/>
                    </w:rPr>
                    <w:t>颗粒物</w:t>
                  </w:r>
                </w:p>
              </w:tc>
              <w:tc>
                <w:tcPr>
                  <w:tcW w:w="0" w:type="auto"/>
                  <w:vAlign w:val="center"/>
                </w:tcPr>
                <w:p w14:paraId="49EB0752">
                  <w:pPr>
                    <w:spacing w:line="276" w:lineRule="auto"/>
                    <w:jc w:val="center"/>
                    <w:rPr>
                      <w:szCs w:val="21"/>
                    </w:rPr>
                  </w:pPr>
                  <w:r>
                    <w:rPr>
                      <w:rFonts w:hint="eastAsia"/>
                      <w:szCs w:val="21"/>
                    </w:rPr>
                    <w:t>2</w:t>
                  </w:r>
                  <w:r>
                    <w:rPr>
                      <w:szCs w:val="21"/>
                    </w:rPr>
                    <w:t>.7</w:t>
                  </w:r>
                  <m:oMath>
                    <m:r>
                      <m:rPr/>
                      <w:rPr>
                        <w:rFonts w:ascii="Cambria Math" w:hAnsi="Cambria Math"/>
                        <w:szCs w:val="21"/>
                      </w:rPr>
                      <m:t>×</m:t>
                    </m:r>
                  </m:oMath>
                  <w:r>
                    <w:rPr>
                      <w:rFonts w:hint="eastAsia"/>
                      <w:szCs w:val="21"/>
                    </w:rPr>
                    <w:t>1</w:t>
                  </w:r>
                  <w:r>
                    <w:rPr>
                      <w:szCs w:val="21"/>
                    </w:rPr>
                    <w:t>0</w:t>
                  </w:r>
                  <w:r>
                    <w:rPr>
                      <w:szCs w:val="21"/>
                      <w:vertAlign w:val="superscript"/>
                    </w:rPr>
                    <w:t>-5</w:t>
                  </w:r>
                </w:p>
              </w:tc>
              <w:tc>
                <w:tcPr>
                  <w:tcW w:w="0" w:type="auto"/>
                  <w:vMerge w:val="restart"/>
                  <w:vAlign w:val="center"/>
                </w:tcPr>
                <w:p w14:paraId="014CFF00">
                  <w:pPr>
                    <w:spacing w:line="276" w:lineRule="auto"/>
                    <w:jc w:val="center"/>
                    <w:rPr>
                      <w:szCs w:val="21"/>
                    </w:rPr>
                  </w:pPr>
                  <w:r>
                    <w:rPr>
                      <w:rFonts w:hint="eastAsia"/>
                      <w:szCs w:val="21"/>
                    </w:rPr>
                    <w:t>9</w:t>
                  </w:r>
                  <w:r>
                    <w:rPr>
                      <w:szCs w:val="21"/>
                    </w:rPr>
                    <w:t>0</w:t>
                  </w:r>
                </w:p>
              </w:tc>
              <w:tc>
                <w:tcPr>
                  <w:tcW w:w="0" w:type="auto"/>
                  <w:vMerge w:val="restart"/>
                  <w:vAlign w:val="center"/>
                </w:tcPr>
                <w:p w14:paraId="75422C8F">
                  <w:pPr>
                    <w:spacing w:line="276" w:lineRule="auto"/>
                    <w:jc w:val="center"/>
                    <w:rPr>
                      <w:szCs w:val="21"/>
                    </w:rPr>
                  </w:pPr>
                  <w:r>
                    <w:rPr>
                      <w:rFonts w:hint="eastAsia"/>
                      <w:szCs w:val="21"/>
                    </w:rPr>
                    <w:t>/</w:t>
                  </w:r>
                </w:p>
              </w:tc>
              <w:tc>
                <w:tcPr>
                  <w:tcW w:w="0" w:type="auto"/>
                  <w:vMerge w:val="restart"/>
                  <w:vAlign w:val="center"/>
                </w:tcPr>
                <w:p w14:paraId="46E57E8F">
                  <w:pPr>
                    <w:spacing w:line="276" w:lineRule="auto"/>
                    <w:jc w:val="center"/>
                    <w:rPr>
                      <w:szCs w:val="21"/>
                    </w:rPr>
                  </w:pPr>
                  <w:r>
                    <w:rPr>
                      <w:rFonts w:hint="eastAsia"/>
                      <w:szCs w:val="21"/>
                    </w:rPr>
                    <w:t>6500</w:t>
                  </w:r>
                </w:p>
              </w:tc>
              <w:tc>
                <w:tcPr>
                  <w:tcW w:w="0" w:type="auto"/>
                  <w:vMerge w:val="restart"/>
                  <w:vAlign w:val="center"/>
                </w:tcPr>
                <w:p w14:paraId="29CEB713">
                  <w:pPr>
                    <w:spacing w:line="276" w:lineRule="auto"/>
                    <w:jc w:val="center"/>
                    <w:rPr>
                      <w:szCs w:val="21"/>
                    </w:rPr>
                  </w:pPr>
                  <w:r>
                    <w:rPr>
                      <w:rFonts w:hint="eastAsia"/>
                      <w:szCs w:val="21"/>
                    </w:rPr>
                    <w:t>经集气罩收集后由D</w:t>
                  </w:r>
                  <w:r>
                    <w:rPr>
                      <w:szCs w:val="21"/>
                    </w:rPr>
                    <w:t>A001排气筒</w:t>
                  </w:r>
                  <w:r>
                    <w:rPr>
                      <w:rFonts w:hint="eastAsia"/>
                      <w:szCs w:val="21"/>
                    </w:rPr>
                    <w:t>排放</w:t>
                  </w:r>
                </w:p>
              </w:tc>
            </w:tr>
            <w:tr w14:paraId="055883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14:paraId="7DBA5366">
                  <w:pPr>
                    <w:spacing w:line="276" w:lineRule="auto"/>
                    <w:jc w:val="center"/>
                    <w:rPr>
                      <w:szCs w:val="21"/>
                    </w:rPr>
                  </w:pPr>
                </w:p>
              </w:tc>
              <w:tc>
                <w:tcPr>
                  <w:tcW w:w="0" w:type="auto"/>
                  <w:vAlign w:val="center"/>
                </w:tcPr>
                <w:p w14:paraId="6B8E13C3">
                  <w:pPr>
                    <w:spacing w:line="276" w:lineRule="auto"/>
                    <w:jc w:val="center"/>
                    <w:rPr>
                      <w:szCs w:val="21"/>
                    </w:rPr>
                  </w:pPr>
                  <w:r>
                    <w:rPr>
                      <w:rFonts w:hint="eastAsia"/>
                      <w:szCs w:val="21"/>
                    </w:rPr>
                    <w:t>SO</w:t>
                  </w:r>
                  <w:r>
                    <w:rPr>
                      <w:rFonts w:hint="eastAsia"/>
                      <w:szCs w:val="21"/>
                      <w:vertAlign w:val="subscript"/>
                    </w:rPr>
                    <w:t>2</w:t>
                  </w:r>
                </w:p>
              </w:tc>
              <w:tc>
                <w:tcPr>
                  <w:tcW w:w="0" w:type="auto"/>
                  <w:vAlign w:val="center"/>
                </w:tcPr>
                <w:p w14:paraId="2BFBF3DE">
                  <w:pPr>
                    <w:spacing w:line="276" w:lineRule="auto"/>
                    <w:jc w:val="center"/>
                    <w:rPr>
                      <w:szCs w:val="21"/>
                    </w:rPr>
                  </w:pPr>
                  <w:r>
                    <w:rPr>
                      <w:szCs w:val="21"/>
                    </w:rPr>
                    <w:t>1.3</w:t>
                  </w:r>
                  <m:oMath>
                    <m:r>
                      <m:rPr/>
                      <w:rPr>
                        <w:rFonts w:ascii="Cambria Math" w:hAnsi="Cambria Math"/>
                        <w:szCs w:val="21"/>
                      </w:rPr>
                      <m:t>×</m:t>
                    </m:r>
                  </m:oMath>
                  <w:r>
                    <w:rPr>
                      <w:rFonts w:hint="eastAsia"/>
                      <w:szCs w:val="21"/>
                    </w:rPr>
                    <w:t>1</w:t>
                  </w:r>
                  <w:r>
                    <w:rPr>
                      <w:szCs w:val="21"/>
                    </w:rPr>
                    <w:t>0</w:t>
                  </w:r>
                  <w:r>
                    <w:rPr>
                      <w:szCs w:val="21"/>
                      <w:vertAlign w:val="superscript"/>
                    </w:rPr>
                    <w:t>-7</w:t>
                  </w:r>
                </w:p>
              </w:tc>
              <w:tc>
                <w:tcPr>
                  <w:tcW w:w="0" w:type="auto"/>
                  <w:vMerge w:val="continue"/>
                  <w:vAlign w:val="center"/>
                </w:tcPr>
                <w:p w14:paraId="00B77669">
                  <w:pPr>
                    <w:spacing w:line="276" w:lineRule="auto"/>
                    <w:jc w:val="center"/>
                    <w:rPr>
                      <w:szCs w:val="21"/>
                    </w:rPr>
                  </w:pPr>
                </w:p>
              </w:tc>
              <w:tc>
                <w:tcPr>
                  <w:tcW w:w="0" w:type="auto"/>
                  <w:vMerge w:val="continue"/>
                  <w:vAlign w:val="center"/>
                </w:tcPr>
                <w:p w14:paraId="39EC9F88">
                  <w:pPr>
                    <w:spacing w:line="276" w:lineRule="auto"/>
                    <w:jc w:val="center"/>
                    <w:rPr>
                      <w:szCs w:val="21"/>
                    </w:rPr>
                  </w:pPr>
                </w:p>
              </w:tc>
              <w:tc>
                <w:tcPr>
                  <w:tcW w:w="0" w:type="auto"/>
                  <w:vMerge w:val="continue"/>
                  <w:vAlign w:val="center"/>
                </w:tcPr>
                <w:p w14:paraId="5BF6F089">
                  <w:pPr>
                    <w:spacing w:line="276" w:lineRule="auto"/>
                    <w:jc w:val="center"/>
                    <w:rPr>
                      <w:szCs w:val="21"/>
                    </w:rPr>
                  </w:pPr>
                </w:p>
              </w:tc>
              <w:tc>
                <w:tcPr>
                  <w:tcW w:w="0" w:type="auto"/>
                  <w:vMerge w:val="continue"/>
                  <w:vAlign w:val="center"/>
                </w:tcPr>
                <w:p w14:paraId="1E9E98B5">
                  <w:pPr>
                    <w:spacing w:line="276" w:lineRule="auto"/>
                    <w:jc w:val="center"/>
                    <w:rPr>
                      <w:szCs w:val="21"/>
                    </w:rPr>
                  </w:pPr>
                </w:p>
              </w:tc>
            </w:tr>
            <w:tr w14:paraId="474C23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14:paraId="040221D5">
                  <w:pPr>
                    <w:spacing w:line="276" w:lineRule="auto"/>
                    <w:jc w:val="center"/>
                    <w:rPr>
                      <w:szCs w:val="21"/>
                    </w:rPr>
                  </w:pPr>
                </w:p>
              </w:tc>
              <w:tc>
                <w:tcPr>
                  <w:tcW w:w="0" w:type="auto"/>
                  <w:vAlign w:val="center"/>
                </w:tcPr>
                <w:p w14:paraId="3CA78154">
                  <w:pPr>
                    <w:spacing w:line="276" w:lineRule="auto"/>
                    <w:jc w:val="center"/>
                    <w:rPr>
                      <w:szCs w:val="21"/>
                    </w:rPr>
                  </w:pPr>
                  <w:r>
                    <w:rPr>
                      <w:rFonts w:hint="eastAsia"/>
                      <w:szCs w:val="21"/>
                    </w:rPr>
                    <w:t>NO</w:t>
                  </w:r>
                  <w:r>
                    <w:rPr>
                      <w:rFonts w:hint="eastAsia"/>
                      <w:szCs w:val="21"/>
                      <w:vertAlign w:val="subscript"/>
                    </w:rPr>
                    <w:t>2</w:t>
                  </w:r>
                </w:p>
              </w:tc>
              <w:tc>
                <w:tcPr>
                  <w:tcW w:w="0" w:type="auto"/>
                  <w:vAlign w:val="center"/>
                </w:tcPr>
                <w:p w14:paraId="04DAD566">
                  <w:pPr>
                    <w:spacing w:line="276" w:lineRule="auto"/>
                    <w:jc w:val="center"/>
                    <w:rPr>
                      <w:szCs w:val="21"/>
                    </w:rPr>
                  </w:pPr>
                  <w:r>
                    <w:rPr>
                      <w:szCs w:val="21"/>
                    </w:rPr>
                    <w:t>0.0003</w:t>
                  </w:r>
                </w:p>
              </w:tc>
              <w:tc>
                <w:tcPr>
                  <w:tcW w:w="0" w:type="auto"/>
                  <w:vMerge w:val="continue"/>
                  <w:vAlign w:val="center"/>
                </w:tcPr>
                <w:p w14:paraId="603F21BF">
                  <w:pPr>
                    <w:spacing w:line="276" w:lineRule="auto"/>
                    <w:jc w:val="center"/>
                    <w:rPr>
                      <w:szCs w:val="21"/>
                    </w:rPr>
                  </w:pPr>
                </w:p>
              </w:tc>
              <w:tc>
                <w:tcPr>
                  <w:tcW w:w="0" w:type="auto"/>
                  <w:vMerge w:val="continue"/>
                  <w:vAlign w:val="center"/>
                </w:tcPr>
                <w:p w14:paraId="183166E6">
                  <w:pPr>
                    <w:spacing w:line="276" w:lineRule="auto"/>
                    <w:jc w:val="center"/>
                    <w:rPr>
                      <w:szCs w:val="21"/>
                    </w:rPr>
                  </w:pPr>
                </w:p>
              </w:tc>
              <w:tc>
                <w:tcPr>
                  <w:tcW w:w="0" w:type="auto"/>
                  <w:vMerge w:val="continue"/>
                  <w:vAlign w:val="center"/>
                </w:tcPr>
                <w:p w14:paraId="4DCB6C99">
                  <w:pPr>
                    <w:spacing w:line="276" w:lineRule="auto"/>
                    <w:jc w:val="center"/>
                    <w:rPr>
                      <w:szCs w:val="21"/>
                    </w:rPr>
                  </w:pPr>
                </w:p>
              </w:tc>
              <w:tc>
                <w:tcPr>
                  <w:tcW w:w="0" w:type="auto"/>
                  <w:vMerge w:val="continue"/>
                  <w:vAlign w:val="center"/>
                </w:tcPr>
                <w:p w14:paraId="650EBA86">
                  <w:pPr>
                    <w:spacing w:line="276" w:lineRule="auto"/>
                    <w:jc w:val="center"/>
                    <w:rPr>
                      <w:szCs w:val="21"/>
                    </w:rPr>
                  </w:pPr>
                </w:p>
              </w:tc>
            </w:tr>
            <w:tr w14:paraId="2CDC8E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3E335242">
                  <w:pPr>
                    <w:spacing w:line="276" w:lineRule="auto"/>
                    <w:jc w:val="center"/>
                    <w:rPr>
                      <w:szCs w:val="21"/>
                    </w:rPr>
                  </w:pPr>
                  <w:r>
                    <w:rPr>
                      <w:rFonts w:hint="eastAsia"/>
                      <w:szCs w:val="21"/>
                    </w:rPr>
                    <w:t>组合管封口</w:t>
                  </w:r>
                </w:p>
              </w:tc>
              <w:tc>
                <w:tcPr>
                  <w:tcW w:w="0" w:type="auto"/>
                  <w:vAlign w:val="center"/>
                </w:tcPr>
                <w:p w14:paraId="69D91681">
                  <w:pPr>
                    <w:spacing w:line="276" w:lineRule="auto"/>
                    <w:jc w:val="center"/>
                    <w:rPr>
                      <w:szCs w:val="21"/>
                    </w:rPr>
                  </w:pPr>
                  <w:r>
                    <w:rPr>
                      <w:rFonts w:hint="eastAsia"/>
                      <w:szCs w:val="21"/>
                    </w:rPr>
                    <w:t>非甲烷总烃</w:t>
                  </w:r>
                </w:p>
              </w:tc>
              <w:tc>
                <w:tcPr>
                  <w:tcW w:w="0" w:type="auto"/>
                  <w:vAlign w:val="center"/>
                </w:tcPr>
                <w:p w14:paraId="6814BD48">
                  <w:pPr>
                    <w:spacing w:line="276" w:lineRule="auto"/>
                    <w:jc w:val="center"/>
                    <w:rPr>
                      <w:szCs w:val="21"/>
                    </w:rPr>
                  </w:pPr>
                  <w:r>
                    <w:rPr>
                      <w:rFonts w:hint="eastAsia"/>
                      <w:szCs w:val="21"/>
                    </w:rPr>
                    <w:t>0.0089</w:t>
                  </w:r>
                </w:p>
              </w:tc>
              <w:tc>
                <w:tcPr>
                  <w:tcW w:w="0" w:type="auto"/>
                  <w:vAlign w:val="center"/>
                </w:tcPr>
                <w:p w14:paraId="7A634904">
                  <w:pPr>
                    <w:spacing w:line="276" w:lineRule="auto"/>
                    <w:jc w:val="center"/>
                    <w:rPr>
                      <w:szCs w:val="21"/>
                    </w:rPr>
                  </w:pPr>
                  <w:r>
                    <w:rPr>
                      <w:rFonts w:hint="eastAsia"/>
                      <w:szCs w:val="21"/>
                    </w:rPr>
                    <w:t>9</w:t>
                  </w:r>
                  <w:r>
                    <w:rPr>
                      <w:szCs w:val="21"/>
                    </w:rPr>
                    <w:t>0</w:t>
                  </w:r>
                </w:p>
              </w:tc>
              <w:tc>
                <w:tcPr>
                  <w:tcW w:w="0" w:type="auto"/>
                  <w:vAlign w:val="center"/>
                </w:tcPr>
                <w:p w14:paraId="00CE5869">
                  <w:pPr>
                    <w:spacing w:line="276" w:lineRule="auto"/>
                    <w:jc w:val="center"/>
                    <w:rPr>
                      <w:szCs w:val="21"/>
                    </w:rPr>
                  </w:pPr>
                  <w:r>
                    <w:rPr>
                      <w:rFonts w:hint="eastAsia"/>
                      <w:szCs w:val="21"/>
                    </w:rPr>
                    <w:t>90</w:t>
                  </w:r>
                </w:p>
              </w:tc>
              <w:tc>
                <w:tcPr>
                  <w:tcW w:w="0" w:type="auto"/>
                  <w:vMerge w:val="restart"/>
                  <w:vAlign w:val="center"/>
                </w:tcPr>
                <w:p w14:paraId="6835C1B3">
                  <w:pPr>
                    <w:spacing w:line="276" w:lineRule="auto"/>
                    <w:jc w:val="center"/>
                    <w:rPr>
                      <w:szCs w:val="21"/>
                    </w:rPr>
                  </w:pPr>
                  <w:r>
                    <w:rPr>
                      <w:szCs w:val="21"/>
                    </w:rPr>
                    <w:t>9000</w:t>
                  </w:r>
                </w:p>
              </w:tc>
              <w:tc>
                <w:tcPr>
                  <w:tcW w:w="0" w:type="auto"/>
                  <w:vMerge w:val="restart"/>
                  <w:vAlign w:val="center"/>
                </w:tcPr>
                <w:p w14:paraId="1C41CDC6">
                  <w:pPr>
                    <w:spacing w:line="276" w:lineRule="auto"/>
                    <w:jc w:val="center"/>
                    <w:rPr>
                      <w:szCs w:val="21"/>
                    </w:rPr>
                  </w:pPr>
                  <w:r>
                    <w:rPr>
                      <w:rFonts w:hint="eastAsia"/>
                      <w:szCs w:val="21"/>
                    </w:rPr>
                    <w:t>经集气罩收集后通过二级活性炭吸附装置处理，再由D</w:t>
                  </w:r>
                  <w:r>
                    <w:rPr>
                      <w:szCs w:val="21"/>
                    </w:rPr>
                    <w:t>A002排气筒</w:t>
                  </w:r>
                  <w:r>
                    <w:rPr>
                      <w:rFonts w:hint="eastAsia"/>
                      <w:szCs w:val="21"/>
                    </w:rPr>
                    <w:t>排放</w:t>
                  </w:r>
                </w:p>
              </w:tc>
            </w:tr>
            <w:tr w14:paraId="0803B9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03F21311">
                  <w:pPr>
                    <w:spacing w:line="276" w:lineRule="auto"/>
                    <w:jc w:val="center"/>
                    <w:rPr>
                      <w:szCs w:val="21"/>
                    </w:rPr>
                  </w:pPr>
                  <w:r>
                    <w:rPr>
                      <w:rFonts w:hint="eastAsia"/>
                      <w:szCs w:val="21"/>
                    </w:rPr>
                    <w:t>组合管清洗</w:t>
                  </w:r>
                </w:p>
              </w:tc>
              <w:tc>
                <w:tcPr>
                  <w:tcW w:w="0" w:type="auto"/>
                  <w:vAlign w:val="center"/>
                </w:tcPr>
                <w:p w14:paraId="536D54C5">
                  <w:pPr>
                    <w:spacing w:line="276" w:lineRule="auto"/>
                    <w:jc w:val="center"/>
                    <w:rPr>
                      <w:szCs w:val="21"/>
                    </w:rPr>
                  </w:pPr>
                  <w:r>
                    <w:rPr>
                      <w:rFonts w:hint="eastAsia"/>
                      <w:szCs w:val="21"/>
                    </w:rPr>
                    <w:t>非甲烷总烃</w:t>
                  </w:r>
                </w:p>
              </w:tc>
              <w:tc>
                <w:tcPr>
                  <w:tcW w:w="0" w:type="auto"/>
                  <w:vAlign w:val="center"/>
                </w:tcPr>
                <w:p w14:paraId="614CB644">
                  <w:pPr>
                    <w:spacing w:line="276" w:lineRule="auto"/>
                    <w:jc w:val="center"/>
                    <w:rPr>
                      <w:szCs w:val="21"/>
                    </w:rPr>
                  </w:pPr>
                  <w:r>
                    <w:rPr>
                      <w:rFonts w:hint="eastAsia"/>
                      <w:szCs w:val="21"/>
                    </w:rPr>
                    <w:t>0.34</w:t>
                  </w:r>
                </w:p>
              </w:tc>
              <w:tc>
                <w:tcPr>
                  <w:tcW w:w="0" w:type="auto"/>
                  <w:vAlign w:val="center"/>
                </w:tcPr>
                <w:p w14:paraId="350118C9">
                  <w:pPr>
                    <w:spacing w:line="276" w:lineRule="auto"/>
                    <w:jc w:val="center"/>
                    <w:rPr>
                      <w:szCs w:val="21"/>
                    </w:rPr>
                  </w:pPr>
                  <w:r>
                    <w:rPr>
                      <w:rFonts w:hint="eastAsia"/>
                      <w:szCs w:val="21"/>
                    </w:rPr>
                    <w:t>9</w:t>
                  </w:r>
                  <w:r>
                    <w:rPr>
                      <w:szCs w:val="21"/>
                    </w:rPr>
                    <w:t>0</w:t>
                  </w:r>
                </w:p>
              </w:tc>
              <w:tc>
                <w:tcPr>
                  <w:tcW w:w="0" w:type="auto"/>
                  <w:vAlign w:val="center"/>
                </w:tcPr>
                <w:p w14:paraId="1B75E907">
                  <w:pPr>
                    <w:spacing w:line="276" w:lineRule="auto"/>
                    <w:jc w:val="center"/>
                    <w:rPr>
                      <w:szCs w:val="21"/>
                    </w:rPr>
                  </w:pPr>
                  <w:r>
                    <w:rPr>
                      <w:rFonts w:hint="eastAsia"/>
                      <w:szCs w:val="21"/>
                    </w:rPr>
                    <w:t>90</w:t>
                  </w:r>
                </w:p>
              </w:tc>
              <w:tc>
                <w:tcPr>
                  <w:tcW w:w="0" w:type="auto"/>
                  <w:vMerge w:val="continue"/>
                  <w:vAlign w:val="center"/>
                </w:tcPr>
                <w:p w14:paraId="2D1A247F">
                  <w:pPr>
                    <w:spacing w:line="276" w:lineRule="auto"/>
                    <w:jc w:val="center"/>
                    <w:rPr>
                      <w:szCs w:val="21"/>
                    </w:rPr>
                  </w:pPr>
                </w:p>
              </w:tc>
              <w:tc>
                <w:tcPr>
                  <w:tcW w:w="0" w:type="auto"/>
                  <w:vMerge w:val="continue"/>
                  <w:vAlign w:val="center"/>
                </w:tcPr>
                <w:p w14:paraId="16F26466">
                  <w:pPr>
                    <w:spacing w:line="276" w:lineRule="auto"/>
                    <w:jc w:val="center"/>
                    <w:rPr>
                      <w:szCs w:val="21"/>
                    </w:rPr>
                  </w:pPr>
                </w:p>
              </w:tc>
            </w:tr>
            <w:tr w14:paraId="607259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0EE8A517">
                  <w:pPr>
                    <w:spacing w:line="276" w:lineRule="auto"/>
                    <w:jc w:val="center"/>
                    <w:rPr>
                      <w:szCs w:val="21"/>
                    </w:rPr>
                  </w:pPr>
                  <w:r>
                    <w:rPr>
                      <w:rFonts w:hint="eastAsia"/>
                      <w:szCs w:val="21"/>
                    </w:rPr>
                    <w:t>组合管离心</w:t>
                  </w:r>
                </w:p>
              </w:tc>
              <w:tc>
                <w:tcPr>
                  <w:tcW w:w="0" w:type="auto"/>
                  <w:vAlign w:val="center"/>
                </w:tcPr>
                <w:p w14:paraId="57011B25">
                  <w:pPr>
                    <w:spacing w:line="276" w:lineRule="auto"/>
                    <w:jc w:val="center"/>
                    <w:rPr>
                      <w:szCs w:val="21"/>
                    </w:rPr>
                  </w:pPr>
                  <w:r>
                    <w:rPr>
                      <w:rFonts w:hint="eastAsia"/>
                      <w:szCs w:val="21"/>
                    </w:rPr>
                    <w:t>非甲烷总烃</w:t>
                  </w:r>
                </w:p>
              </w:tc>
              <w:tc>
                <w:tcPr>
                  <w:tcW w:w="0" w:type="auto"/>
                  <w:vAlign w:val="center"/>
                </w:tcPr>
                <w:p w14:paraId="16236FAD">
                  <w:pPr>
                    <w:spacing w:line="276" w:lineRule="auto"/>
                    <w:jc w:val="center"/>
                    <w:rPr>
                      <w:szCs w:val="21"/>
                    </w:rPr>
                  </w:pPr>
                  <w:r>
                    <w:rPr>
                      <w:szCs w:val="21"/>
                    </w:rPr>
                    <w:t>0.017</w:t>
                  </w:r>
                </w:p>
              </w:tc>
              <w:tc>
                <w:tcPr>
                  <w:tcW w:w="0" w:type="auto"/>
                  <w:vAlign w:val="center"/>
                </w:tcPr>
                <w:p w14:paraId="2CBEC2B6">
                  <w:pPr>
                    <w:spacing w:line="276" w:lineRule="auto"/>
                    <w:jc w:val="center"/>
                    <w:rPr>
                      <w:szCs w:val="21"/>
                    </w:rPr>
                  </w:pPr>
                  <w:r>
                    <w:rPr>
                      <w:rFonts w:hint="eastAsia"/>
                      <w:szCs w:val="21"/>
                    </w:rPr>
                    <w:t>9</w:t>
                  </w:r>
                  <w:r>
                    <w:rPr>
                      <w:szCs w:val="21"/>
                    </w:rPr>
                    <w:t>0</w:t>
                  </w:r>
                </w:p>
              </w:tc>
              <w:tc>
                <w:tcPr>
                  <w:tcW w:w="0" w:type="auto"/>
                  <w:vAlign w:val="center"/>
                </w:tcPr>
                <w:p w14:paraId="1D0F782B">
                  <w:pPr>
                    <w:spacing w:line="276" w:lineRule="auto"/>
                    <w:jc w:val="center"/>
                    <w:rPr>
                      <w:szCs w:val="21"/>
                    </w:rPr>
                  </w:pPr>
                  <w:r>
                    <w:rPr>
                      <w:rFonts w:hint="eastAsia"/>
                      <w:szCs w:val="21"/>
                    </w:rPr>
                    <w:t>90</w:t>
                  </w:r>
                </w:p>
              </w:tc>
              <w:tc>
                <w:tcPr>
                  <w:tcW w:w="0" w:type="auto"/>
                  <w:vMerge w:val="continue"/>
                  <w:vAlign w:val="center"/>
                </w:tcPr>
                <w:p w14:paraId="1B91DC26">
                  <w:pPr>
                    <w:spacing w:line="276" w:lineRule="auto"/>
                    <w:jc w:val="center"/>
                    <w:rPr>
                      <w:szCs w:val="21"/>
                    </w:rPr>
                  </w:pPr>
                </w:p>
              </w:tc>
              <w:tc>
                <w:tcPr>
                  <w:tcW w:w="0" w:type="auto"/>
                  <w:vMerge w:val="continue"/>
                  <w:vAlign w:val="center"/>
                </w:tcPr>
                <w:p w14:paraId="4C42C1E6">
                  <w:pPr>
                    <w:spacing w:line="276" w:lineRule="auto"/>
                    <w:jc w:val="center"/>
                    <w:rPr>
                      <w:szCs w:val="21"/>
                    </w:rPr>
                  </w:pPr>
                </w:p>
              </w:tc>
            </w:tr>
            <w:bookmarkEnd w:id="10"/>
          </w:tbl>
          <w:p w14:paraId="602A1AF3">
            <w:pPr>
              <w:spacing w:line="360" w:lineRule="auto"/>
              <w:ind w:firstLine="422" w:firstLineChars="200"/>
              <w:jc w:val="left"/>
              <w:rPr>
                <w:rFonts w:hAnsi="宋体"/>
                <w:b/>
                <w:szCs w:val="21"/>
              </w:rPr>
            </w:pPr>
          </w:p>
        </w:tc>
      </w:tr>
    </w:tbl>
    <w:p w14:paraId="17AC22B5">
      <w:pPr>
        <w:widowControl/>
        <w:spacing w:line="360" w:lineRule="auto"/>
        <w:jc w:val="center"/>
        <w:rPr>
          <w:rFonts w:hAnsi="宋体"/>
          <w:kern w:val="0"/>
          <w:sz w:val="24"/>
        </w:rPr>
        <w:sectPr>
          <w:pgSz w:w="11906" w:h="16838"/>
          <w:pgMar w:top="1440" w:right="1508" w:bottom="1440" w:left="1797" w:header="851" w:footer="992" w:gutter="0"/>
          <w:cols w:space="720" w:num="1"/>
          <w:docGrid w:type="lines" w:linePitch="312" w:charSpace="0"/>
        </w:sectPr>
      </w:pPr>
      <w:bookmarkStart w:id="11" w:name="_Toc354926677"/>
    </w:p>
    <w:tbl>
      <w:tblPr>
        <w:tblStyle w:val="34"/>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6"/>
        <w:gridCol w:w="13718"/>
      </w:tblGrid>
      <w:tr w14:paraId="1C1D1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65" w:hRule="atLeast"/>
        </w:trPr>
        <w:tc>
          <w:tcPr>
            <w:tcW w:w="161" w:type="pct"/>
            <w:vAlign w:val="center"/>
          </w:tcPr>
          <w:p w14:paraId="19A32EE8">
            <w:pPr>
              <w:widowControl/>
              <w:spacing w:line="360" w:lineRule="auto"/>
              <w:jc w:val="center"/>
              <w:rPr>
                <w:rFonts w:hAnsi="宋体"/>
                <w:kern w:val="0"/>
                <w:sz w:val="24"/>
              </w:rPr>
            </w:pPr>
            <w:r>
              <w:rPr>
                <w:rFonts w:hint="eastAsia" w:hAnsi="宋体"/>
                <w:kern w:val="0"/>
                <w:sz w:val="24"/>
              </w:rPr>
              <w:t>运营期环境影响和保护措施</w:t>
            </w:r>
          </w:p>
        </w:tc>
        <w:tc>
          <w:tcPr>
            <w:tcW w:w="4839" w:type="pct"/>
            <w:vAlign w:val="center"/>
          </w:tcPr>
          <w:p w14:paraId="76998894">
            <w:pPr>
              <w:spacing w:line="360" w:lineRule="auto"/>
              <w:ind w:firstLine="480" w:firstLineChars="200"/>
              <w:jc w:val="left"/>
              <w:rPr>
                <w:bCs/>
                <w:sz w:val="24"/>
                <w:szCs w:val="28"/>
              </w:rPr>
            </w:pPr>
            <w:r>
              <w:rPr>
                <w:bCs/>
                <w:sz w:val="24"/>
                <w:szCs w:val="28"/>
              </w:rPr>
              <w:t>本项目废气产生及</w:t>
            </w:r>
            <w:r>
              <w:rPr>
                <w:rFonts w:hint="eastAsia" w:hAnsi="宋体"/>
                <w:sz w:val="24"/>
              </w:rPr>
              <w:t>排放情况汇总表如下表所示：</w:t>
            </w:r>
          </w:p>
          <w:p w14:paraId="194B1C06">
            <w:pPr>
              <w:spacing w:line="360" w:lineRule="auto"/>
              <w:jc w:val="center"/>
              <w:rPr>
                <w:rFonts w:ascii="黑体" w:hAnsi="黑体" w:eastAsia="黑体"/>
                <w:bCs/>
                <w:szCs w:val="21"/>
              </w:rPr>
            </w:pPr>
            <w:r>
              <w:rPr>
                <w:rFonts w:hint="eastAsia" w:hAnsi="黑体" w:eastAsia="黑体"/>
                <w:sz w:val="24"/>
                <w:szCs w:val="24"/>
              </w:rPr>
              <w:t>表38  项目有组织废气产生及排放源强一览表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27"/>
              <w:gridCol w:w="427"/>
              <w:gridCol w:w="427"/>
              <w:gridCol w:w="427"/>
              <w:gridCol w:w="755"/>
              <w:gridCol w:w="427"/>
              <w:gridCol w:w="1215"/>
              <w:gridCol w:w="496"/>
              <w:gridCol w:w="496"/>
              <w:gridCol w:w="1057"/>
              <w:gridCol w:w="1453"/>
              <w:gridCol w:w="1190"/>
              <w:gridCol w:w="689"/>
              <w:gridCol w:w="531"/>
              <w:gridCol w:w="1551"/>
              <w:gridCol w:w="427"/>
              <w:gridCol w:w="427"/>
              <w:gridCol w:w="444"/>
            </w:tblGrid>
            <w:tr w14:paraId="38029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6" w:type="pct"/>
                  <w:vMerge w:val="restart"/>
                  <w:vAlign w:val="center"/>
                </w:tcPr>
                <w:p w14:paraId="6C7F3870">
                  <w:pPr>
                    <w:wordWrap w:val="0"/>
                    <w:spacing w:line="276" w:lineRule="auto"/>
                    <w:jc w:val="center"/>
                    <w:rPr>
                      <w:b/>
                      <w:szCs w:val="21"/>
                    </w:rPr>
                  </w:pPr>
                  <w:r>
                    <w:rPr>
                      <w:rFonts w:hint="eastAsia" w:hAnsi="宋体"/>
                      <w:b/>
                      <w:szCs w:val="21"/>
                    </w:rPr>
                    <w:t>产污环节</w:t>
                  </w:r>
                </w:p>
              </w:tc>
              <w:tc>
                <w:tcPr>
                  <w:tcW w:w="158" w:type="pct"/>
                  <w:vMerge w:val="restart"/>
                  <w:vAlign w:val="center"/>
                </w:tcPr>
                <w:p w14:paraId="5DCCDAE0">
                  <w:pPr>
                    <w:wordWrap w:val="0"/>
                    <w:spacing w:line="276" w:lineRule="auto"/>
                    <w:jc w:val="center"/>
                    <w:rPr>
                      <w:b/>
                      <w:szCs w:val="21"/>
                    </w:rPr>
                  </w:pPr>
                  <w:r>
                    <w:rPr>
                      <w:rFonts w:hint="eastAsia" w:hAnsi="宋体"/>
                      <w:b/>
                      <w:szCs w:val="21"/>
                    </w:rPr>
                    <w:t>污染物种类</w:t>
                  </w:r>
                </w:p>
              </w:tc>
              <w:tc>
                <w:tcPr>
                  <w:tcW w:w="754" w:type="pct"/>
                  <w:gridSpan w:val="4"/>
                  <w:vAlign w:val="center"/>
                </w:tcPr>
                <w:p w14:paraId="0D3578B6">
                  <w:pPr>
                    <w:wordWrap w:val="0"/>
                    <w:spacing w:line="276" w:lineRule="auto"/>
                    <w:jc w:val="center"/>
                    <w:rPr>
                      <w:b/>
                      <w:szCs w:val="21"/>
                    </w:rPr>
                  </w:pPr>
                  <w:r>
                    <w:rPr>
                      <w:rFonts w:hint="eastAsia"/>
                      <w:b/>
                      <w:szCs w:val="21"/>
                    </w:rPr>
                    <w:t>污染物产生情况</w:t>
                  </w:r>
                </w:p>
              </w:tc>
              <w:tc>
                <w:tcPr>
                  <w:tcW w:w="975" w:type="pct"/>
                  <w:gridSpan w:val="4"/>
                  <w:vAlign w:val="center"/>
                </w:tcPr>
                <w:p w14:paraId="0CD47C28">
                  <w:pPr>
                    <w:wordWrap w:val="0"/>
                    <w:spacing w:line="276" w:lineRule="auto"/>
                    <w:jc w:val="center"/>
                    <w:rPr>
                      <w:b/>
                      <w:szCs w:val="21"/>
                    </w:rPr>
                  </w:pPr>
                  <w:r>
                    <w:rPr>
                      <w:rFonts w:hint="eastAsia"/>
                      <w:b/>
                      <w:szCs w:val="21"/>
                    </w:rPr>
                    <w:t>收集及治理设施</w:t>
                  </w:r>
                </w:p>
              </w:tc>
              <w:tc>
                <w:tcPr>
                  <w:tcW w:w="1410" w:type="pct"/>
                  <w:gridSpan w:val="3"/>
                  <w:vAlign w:val="center"/>
                </w:tcPr>
                <w:p w14:paraId="0BE668D5">
                  <w:pPr>
                    <w:wordWrap w:val="0"/>
                    <w:spacing w:line="276" w:lineRule="auto"/>
                    <w:jc w:val="center"/>
                    <w:rPr>
                      <w:b/>
                      <w:szCs w:val="21"/>
                    </w:rPr>
                  </w:pPr>
                  <w:r>
                    <w:rPr>
                      <w:rFonts w:hint="eastAsia"/>
                      <w:b/>
                      <w:szCs w:val="21"/>
                    </w:rPr>
                    <w:t>污染物排放情况</w:t>
                  </w:r>
                </w:p>
              </w:tc>
              <w:tc>
                <w:tcPr>
                  <w:tcW w:w="452" w:type="pct"/>
                  <w:gridSpan w:val="2"/>
                  <w:vAlign w:val="center"/>
                </w:tcPr>
                <w:p w14:paraId="59E4C12B">
                  <w:pPr>
                    <w:wordWrap w:val="0"/>
                    <w:spacing w:line="276" w:lineRule="auto"/>
                    <w:jc w:val="center"/>
                    <w:rPr>
                      <w:b/>
                      <w:szCs w:val="21"/>
                    </w:rPr>
                  </w:pPr>
                  <w:r>
                    <w:rPr>
                      <w:rFonts w:hint="eastAsia"/>
                      <w:b/>
                      <w:szCs w:val="21"/>
                    </w:rPr>
                    <w:t>排放标准</w:t>
                  </w:r>
                </w:p>
              </w:tc>
              <w:tc>
                <w:tcPr>
                  <w:tcW w:w="535" w:type="pct"/>
                  <w:vAlign w:val="center"/>
                </w:tcPr>
                <w:p w14:paraId="4AF13217">
                  <w:pPr>
                    <w:wordWrap w:val="0"/>
                    <w:spacing w:line="276" w:lineRule="auto"/>
                    <w:jc w:val="center"/>
                    <w:rPr>
                      <w:b/>
                      <w:szCs w:val="21"/>
                    </w:rPr>
                  </w:pPr>
                  <w:r>
                    <w:rPr>
                      <w:rFonts w:hint="eastAsia"/>
                      <w:b/>
                      <w:szCs w:val="21"/>
                    </w:rPr>
                    <w:t>风量</w:t>
                  </w:r>
                </w:p>
              </w:tc>
              <w:tc>
                <w:tcPr>
                  <w:tcW w:w="481" w:type="pct"/>
                  <w:gridSpan w:val="3"/>
                  <w:vAlign w:val="center"/>
                </w:tcPr>
                <w:p w14:paraId="5F9F9B66">
                  <w:pPr>
                    <w:wordWrap w:val="0"/>
                    <w:spacing w:line="276" w:lineRule="auto"/>
                    <w:jc w:val="center"/>
                    <w:rPr>
                      <w:b/>
                      <w:szCs w:val="21"/>
                    </w:rPr>
                  </w:pPr>
                  <w:r>
                    <w:rPr>
                      <w:rFonts w:hint="eastAsia"/>
                      <w:b/>
                      <w:szCs w:val="21"/>
                    </w:rPr>
                    <w:t>排气筒</w:t>
                  </w:r>
                </w:p>
              </w:tc>
            </w:tr>
            <w:tr w14:paraId="3E93B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6" w:type="pct"/>
                  <w:vMerge w:val="continue"/>
                  <w:vAlign w:val="center"/>
                </w:tcPr>
                <w:p w14:paraId="0896CD2E">
                  <w:pPr>
                    <w:widowControl/>
                    <w:spacing w:line="276" w:lineRule="auto"/>
                    <w:jc w:val="center"/>
                    <w:rPr>
                      <w:b/>
                      <w:szCs w:val="21"/>
                    </w:rPr>
                  </w:pPr>
                </w:p>
              </w:tc>
              <w:tc>
                <w:tcPr>
                  <w:tcW w:w="158" w:type="pct"/>
                  <w:vMerge w:val="continue"/>
                  <w:vAlign w:val="center"/>
                </w:tcPr>
                <w:p w14:paraId="4742ABEF">
                  <w:pPr>
                    <w:widowControl/>
                    <w:spacing w:line="276" w:lineRule="auto"/>
                    <w:jc w:val="center"/>
                    <w:rPr>
                      <w:b/>
                      <w:szCs w:val="21"/>
                    </w:rPr>
                  </w:pPr>
                </w:p>
              </w:tc>
              <w:tc>
                <w:tcPr>
                  <w:tcW w:w="158" w:type="pct"/>
                  <w:vAlign w:val="center"/>
                </w:tcPr>
                <w:p w14:paraId="5525809D">
                  <w:pPr>
                    <w:wordWrap w:val="0"/>
                    <w:spacing w:line="276" w:lineRule="auto"/>
                    <w:jc w:val="center"/>
                    <w:rPr>
                      <w:b/>
                      <w:szCs w:val="21"/>
                    </w:rPr>
                  </w:pPr>
                  <w:r>
                    <w:rPr>
                      <w:rFonts w:hint="eastAsia"/>
                      <w:b/>
                      <w:szCs w:val="21"/>
                    </w:rPr>
                    <w:t>核算方法</w:t>
                  </w:r>
                </w:p>
              </w:tc>
              <w:tc>
                <w:tcPr>
                  <w:tcW w:w="158" w:type="pct"/>
                  <w:vAlign w:val="center"/>
                </w:tcPr>
                <w:p w14:paraId="751292D5">
                  <w:pPr>
                    <w:wordWrap w:val="0"/>
                    <w:spacing w:line="276" w:lineRule="auto"/>
                    <w:jc w:val="center"/>
                    <w:rPr>
                      <w:b/>
                      <w:szCs w:val="21"/>
                    </w:rPr>
                  </w:pPr>
                  <w:r>
                    <w:rPr>
                      <w:rFonts w:hint="eastAsia"/>
                      <w:b/>
                      <w:szCs w:val="21"/>
                    </w:rPr>
                    <w:t>速率</w:t>
                  </w:r>
                  <w:r>
                    <w:rPr>
                      <w:b/>
                      <w:szCs w:val="21"/>
                    </w:rPr>
                    <w:t>kg/h</w:t>
                  </w:r>
                </w:p>
              </w:tc>
              <w:tc>
                <w:tcPr>
                  <w:tcW w:w="158" w:type="pct"/>
                  <w:vAlign w:val="center"/>
                </w:tcPr>
                <w:p w14:paraId="71A2C9D8">
                  <w:pPr>
                    <w:wordWrap w:val="0"/>
                    <w:spacing w:line="276" w:lineRule="auto"/>
                    <w:jc w:val="center"/>
                    <w:rPr>
                      <w:b/>
                      <w:szCs w:val="21"/>
                    </w:rPr>
                  </w:pPr>
                  <w:r>
                    <w:rPr>
                      <w:rFonts w:hint="eastAsia"/>
                      <w:b/>
                      <w:szCs w:val="21"/>
                    </w:rPr>
                    <w:t>产生量</w:t>
                  </w:r>
                  <w:r>
                    <w:rPr>
                      <w:b/>
                      <w:szCs w:val="21"/>
                    </w:rPr>
                    <w:t>t/a</w:t>
                  </w:r>
                </w:p>
              </w:tc>
              <w:tc>
                <w:tcPr>
                  <w:tcW w:w="280" w:type="pct"/>
                  <w:vAlign w:val="center"/>
                </w:tcPr>
                <w:p w14:paraId="55F96DDC">
                  <w:pPr>
                    <w:wordWrap w:val="0"/>
                    <w:spacing w:line="276" w:lineRule="auto"/>
                    <w:jc w:val="center"/>
                    <w:rPr>
                      <w:b/>
                      <w:szCs w:val="21"/>
                    </w:rPr>
                  </w:pPr>
                  <w:r>
                    <w:rPr>
                      <w:rFonts w:hint="eastAsia"/>
                      <w:b/>
                      <w:szCs w:val="21"/>
                    </w:rPr>
                    <w:t>排放时间（</w:t>
                  </w:r>
                  <w:r>
                    <w:rPr>
                      <w:b/>
                      <w:szCs w:val="21"/>
                    </w:rPr>
                    <w:t>h</w:t>
                  </w:r>
                  <w:r>
                    <w:rPr>
                      <w:rFonts w:hint="eastAsia"/>
                      <w:b/>
                      <w:szCs w:val="21"/>
                    </w:rPr>
                    <w:t>）</w:t>
                  </w:r>
                </w:p>
              </w:tc>
              <w:tc>
                <w:tcPr>
                  <w:tcW w:w="158" w:type="pct"/>
                  <w:vAlign w:val="center"/>
                </w:tcPr>
                <w:p w14:paraId="4A7DACAE">
                  <w:pPr>
                    <w:wordWrap w:val="0"/>
                    <w:spacing w:line="276" w:lineRule="auto"/>
                    <w:jc w:val="center"/>
                    <w:rPr>
                      <w:b/>
                      <w:szCs w:val="21"/>
                    </w:rPr>
                  </w:pPr>
                  <w:r>
                    <w:rPr>
                      <w:rFonts w:hint="eastAsia"/>
                      <w:b/>
                      <w:szCs w:val="21"/>
                    </w:rPr>
                    <w:t>收集措施</w:t>
                  </w:r>
                </w:p>
              </w:tc>
              <w:tc>
                <w:tcPr>
                  <w:tcW w:w="450" w:type="pct"/>
                  <w:vAlign w:val="center"/>
                </w:tcPr>
                <w:p w14:paraId="7F7FC40A">
                  <w:pPr>
                    <w:wordWrap w:val="0"/>
                    <w:spacing w:line="276" w:lineRule="auto"/>
                    <w:jc w:val="center"/>
                    <w:rPr>
                      <w:b/>
                      <w:szCs w:val="21"/>
                    </w:rPr>
                  </w:pPr>
                  <w:r>
                    <w:rPr>
                      <w:rFonts w:hint="eastAsia"/>
                      <w:b/>
                      <w:szCs w:val="21"/>
                    </w:rPr>
                    <w:t>治理工艺</w:t>
                  </w:r>
                </w:p>
              </w:tc>
              <w:tc>
                <w:tcPr>
                  <w:tcW w:w="184" w:type="pct"/>
                  <w:vAlign w:val="center"/>
                </w:tcPr>
                <w:p w14:paraId="78ABBFA1">
                  <w:pPr>
                    <w:wordWrap w:val="0"/>
                    <w:spacing w:line="276" w:lineRule="auto"/>
                    <w:jc w:val="center"/>
                    <w:rPr>
                      <w:b/>
                      <w:szCs w:val="21"/>
                    </w:rPr>
                  </w:pPr>
                  <w:r>
                    <w:rPr>
                      <w:rFonts w:hint="eastAsia"/>
                      <w:b/>
                      <w:szCs w:val="21"/>
                    </w:rPr>
                    <w:t>收集效率</w:t>
                  </w:r>
                </w:p>
              </w:tc>
              <w:tc>
                <w:tcPr>
                  <w:tcW w:w="184" w:type="pct"/>
                  <w:vAlign w:val="center"/>
                </w:tcPr>
                <w:p w14:paraId="667BC39D">
                  <w:pPr>
                    <w:wordWrap w:val="0"/>
                    <w:spacing w:line="276" w:lineRule="auto"/>
                    <w:jc w:val="center"/>
                    <w:rPr>
                      <w:b/>
                      <w:szCs w:val="21"/>
                    </w:rPr>
                  </w:pPr>
                  <w:r>
                    <w:rPr>
                      <w:rFonts w:hint="eastAsia"/>
                      <w:b/>
                      <w:szCs w:val="21"/>
                    </w:rPr>
                    <w:t>处理效率</w:t>
                  </w:r>
                </w:p>
              </w:tc>
              <w:tc>
                <w:tcPr>
                  <w:tcW w:w="385" w:type="pct"/>
                  <w:vAlign w:val="center"/>
                </w:tcPr>
                <w:p w14:paraId="55B1A7F8">
                  <w:pPr>
                    <w:wordWrap w:val="0"/>
                    <w:spacing w:line="276" w:lineRule="auto"/>
                    <w:jc w:val="center"/>
                    <w:rPr>
                      <w:b/>
                      <w:szCs w:val="21"/>
                    </w:rPr>
                  </w:pPr>
                  <w:r>
                    <w:rPr>
                      <w:rFonts w:hint="eastAsia"/>
                      <w:b/>
                      <w:szCs w:val="21"/>
                    </w:rPr>
                    <w:t>排放浓度</w:t>
                  </w:r>
                  <w:r>
                    <w:rPr>
                      <w:b/>
                      <w:szCs w:val="21"/>
                    </w:rPr>
                    <w:t>mg/m</w:t>
                  </w:r>
                  <w:r>
                    <w:rPr>
                      <w:b/>
                      <w:szCs w:val="21"/>
                      <w:vertAlign w:val="superscript"/>
                    </w:rPr>
                    <w:t>3</w:t>
                  </w:r>
                </w:p>
              </w:tc>
              <w:tc>
                <w:tcPr>
                  <w:tcW w:w="576" w:type="pct"/>
                  <w:vAlign w:val="center"/>
                </w:tcPr>
                <w:p w14:paraId="6889A68A">
                  <w:pPr>
                    <w:wordWrap w:val="0"/>
                    <w:spacing w:line="276" w:lineRule="auto"/>
                    <w:jc w:val="center"/>
                    <w:rPr>
                      <w:b/>
                      <w:szCs w:val="21"/>
                    </w:rPr>
                  </w:pPr>
                  <w:r>
                    <w:rPr>
                      <w:rFonts w:hint="eastAsia"/>
                      <w:b/>
                      <w:szCs w:val="21"/>
                    </w:rPr>
                    <w:t>速率</w:t>
                  </w:r>
                  <w:r>
                    <w:rPr>
                      <w:b/>
                      <w:szCs w:val="21"/>
                    </w:rPr>
                    <w:t>kg/h</w:t>
                  </w:r>
                </w:p>
              </w:tc>
              <w:tc>
                <w:tcPr>
                  <w:tcW w:w="393" w:type="pct"/>
                  <w:vAlign w:val="center"/>
                </w:tcPr>
                <w:p w14:paraId="3222CBBB">
                  <w:pPr>
                    <w:wordWrap w:val="0"/>
                    <w:spacing w:line="276" w:lineRule="auto"/>
                    <w:jc w:val="center"/>
                    <w:rPr>
                      <w:b/>
                      <w:szCs w:val="21"/>
                    </w:rPr>
                  </w:pPr>
                  <w:r>
                    <w:rPr>
                      <w:b/>
                      <w:szCs w:val="21"/>
                    </w:rPr>
                    <w:t>排放量t/a</w:t>
                  </w:r>
                </w:p>
              </w:tc>
              <w:tc>
                <w:tcPr>
                  <w:tcW w:w="255" w:type="pct"/>
                  <w:vAlign w:val="center"/>
                </w:tcPr>
                <w:p w14:paraId="28B976B8">
                  <w:pPr>
                    <w:wordWrap w:val="0"/>
                    <w:spacing w:line="276" w:lineRule="auto"/>
                    <w:jc w:val="center"/>
                    <w:rPr>
                      <w:b/>
                      <w:szCs w:val="21"/>
                    </w:rPr>
                  </w:pPr>
                  <w:r>
                    <w:rPr>
                      <w:rFonts w:hint="eastAsia"/>
                      <w:b/>
                      <w:szCs w:val="21"/>
                    </w:rPr>
                    <w:t>速率</w:t>
                  </w:r>
                  <w:r>
                    <w:rPr>
                      <w:b/>
                      <w:szCs w:val="21"/>
                    </w:rPr>
                    <w:t>kg/h</w:t>
                  </w:r>
                </w:p>
              </w:tc>
              <w:tc>
                <w:tcPr>
                  <w:tcW w:w="197" w:type="pct"/>
                  <w:vAlign w:val="center"/>
                </w:tcPr>
                <w:p w14:paraId="584241A9">
                  <w:pPr>
                    <w:wordWrap w:val="0"/>
                    <w:spacing w:line="276" w:lineRule="auto"/>
                    <w:jc w:val="center"/>
                    <w:rPr>
                      <w:b/>
                      <w:szCs w:val="21"/>
                    </w:rPr>
                  </w:pPr>
                  <w:r>
                    <w:rPr>
                      <w:rFonts w:hint="eastAsia"/>
                      <w:b/>
                      <w:szCs w:val="21"/>
                    </w:rPr>
                    <w:t>浓度</w:t>
                  </w:r>
                  <w:r>
                    <w:rPr>
                      <w:b/>
                      <w:szCs w:val="21"/>
                    </w:rPr>
                    <w:t>mg/m</w:t>
                  </w:r>
                  <w:r>
                    <w:rPr>
                      <w:b/>
                      <w:szCs w:val="21"/>
                      <w:vertAlign w:val="superscript"/>
                    </w:rPr>
                    <w:t>3</w:t>
                  </w:r>
                </w:p>
              </w:tc>
              <w:tc>
                <w:tcPr>
                  <w:tcW w:w="590" w:type="pct"/>
                  <w:vAlign w:val="center"/>
                </w:tcPr>
                <w:p w14:paraId="48B8F7EF">
                  <w:pPr>
                    <w:widowControl/>
                    <w:spacing w:line="276" w:lineRule="auto"/>
                    <w:jc w:val="center"/>
                    <w:rPr>
                      <w:b/>
                      <w:szCs w:val="21"/>
                    </w:rPr>
                  </w:pPr>
                  <w:r>
                    <w:rPr>
                      <w:b/>
                      <w:szCs w:val="21"/>
                    </w:rPr>
                    <w:t>m</w:t>
                  </w:r>
                  <w:r>
                    <w:rPr>
                      <w:b/>
                      <w:szCs w:val="21"/>
                      <w:vertAlign w:val="superscript"/>
                    </w:rPr>
                    <w:t>3</w:t>
                  </w:r>
                  <w:r>
                    <w:rPr>
                      <w:b/>
                      <w:szCs w:val="21"/>
                    </w:rPr>
                    <w:t>/h</w:t>
                  </w:r>
                </w:p>
              </w:tc>
              <w:tc>
                <w:tcPr>
                  <w:tcW w:w="158" w:type="pct"/>
                  <w:vAlign w:val="center"/>
                </w:tcPr>
                <w:p w14:paraId="0A35FF94">
                  <w:pPr>
                    <w:wordWrap w:val="0"/>
                    <w:spacing w:line="276" w:lineRule="auto"/>
                    <w:jc w:val="center"/>
                    <w:rPr>
                      <w:b/>
                      <w:szCs w:val="21"/>
                    </w:rPr>
                  </w:pPr>
                  <w:r>
                    <w:rPr>
                      <w:rFonts w:hint="eastAsia"/>
                      <w:b/>
                      <w:szCs w:val="21"/>
                    </w:rPr>
                    <w:t>高度</w:t>
                  </w:r>
                  <w:r>
                    <w:rPr>
                      <w:b/>
                      <w:szCs w:val="21"/>
                    </w:rPr>
                    <w:t>m</w:t>
                  </w:r>
                </w:p>
              </w:tc>
              <w:tc>
                <w:tcPr>
                  <w:tcW w:w="158" w:type="pct"/>
                  <w:vAlign w:val="center"/>
                </w:tcPr>
                <w:p w14:paraId="07670A39">
                  <w:pPr>
                    <w:wordWrap w:val="0"/>
                    <w:spacing w:line="276" w:lineRule="auto"/>
                    <w:jc w:val="center"/>
                    <w:rPr>
                      <w:b/>
                      <w:szCs w:val="21"/>
                    </w:rPr>
                  </w:pPr>
                  <w:r>
                    <w:rPr>
                      <w:rFonts w:hint="eastAsia"/>
                      <w:b/>
                      <w:szCs w:val="21"/>
                    </w:rPr>
                    <w:t>内径</w:t>
                  </w:r>
                  <w:r>
                    <w:rPr>
                      <w:b/>
                      <w:szCs w:val="21"/>
                    </w:rPr>
                    <w:t>m</w:t>
                  </w:r>
                </w:p>
              </w:tc>
              <w:tc>
                <w:tcPr>
                  <w:tcW w:w="164" w:type="pct"/>
                  <w:vAlign w:val="center"/>
                </w:tcPr>
                <w:p w14:paraId="2B193D20">
                  <w:pPr>
                    <w:wordWrap w:val="0"/>
                    <w:spacing w:line="276" w:lineRule="auto"/>
                    <w:jc w:val="center"/>
                    <w:rPr>
                      <w:b/>
                      <w:szCs w:val="21"/>
                    </w:rPr>
                  </w:pPr>
                  <w:r>
                    <w:rPr>
                      <w:rFonts w:hint="eastAsia"/>
                      <w:b/>
                      <w:szCs w:val="21"/>
                    </w:rPr>
                    <w:t>温度</w:t>
                  </w:r>
                </w:p>
                <w:p w14:paraId="7A148214">
                  <w:pPr>
                    <w:wordWrap w:val="0"/>
                    <w:spacing w:line="276" w:lineRule="auto"/>
                    <w:jc w:val="center"/>
                    <w:rPr>
                      <w:b/>
                      <w:szCs w:val="21"/>
                    </w:rPr>
                  </w:pPr>
                  <w:r>
                    <w:rPr>
                      <w:b/>
                      <w:szCs w:val="21"/>
                    </w:rPr>
                    <w:t>℃</w:t>
                  </w:r>
                </w:p>
              </w:tc>
            </w:tr>
            <w:tr w14:paraId="2A056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36" w:type="pct"/>
                  <w:vMerge w:val="restart"/>
                  <w:vAlign w:val="center"/>
                </w:tcPr>
                <w:p w14:paraId="3C75DA34">
                  <w:pPr>
                    <w:wordWrap w:val="0"/>
                    <w:spacing w:line="276" w:lineRule="auto"/>
                    <w:jc w:val="center"/>
                    <w:rPr>
                      <w:szCs w:val="21"/>
                    </w:rPr>
                  </w:pPr>
                  <w:r>
                    <w:rPr>
                      <w:rFonts w:hint="eastAsia"/>
                      <w:szCs w:val="21"/>
                    </w:rPr>
                    <w:t>热熔封口工序</w:t>
                  </w:r>
                </w:p>
              </w:tc>
              <w:tc>
                <w:tcPr>
                  <w:tcW w:w="158" w:type="pct"/>
                  <w:vAlign w:val="center"/>
                </w:tcPr>
                <w:p w14:paraId="087E8AB8">
                  <w:pPr>
                    <w:wordWrap w:val="0"/>
                    <w:spacing w:line="276" w:lineRule="auto"/>
                    <w:jc w:val="center"/>
                    <w:rPr>
                      <w:szCs w:val="21"/>
                    </w:rPr>
                  </w:pPr>
                  <w:r>
                    <w:rPr>
                      <w:rFonts w:hint="eastAsia"/>
                      <w:szCs w:val="21"/>
                    </w:rPr>
                    <w:t>颗粒物</w:t>
                  </w:r>
                </w:p>
              </w:tc>
              <w:tc>
                <w:tcPr>
                  <w:tcW w:w="158" w:type="pct"/>
                  <w:vMerge w:val="restart"/>
                  <w:vAlign w:val="center"/>
                </w:tcPr>
                <w:p w14:paraId="206DBA7C">
                  <w:pPr>
                    <w:wordWrap w:val="0"/>
                    <w:spacing w:line="276" w:lineRule="auto"/>
                    <w:jc w:val="center"/>
                    <w:rPr>
                      <w:szCs w:val="21"/>
                    </w:rPr>
                  </w:pPr>
                  <w:r>
                    <w:rPr>
                      <w:rFonts w:hint="eastAsia"/>
                      <w:szCs w:val="21"/>
                    </w:rPr>
                    <w:t>产污系数法</w:t>
                  </w:r>
                </w:p>
              </w:tc>
              <w:tc>
                <w:tcPr>
                  <w:tcW w:w="158" w:type="pct"/>
                  <w:vAlign w:val="center"/>
                </w:tcPr>
                <w:p w14:paraId="1583FFCF">
                  <w:pPr>
                    <w:wordWrap w:val="0"/>
                    <w:spacing w:line="276" w:lineRule="auto"/>
                    <w:jc w:val="center"/>
                    <w:rPr>
                      <w:szCs w:val="21"/>
                    </w:rPr>
                  </w:pPr>
                  <w:r>
                    <w:rPr>
                      <w:szCs w:val="21"/>
                    </w:rPr>
                    <w:t>9.0</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6</w:t>
                  </w:r>
                </w:p>
              </w:tc>
              <w:tc>
                <w:tcPr>
                  <w:tcW w:w="158" w:type="pct"/>
                  <w:vAlign w:val="center"/>
                </w:tcPr>
                <w:p w14:paraId="7B1D16CF">
                  <w:pPr>
                    <w:wordWrap w:val="0"/>
                    <w:spacing w:line="276" w:lineRule="auto"/>
                    <w:jc w:val="center"/>
                    <w:rPr>
                      <w:szCs w:val="21"/>
                    </w:rPr>
                  </w:pPr>
                  <w:r>
                    <w:rPr>
                      <w:rFonts w:hint="eastAsia"/>
                      <w:szCs w:val="21"/>
                    </w:rPr>
                    <w:t>2</w:t>
                  </w:r>
                  <w:r>
                    <w:rPr>
                      <w:szCs w:val="21"/>
                    </w:rPr>
                    <w:t>.7</w:t>
                  </w:r>
                  <m:oMath>
                    <m:r>
                      <m:rPr/>
                      <w:rPr>
                        <w:rFonts w:ascii="Cambria Math" w:hAnsi="Cambria Math"/>
                        <w:szCs w:val="21"/>
                      </w:rPr>
                      <m:t>×</m:t>
                    </m:r>
                  </m:oMath>
                  <w:r>
                    <w:rPr>
                      <w:rFonts w:hint="eastAsia"/>
                      <w:szCs w:val="21"/>
                    </w:rPr>
                    <w:t>1</w:t>
                  </w:r>
                  <w:r>
                    <w:rPr>
                      <w:szCs w:val="21"/>
                    </w:rPr>
                    <w:t>0</w:t>
                  </w:r>
                  <w:r>
                    <w:rPr>
                      <w:szCs w:val="21"/>
                      <w:vertAlign w:val="superscript"/>
                    </w:rPr>
                    <w:t>-5</w:t>
                  </w:r>
                </w:p>
              </w:tc>
              <w:tc>
                <w:tcPr>
                  <w:tcW w:w="280" w:type="pct"/>
                  <w:vAlign w:val="center"/>
                </w:tcPr>
                <w:p w14:paraId="22A16AF6">
                  <w:pPr>
                    <w:wordWrap w:val="0"/>
                    <w:spacing w:line="276" w:lineRule="auto"/>
                    <w:jc w:val="center"/>
                    <w:rPr>
                      <w:szCs w:val="21"/>
                    </w:rPr>
                  </w:pPr>
                  <w:r>
                    <w:rPr>
                      <w:rFonts w:hint="eastAsia"/>
                      <w:szCs w:val="21"/>
                    </w:rPr>
                    <w:t>3</w:t>
                  </w:r>
                  <w:r>
                    <w:rPr>
                      <w:szCs w:val="21"/>
                    </w:rPr>
                    <w:t>000</w:t>
                  </w:r>
                </w:p>
              </w:tc>
              <w:tc>
                <w:tcPr>
                  <w:tcW w:w="158" w:type="pct"/>
                  <w:vMerge w:val="restart"/>
                  <w:vAlign w:val="center"/>
                </w:tcPr>
                <w:p w14:paraId="497B0DA7">
                  <w:pPr>
                    <w:wordWrap w:val="0"/>
                    <w:spacing w:line="276" w:lineRule="auto"/>
                    <w:jc w:val="center"/>
                    <w:rPr>
                      <w:szCs w:val="21"/>
                    </w:rPr>
                  </w:pPr>
                  <w:r>
                    <w:rPr>
                      <w:rFonts w:hint="eastAsia"/>
                      <w:szCs w:val="21"/>
                    </w:rPr>
                    <w:t>集气罩</w:t>
                  </w:r>
                </w:p>
              </w:tc>
              <w:tc>
                <w:tcPr>
                  <w:tcW w:w="450" w:type="pct"/>
                  <w:vMerge w:val="restart"/>
                  <w:vAlign w:val="center"/>
                </w:tcPr>
                <w:p w14:paraId="443B27F5">
                  <w:pPr>
                    <w:widowControl/>
                    <w:spacing w:line="276" w:lineRule="auto"/>
                    <w:jc w:val="center"/>
                    <w:rPr>
                      <w:szCs w:val="21"/>
                    </w:rPr>
                  </w:pPr>
                  <w:r>
                    <w:rPr>
                      <w:rFonts w:hint="eastAsia"/>
                      <w:szCs w:val="21"/>
                    </w:rPr>
                    <w:t>/</w:t>
                  </w:r>
                </w:p>
              </w:tc>
              <w:tc>
                <w:tcPr>
                  <w:tcW w:w="184" w:type="pct"/>
                  <w:vAlign w:val="center"/>
                </w:tcPr>
                <w:p w14:paraId="7468BEC3">
                  <w:pPr>
                    <w:wordWrap w:val="0"/>
                    <w:spacing w:line="276" w:lineRule="auto"/>
                    <w:jc w:val="center"/>
                    <w:rPr>
                      <w:szCs w:val="21"/>
                    </w:rPr>
                  </w:pPr>
                  <w:r>
                    <w:rPr>
                      <w:szCs w:val="21"/>
                    </w:rPr>
                    <w:t>90%</w:t>
                  </w:r>
                </w:p>
              </w:tc>
              <w:tc>
                <w:tcPr>
                  <w:tcW w:w="184" w:type="pct"/>
                  <w:vAlign w:val="center"/>
                </w:tcPr>
                <w:p w14:paraId="0E807A9D">
                  <w:pPr>
                    <w:wordWrap w:val="0"/>
                    <w:spacing w:line="276" w:lineRule="auto"/>
                    <w:jc w:val="center"/>
                    <w:rPr>
                      <w:szCs w:val="21"/>
                    </w:rPr>
                  </w:pPr>
                  <w:r>
                    <w:rPr>
                      <w:rFonts w:hint="eastAsia"/>
                      <w:szCs w:val="21"/>
                    </w:rPr>
                    <w:t>/</w:t>
                  </w:r>
                </w:p>
              </w:tc>
              <w:tc>
                <w:tcPr>
                  <w:tcW w:w="385" w:type="pct"/>
                  <w:vAlign w:val="center"/>
                </w:tcPr>
                <w:p w14:paraId="7D99B632">
                  <w:pPr>
                    <w:widowControl/>
                    <w:spacing w:line="276" w:lineRule="auto"/>
                    <w:jc w:val="center"/>
                    <w:rPr>
                      <w:szCs w:val="21"/>
                    </w:rPr>
                  </w:pPr>
                  <w:r>
                    <w:rPr>
                      <w:rFonts w:hint="eastAsia"/>
                      <w:szCs w:val="21"/>
                    </w:rPr>
                    <w:t>1.25</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3</w:t>
                  </w:r>
                </w:p>
              </w:tc>
              <w:tc>
                <w:tcPr>
                  <w:tcW w:w="576" w:type="pct"/>
                  <w:vAlign w:val="center"/>
                </w:tcPr>
                <w:p w14:paraId="7E2A23A9">
                  <w:pPr>
                    <w:widowControl/>
                    <w:spacing w:line="276" w:lineRule="auto"/>
                    <w:jc w:val="center"/>
                    <w:rPr>
                      <w:szCs w:val="21"/>
                    </w:rPr>
                  </w:pPr>
                  <w:r>
                    <w:rPr>
                      <w:rFonts w:hint="eastAsia"/>
                      <w:szCs w:val="21"/>
                    </w:rPr>
                    <w:t>8</w:t>
                  </w:r>
                  <w:r>
                    <w:rPr>
                      <w:szCs w:val="21"/>
                    </w:rPr>
                    <w:t>.1</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6</w:t>
                  </w:r>
                </w:p>
              </w:tc>
              <w:tc>
                <w:tcPr>
                  <w:tcW w:w="0" w:type="auto"/>
                  <w:vAlign w:val="center"/>
                </w:tcPr>
                <w:p w14:paraId="68D0BDC9">
                  <w:pPr>
                    <w:widowControl/>
                    <w:spacing w:line="276" w:lineRule="auto"/>
                    <w:jc w:val="center"/>
                    <w:rPr>
                      <w:szCs w:val="21"/>
                    </w:rPr>
                  </w:pPr>
                  <w:r>
                    <w:rPr>
                      <w:rFonts w:hint="eastAsia"/>
                      <w:szCs w:val="21"/>
                    </w:rPr>
                    <w:t>2</w:t>
                  </w:r>
                  <w:r>
                    <w:rPr>
                      <w:szCs w:val="21"/>
                    </w:rPr>
                    <w:t>.4</w:t>
                  </w:r>
                  <w:r>
                    <w:rPr>
                      <w:rFonts w:hint="eastAsia"/>
                      <w:szCs w:val="21"/>
                    </w:rPr>
                    <w:t>3</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5</w:t>
                  </w:r>
                </w:p>
              </w:tc>
              <w:tc>
                <w:tcPr>
                  <w:tcW w:w="0" w:type="auto"/>
                  <w:vAlign w:val="center"/>
                </w:tcPr>
                <w:p w14:paraId="2B4CD689">
                  <w:pPr>
                    <w:spacing w:line="276" w:lineRule="auto"/>
                    <w:jc w:val="center"/>
                    <w:rPr>
                      <w:szCs w:val="21"/>
                    </w:rPr>
                  </w:pPr>
                  <w:r>
                    <w:rPr>
                      <w:rFonts w:hint="eastAsia"/>
                      <w:szCs w:val="21"/>
                    </w:rPr>
                    <w:t>1</w:t>
                  </w:r>
                  <w:r>
                    <w:rPr>
                      <w:szCs w:val="21"/>
                    </w:rPr>
                    <w:t>.26</w:t>
                  </w:r>
                </w:p>
              </w:tc>
              <w:tc>
                <w:tcPr>
                  <w:tcW w:w="0" w:type="auto"/>
                  <w:vAlign w:val="center"/>
                </w:tcPr>
                <w:p w14:paraId="18A150CF">
                  <w:pPr>
                    <w:spacing w:line="276" w:lineRule="auto"/>
                    <w:jc w:val="center"/>
                    <w:rPr>
                      <w:szCs w:val="21"/>
                    </w:rPr>
                  </w:pPr>
                  <w:r>
                    <w:rPr>
                      <w:rFonts w:hint="eastAsia"/>
                      <w:szCs w:val="21"/>
                    </w:rPr>
                    <w:t>1</w:t>
                  </w:r>
                  <w:r>
                    <w:rPr>
                      <w:szCs w:val="21"/>
                    </w:rPr>
                    <w:t>20</w:t>
                  </w:r>
                </w:p>
              </w:tc>
              <w:tc>
                <w:tcPr>
                  <w:tcW w:w="590" w:type="pct"/>
                  <w:vMerge w:val="restart"/>
                  <w:vAlign w:val="center"/>
                </w:tcPr>
                <w:p w14:paraId="3E0CD006">
                  <w:pPr>
                    <w:spacing w:line="276" w:lineRule="auto"/>
                    <w:jc w:val="center"/>
                    <w:rPr>
                      <w:szCs w:val="21"/>
                    </w:rPr>
                  </w:pPr>
                  <w:r>
                    <w:rPr>
                      <w:szCs w:val="21"/>
                    </w:rPr>
                    <w:t>6500</w:t>
                  </w:r>
                </w:p>
              </w:tc>
              <w:tc>
                <w:tcPr>
                  <w:tcW w:w="481" w:type="pct"/>
                  <w:gridSpan w:val="3"/>
                  <w:vMerge w:val="restart"/>
                  <w:vAlign w:val="center"/>
                </w:tcPr>
                <w:p w14:paraId="47037127">
                  <w:pPr>
                    <w:wordWrap w:val="0"/>
                    <w:spacing w:line="276" w:lineRule="auto"/>
                    <w:jc w:val="center"/>
                    <w:rPr>
                      <w:szCs w:val="21"/>
                    </w:rPr>
                  </w:pPr>
                  <w:r>
                    <w:rPr>
                      <w:rFonts w:hint="eastAsia"/>
                      <w:szCs w:val="21"/>
                    </w:rPr>
                    <w:t>编号：DA001</w:t>
                  </w:r>
                </w:p>
                <w:p w14:paraId="00A4B1E8">
                  <w:pPr>
                    <w:wordWrap w:val="0"/>
                    <w:spacing w:line="276" w:lineRule="auto"/>
                    <w:jc w:val="center"/>
                    <w:rPr>
                      <w:szCs w:val="21"/>
                    </w:rPr>
                  </w:pPr>
                  <w:r>
                    <w:rPr>
                      <w:rFonts w:hint="eastAsia"/>
                      <w:szCs w:val="21"/>
                    </w:rPr>
                    <w:t>内径：0.4</w:t>
                  </w:r>
                </w:p>
                <w:p w14:paraId="7FD3B743">
                  <w:pPr>
                    <w:wordWrap w:val="0"/>
                    <w:spacing w:line="276" w:lineRule="auto"/>
                    <w:jc w:val="center"/>
                    <w:rPr>
                      <w:szCs w:val="21"/>
                    </w:rPr>
                  </w:pPr>
                  <w:r>
                    <w:rPr>
                      <w:szCs w:val="21"/>
                    </w:rPr>
                    <w:t>温度</w:t>
                  </w:r>
                  <w:r>
                    <w:rPr>
                      <w:rFonts w:hint="eastAsia"/>
                      <w:szCs w:val="21"/>
                    </w:rPr>
                    <w:t>：</w:t>
                  </w:r>
                  <w:r>
                    <w:rPr>
                      <w:szCs w:val="21"/>
                    </w:rPr>
                    <w:t>25</w:t>
                  </w:r>
                </w:p>
                <w:p w14:paraId="0D8F8D17">
                  <w:pPr>
                    <w:spacing w:line="276" w:lineRule="auto"/>
                    <w:jc w:val="center"/>
                    <w:rPr>
                      <w:szCs w:val="21"/>
                    </w:rPr>
                  </w:pPr>
                  <w:r>
                    <w:rPr>
                      <w:rFonts w:hint="eastAsia"/>
                      <w:szCs w:val="21"/>
                    </w:rPr>
                    <w:t>高度：15</w:t>
                  </w:r>
                </w:p>
              </w:tc>
            </w:tr>
            <w:tr w14:paraId="14F7D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36" w:type="pct"/>
                  <w:vMerge w:val="continue"/>
                  <w:vAlign w:val="center"/>
                </w:tcPr>
                <w:p w14:paraId="67F69EF3">
                  <w:pPr>
                    <w:wordWrap w:val="0"/>
                    <w:spacing w:line="276" w:lineRule="auto"/>
                    <w:jc w:val="center"/>
                    <w:rPr>
                      <w:szCs w:val="21"/>
                    </w:rPr>
                  </w:pPr>
                </w:p>
              </w:tc>
              <w:tc>
                <w:tcPr>
                  <w:tcW w:w="158" w:type="pct"/>
                  <w:vAlign w:val="center"/>
                </w:tcPr>
                <w:p w14:paraId="0F7A019B">
                  <w:pPr>
                    <w:wordWrap w:val="0"/>
                    <w:spacing w:line="276" w:lineRule="auto"/>
                    <w:jc w:val="center"/>
                    <w:rPr>
                      <w:szCs w:val="21"/>
                    </w:rPr>
                  </w:pPr>
                  <w:r>
                    <w:rPr>
                      <w:rFonts w:hint="eastAsia"/>
                      <w:szCs w:val="21"/>
                    </w:rPr>
                    <w:t>S</w:t>
                  </w:r>
                  <w:r>
                    <w:rPr>
                      <w:szCs w:val="21"/>
                    </w:rPr>
                    <w:t>O</w:t>
                  </w:r>
                  <w:r>
                    <w:rPr>
                      <w:szCs w:val="21"/>
                      <w:vertAlign w:val="subscript"/>
                    </w:rPr>
                    <w:t>2</w:t>
                  </w:r>
                </w:p>
              </w:tc>
              <w:tc>
                <w:tcPr>
                  <w:tcW w:w="158" w:type="pct"/>
                  <w:vMerge w:val="continue"/>
                  <w:vAlign w:val="center"/>
                </w:tcPr>
                <w:p w14:paraId="6380BC1D">
                  <w:pPr>
                    <w:wordWrap w:val="0"/>
                    <w:spacing w:line="276" w:lineRule="auto"/>
                    <w:jc w:val="center"/>
                    <w:rPr>
                      <w:szCs w:val="21"/>
                    </w:rPr>
                  </w:pPr>
                </w:p>
              </w:tc>
              <w:tc>
                <w:tcPr>
                  <w:tcW w:w="158" w:type="pct"/>
                  <w:vAlign w:val="center"/>
                </w:tcPr>
                <w:p w14:paraId="24990A44">
                  <w:pPr>
                    <w:wordWrap w:val="0"/>
                    <w:spacing w:line="276" w:lineRule="auto"/>
                    <w:jc w:val="center"/>
                    <w:rPr>
                      <w:szCs w:val="21"/>
                    </w:rPr>
                  </w:pPr>
                  <w:r>
                    <w:rPr>
                      <w:rFonts w:hint="eastAsia"/>
                      <w:szCs w:val="21"/>
                    </w:rPr>
                    <w:t>4</w:t>
                  </w:r>
                  <w:r>
                    <w:rPr>
                      <w:szCs w:val="21"/>
                    </w:rPr>
                    <w:t>.</w:t>
                  </w:r>
                  <w:r>
                    <w:rPr>
                      <w:rFonts w:hint="eastAsia"/>
                      <w:szCs w:val="21"/>
                    </w:rPr>
                    <w:t>3</w:t>
                  </w:r>
                  <m:oMath>
                    <m:r>
                      <m:rPr/>
                      <w:rPr>
                        <w:rFonts w:ascii="Cambria Math" w:hAnsi="Cambria Math"/>
                        <w:szCs w:val="21"/>
                      </w:rPr>
                      <m:t>×</m:t>
                    </m:r>
                  </m:oMath>
                  <w:r>
                    <w:rPr>
                      <w:rFonts w:hint="eastAsia"/>
                      <w:szCs w:val="21"/>
                    </w:rPr>
                    <w:t>1</w:t>
                  </w:r>
                  <w:r>
                    <w:rPr>
                      <w:szCs w:val="21"/>
                    </w:rPr>
                    <w:t>0</w:t>
                  </w:r>
                  <w:r>
                    <w:rPr>
                      <w:szCs w:val="21"/>
                      <w:vertAlign w:val="superscript"/>
                    </w:rPr>
                    <w:t>-8</w:t>
                  </w:r>
                </w:p>
              </w:tc>
              <w:tc>
                <w:tcPr>
                  <w:tcW w:w="158" w:type="pct"/>
                  <w:vAlign w:val="center"/>
                </w:tcPr>
                <w:p w14:paraId="092F2032">
                  <w:pPr>
                    <w:wordWrap w:val="0"/>
                    <w:spacing w:line="276" w:lineRule="auto"/>
                    <w:jc w:val="center"/>
                    <w:rPr>
                      <w:szCs w:val="21"/>
                    </w:rPr>
                  </w:pPr>
                  <w:r>
                    <w:rPr>
                      <w:szCs w:val="21"/>
                    </w:rPr>
                    <w:t>1.3</w:t>
                  </w:r>
                  <m:oMath>
                    <m:r>
                      <m:rPr/>
                      <w:rPr>
                        <w:rFonts w:ascii="Cambria Math" w:hAnsi="Cambria Math"/>
                        <w:szCs w:val="21"/>
                      </w:rPr>
                      <m:t>×</m:t>
                    </m:r>
                  </m:oMath>
                  <w:r>
                    <w:rPr>
                      <w:rFonts w:hint="eastAsia"/>
                      <w:szCs w:val="21"/>
                    </w:rPr>
                    <w:t>1</w:t>
                  </w:r>
                  <w:r>
                    <w:rPr>
                      <w:szCs w:val="21"/>
                    </w:rPr>
                    <w:t>0</w:t>
                  </w:r>
                  <w:r>
                    <w:rPr>
                      <w:szCs w:val="21"/>
                      <w:vertAlign w:val="superscript"/>
                    </w:rPr>
                    <w:t>-7</w:t>
                  </w:r>
                </w:p>
              </w:tc>
              <w:tc>
                <w:tcPr>
                  <w:tcW w:w="280" w:type="pct"/>
                  <w:vAlign w:val="center"/>
                </w:tcPr>
                <w:p w14:paraId="282B882F">
                  <w:pPr>
                    <w:wordWrap w:val="0"/>
                    <w:spacing w:line="276" w:lineRule="auto"/>
                    <w:jc w:val="center"/>
                    <w:rPr>
                      <w:szCs w:val="21"/>
                    </w:rPr>
                  </w:pPr>
                  <w:r>
                    <w:rPr>
                      <w:rFonts w:hint="eastAsia"/>
                      <w:szCs w:val="21"/>
                    </w:rPr>
                    <w:t>3</w:t>
                  </w:r>
                  <w:r>
                    <w:rPr>
                      <w:szCs w:val="21"/>
                    </w:rPr>
                    <w:t>000</w:t>
                  </w:r>
                </w:p>
              </w:tc>
              <w:tc>
                <w:tcPr>
                  <w:tcW w:w="158" w:type="pct"/>
                  <w:vMerge w:val="continue"/>
                  <w:vAlign w:val="center"/>
                </w:tcPr>
                <w:p w14:paraId="06186695">
                  <w:pPr>
                    <w:wordWrap w:val="0"/>
                    <w:spacing w:line="276" w:lineRule="auto"/>
                    <w:jc w:val="center"/>
                    <w:rPr>
                      <w:szCs w:val="21"/>
                    </w:rPr>
                  </w:pPr>
                </w:p>
              </w:tc>
              <w:tc>
                <w:tcPr>
                  <w:tcW w:w="450" w:type="pct"/>
                  <w:vMerge w:val="continue"/>
                  <w:vAlign w:val="center"/>
                </w:tcPr>
                <w:p w14:paraId="5B4784FA">
                  <w:pPr>
                    <w:widowControl/>
                    <w:spacing w:line="276" w:lineRule="auto"/>
                    <w:jc w:val="center"/>
                    <w:rPr>
                      <w:szCs w:val="21"/>
                    </w:rPr>
                  </w:pPr>
                </w:p>
              </w:tc>
              <w:tc>
                <w:tcPr>
                  <w:tcW w:w="184" w:type="pct"/>
                  <w:vAlign w:val="center"/>
                </w:tcPr>
                <w:p w14:paraId="6CCF0F16">
                  <w:pPr>
                    <w:wordWrap w:val="0"/>
                    <w:spacing w:line="276" w:lineRule="auto"/>
                    <w:jc w:val="center"/>
                    <w:rPr>
                      <w:szCs w:val="21"/>
                    </w:rPr>
                  </w:pPr>
                  <w:r>
                    <w:rPr>
                      <w:szCs w:val="21"/>
                    </w:rPr>
                    <w:t>90%</w:t>
                  </w:r>
                </w:p>
              </w:tc>
              <w:tc>
                <w:tcPr>
                  <w:tcW w:w="184" w:type="pct"/>
                  <w:vAlign w:val="center"/>
                </w:tcPr>
                <w:p w14:paraId="50BA822F">
                  <w:pPr>
                    <w:wordWrap w:val="0"/>
                    <w:spacing w:line="276" w:lineRule="auto"/>
                    <w:jc w:val="center"/>
                    <w:rPr>
                      <w:szCs w:val="21"/>
                    </w:rPr>
                  </w:pPr>
                  <w:r>
                    <w:rPr>
                      <w:rFonts w:hint="eastAsia"/>
                      <w:szCs w:val="21"/>
                    </w:rPr>
                    <w:t>/</w:t>
                  </w:r>
                </w:p>
              </w:tc>
              <w:tc>
                <w:tcPr>
                  <w:tcW w:w="385" w:type="pct"/>
                  <w:vAlign w:val="center"/>
                </w:tcPr>
                <w:p w14:paraId="025637B9">
                  <w:pPr>
                    <w:widowControl/>
                    <w:spacing w:line="276" w:lineRule="auto"/>
                    <w:jc w:val="center"/>
                    <w:rPr>
                      <w:szCs w:val="21"/>
                    </w:rPr>
                  </w:pPr>
                  <w:r>
                    <w:rPr>
                      <w:rFonts w:hint="eastAsia"/>
                      <w:szCs w:val="21"/>
                    </w:rPr>
                    <w:t>6.0</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6</w:t>
                  </w:r>
                </w:p>
              </w:tc>
              <w:tc>
                <w:tcPr>
                  <w:tcW w:w="576" w:type="pct"/>
                  <w:vAlign w:val="center"/>
                </w:tcPr>
                <w:p w14:paraId="3C4DE7CE">
                  <w:pPr>
                    <w:widowControl/>
                    <w:spacing w:line="276" w:lineRule="auto"/>
                    <w:jc w:val="center"/>
                    <w:rPr>
                      <w:szCs w:val="21"/>
                    </w:rPr>
                  </w:pPr>
                  <w:r>
                    <w:rPr>
                      <w:rFonts w:hint="eastAsia"/>
                      <w:szCs w:val="21"/>
                    </w:rPr>
                    <w:t>3.9</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8</w:t>
                  </w:r>
                </w:p>
              </w:tc>
              <w:tc>
                <w:tcPr>
                  <w:tcW w:w="0" w:type="auto"/>
                  <w:vAlign w:val="center"/>
                </w:tcPr>
                <w:p w14:paraId="72D1200D">
                  <w:pPr>
                    <w:widowControl/>
                    <w:spacing w:line="276" w:lineRule="auto"/>
                    <w:jc w:val="center"/>
                    <w:rPr>
                      <w:szCs w:val="21"/>
                    </w:rPr>
                  </w:pPr>
                  <w:r>
                    <w:rPr>
                      <w:szCs w:val="21"/>
                    </w:rPr>
                    <w:t>1.</w:t>
                  </w:r>
                  <w:r>
                    <w:rPr>
                      <w:rFonts w:hint="eastAsia"/>
                      <w:szCs w:val="21"/>
                    </w:rPr>
                    <w:t>17</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7</w:t>
                  </w:r>
                </w:p>
              </w:tc>
              <w:tc>
                <w:tcPr>
                  <w:tcW w:w="0" w:type="auto"/>
                  <w:vAlign w:val="center"/>
                </w:tcPr>
                <w:p w14:paraId="7D215FC9">
                  <w:pPr>
                    <w:spacing w:line="276" w:lineRule="auto"/>
                    <w:jc w:val="center"/>
                    <w:rPr>
                      <w:szCs w:val="21"/>
                    </w:rPr>
                  </w:pPr>
                  <w:r>
                    <w:rPr>
                      <w:szCs w:val="21"/>
                    </w:rPr>
                    <w:t>0.936</w:t>
                  </w:r>
                </w:p>
              </w:tc>
              <w:tc>
                <w:tcPr>
                  <w:tcW w:w="0" w:type="auto"/>
                  <w:vAlign w:val="center"/>
                </w:tcPr>
                <w:p w14:paraId="0B71AAEA">
                  <w:pPr>
                    <w:spacing w:line="276" w:lineRule="auto"/>
                    <w:jc w:val="center"/>
                    <w:rPr>
                      <w:szCs w:val="21"/>
                    </w:rPr>
                  </w:pPr>
                  <w:r>
                    <w:rPr>
                      <w:rFonts w:hint="eastAsia"/>
                      <w:szCs w:val="21"/>
                    </w:rPr>
                    <w:t>1</w:t>
                  </w:r>
                  <w:r>
                    <w:rPr>
                      <w:szCs w:val="21"/>
                    </w:rPr>
                    <w:t>20</w:t>
                  </w:r>
                </w:p>
              </w:tc>
              <w:tc>
                <w:tcPr>
                  <w:tcW w:w="590" w:type="pct"/>
                  <w:vMerge w:val="continue"/>
                  <w:vAlign w:val="center"/>
                </w:tcPr>
                <w:p w14:paraId="5B76825C">
                  <w:pPr>
                    <w:spacing w:line="276" w:lineRule="auto"/>
                    <w:jc w:val="center"/>
                    <w:rPr>
                      <w:szCs w:val="21"/>
                    </w:rPr>
                  </w:pPr>
                </w:p>
              </w:tc>
              <w:tc>
                <w:tcPr>
                  <w:tcW w:w="481" w:type="pct"/>
                  <w:gridSpan w:val="3"/>
                  <w:vMerge w:val="continue"/>
                  <w:vAlign w:val="center"/>
                </w:tcPr>
                <w:p w14:paraId="1B87E79D">
                  <w:pPr>
                    <w:spacing w:line="276" w:lineRule="auto"/>
                    <w:jc w:val="center"/>
                    <w:rPr>
                      <w:szCs w:val="21"/>
                    </w:rPr>
                  </w:pPr>
                </w:p>
              </w:tc>
            </w:tr>
            <w:tr w14:paraId="32E37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36" w:type="pct"/>
                  <w:vMerge w:val="continue"/>
                  <w:vAlign w:val="center"/>
                </w:tcPr>
                <w:p w14:paraId="2814033F">
                  <w:pPr>
                    <w:wordWrap w:val="0"/>
                    <w:spacing w:line="276" w:lineRule="auto"/>
                    <w:jc w:val="center"/>
                    <w:rPr>
                      <w:szCs w:val="21"/>
                    </w:rPr>
                  </w:pPr>
                </w:p>
              </w:tc>
              <w:tc>
                <w:tcPr>
                  <w:tcW w:w="158" w:type="pct"/>
                  <w:vAlign w:val="center"/>
                </w:tcPr>
                <w:p w14:paraId="5E42C31C">
                  <w:pPr>
                    <w:wordWrap w:val="0"/>
                    <w:spacing w:line="276" w:lineRule="auto"/>
                    <w:jc w:val="center"/>
                    <w:rPr>
                      <w:szCs w:val="21"/>
                    </w:rPr>
                  </w:pPr>
                  <w:r>
                    <w:rPr>
                      <w:rFonts w:hint="eastAsia"/>
                      <w:szCs w:val="21"/>
                    </w:rPr>
                    <w:t>N</w:t>
                  </w:r>
                  <w:r>
                    <w:rPr>
                      <w:szCs w:val="21"/>
                    </w:rPr>
                    <w:t>O</w:t>
                  </w:r>
                  <w:r>
                    <w:rPr>
                      <w:szCs w:val="21"/>
                      <w:vertAlign w:val="subscript"/>
                    </w:rPr>
                    <w:t>2</w:t>
                  </w:r>
                </w:p>
              </w:tc>
              <w:tc>
                <w:tcPr>
                  <w:tcW w:w="158" w:type="pct"/>
                  <w:vMerge w:val="continue"/>
                  <w:vAlign w:val="center"/>
                </w:tcPr>
                <w:p w14:paraId="1A956B20">
                  <w:pPr>
                    <w:wordWrap w:val="0"/>
                    <w:spacing w:line="276" w:lineRule="auto"/>
                    <w:jc w:val="center"/>
                    <w:rPr>
                      <w:szCs w:val="21"/>
                    </w:rPr>
                  </w:pPr>
                </w:p>
              </w:tc>
              <w:tc>
                <w:tcPr>
                  <w:tcW w:w="158" w:type="pct"/>
                  <w:vAlign w:val="center"/>
                </w:tcPr>
                <w:p w14:paraId="57E63824">
                  <w:pPr>
                    <w:wordWrap w:val="0"/>
                    <w:spacing w:line="276" w:lineRule="auto"/>
                    <w:jc w:val="center"/>
                    <w:rPr>
                      <w:szCs w:val="21"/>
                    </w:rPr>
                  </w:pPr>
                  <w:r>
                    <w:rPr>
                      <w:rFonts w:hint="eastAsia"/>
                      <w:szCs w:val="21"/>
                    </w:rPr>
                    <w:t>0.001</w:t>
                  </w:r>
                </w:p>
              </w:tc>
              <w:tc>
                <w:tcPr>
                  <w:tcW w:w="158" w:type="pct"/>
                  <w:vAlign w:val="center"/>
                </w:tcPr>
                <w:p w14:paraId="4A45BAC1">
                  <w:pPr>
                    <w:wordWrap w:val="0"/>
                    <w:spacing w:line="276" w:lineRule="auto"/>
                    <w:jc w:val="center"/>
                    <w:rPr>
                      <w:szCs w:val="21"/>
                    </w:rPr>
                  </w:pPr>
                  <w:r>
                    <w:rPr>
                      <w:rFonts w:hint="eastAsia"/>
                      <w:szCs w:val="21"/>
                    </w:rPr>
                    <w:t>0</w:t>
                  </w:r>
                  <w:r>
                    <w:rPr>
                      <w:szCs w:val="21"/>
                    </w:rPr>
                    <w:t>.0003</w:t>
                  </w:r>
                </w:p>
              </w:tc>
              <w:tc>
                <w:tcPr>
                  <w:tcW w:w="280" w:type="pct"/>
                  <w:vAlign w:val="center"/>
                </w:tcPr>
                <w:p w14:paraId="361FC4C6">
                  <w:pPr>
                    <w:wordWrap w:val="0"/>
                    <w:spacing w:line="276" w:lineRule="auto"/>
                    <w:jc w:val="center"/>
                    <w:rPr>
                      <w:szCs w:val="21"/>
                    </w:rPr>
                  </w:pPr>
                  <w:r>
                    <w:rPr>
                      <w:rFonts w:hint="eastAsia"/>
                      <w:szCs w:val="21"/>
                    </w:rPr>
                    <w:t>3</w:t>
                  </w:r>
                  <w:r>
                    <w:rPr>
                      <w:szCs w:val="21"/>
                    </w:rPr>
                    <w:t>000</w:t>
                  </w:r>
                </w:p>
              </w:tc>
              <w:tc>
                <w:tcPr>
                  <w:tcW w:w="158" w:type="pct"/>
                  <w:vMerge w:val="continue"/>
                  <w:vAlign w:val="center"/>
                </w:tcPr>
                <w:p w14:paraId="1A23DAA4">
                  <w:pPr>
                    <w:wordWrap w:val="0"/>
                    <w:spacing w:line="276" w:lineRule="auto"/>
                    <w:jc w:val="center"/>
                    <w:rPr>
                      <w:szCs w:val="21"/>
                    </w:rPr>
                  </w:pPr>
                </w:p>
              </w:tc>
              <w:tc>
                <w:tcPr>
                  <w:tcW w:w="450" w:type="pct"/>
                  <w:vMerge w:val="continue"/>
                  <w:vAlign w:val="center"/>
                </w:tcPr>
                <w:p w14:paraId="1A3C2D04">
                  <w:pPr>
                    <w:widowControl/>
                    <w:spacing w:line="276" w:lineRule="auto"/>
                    <w:jc w:val="center"/>
                    <w:rPr>
                      <w:szCs w:val="21"/>
                    </w:rPr>
                  </w:pPr>
                </w:p>
              </w:tc>
              <w:tc>
                <w:tcPr>
                  <w:tcW w:w="184" w:type="pct"/>
                  <w:vAlign w:val="center"/>
                </w:tcPr>
                <w:p w14:paraId="5E78BAA4">
                  <w:pPr>
                    <w:wordWrap w:val="0"/>
                    <w:spacing w:line="276" w:lineRule="auto"/>
                    <w:jc w:val="center"/>
                    <w:rPr>
                      <w:szCs w:val="21"/>
                    </w:rPr>
                  </w:pPr>
                  <w:r>
                    <w:rPr>
                      <w:szCs w:val="21"/>
                    </w:rPr>
                    <w:t>90%</w:t>
                  </w:r>
                </w:p>
              </w:tc>
              <w:tc>
                <w:tcPr>
                  <w:tcW w:w="184" w:type="pct"/>
                  <w:vAlign w:val="center"/>
                </w:tcPr>
                <w:p w14:paraId="06C35E0D">
                  <w:pPr>
                    <w:wordWrap w:val="0"/>
                    <w:spacing w:line="276" w:lineRule="auto"/>
                    <w:jc w:val="center"/>
                    <w:rPr>
                      <w:szCs w:val="21"/>
                    </w:rPr>
                  </w:pPr>
                  <w:r>
                    <w:rPr>
                      <w:rFonts w:hint="eastAsia"/>
                      <w:szCs w:val="21"/>
                    </w:rPr>
                    <w:t>/</w:t>
                  </w:r>
                </w:p>
              </w:tc>
              <w:tc>
                <w:tcPr>
                  <w:tcW w:w="385" w:type="pct"/>
                  <w:vAlign w:val="center"/>
                </w:tcPr>
                <w:p w14:paraId="5905FBCD">
                  <w:pPr>
                    <w:widowControl/>
                    <w:spacing w:line="276" w:lineRule="auto"/>
                    <w:jc w:val="center"/>
                    <w:rPr>
                      <w:szCs w:val="21"/>
                    </w:rPr>
                  </w:pPr>
                  <w:r>
                    <w:rPr>
                      <w:rFonts w:hint="eastAsia"/>
                      <w:szCs w:val="21"/>
                    </w:rPr>
                    <w:t>0.0138</w:t>
                  </w:r>
                </w:p>
              </w:tc>
              <w:tc>
                <w:tcPr>
                  <w:tcW w:w="576" w:type="pct"/>
                  <w:vAlign w:val="center"/>
                </w:tcPr>
                <w:p w14:paraId="3C256C88">
                  <w:pPr>
                    <w:widowControl/>
                    <w:spacing w:line="276" w:lineRule="auto"/>
                    <w:jc w:val="center"/>
                    <w:rPr>
                      <w:szCs w:val="21"/>
                    </w:rPr>
                  </w:pPr>
                  <w:r>
                    <w:rPr>
                      <w:rFonts w:hint="eastAsia"/>
                      <w:szCs w:val="21"/>
                    </w:rPr>
                    <w:t>9.0</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5</w:t>
                  </w:r>
                </w:p>
              </w:tc>
              <w:tc>
                <w:tcPr>
                  <w:tcW w:w="0" w:type="auto"/>
                  <w:vAlign w:val="center"/>
                </w:tcPr>
                <w:p w14:paraId="083EF242">
                  <w:pPr>
                    <w:widowControl/>
                    <w:spacing w:line="276" w:lineRule="auto"/>
                    <w:jc w:val="center"/>
                    <w:rPr>
                      <w:szCs w:val="21"/>
                    </w:rPr>
                  </w:pPr>
                  <w:r>
                    <w:rPr>
                      <w:rFonts w:hint="eastAsia"/>
                      <w:szCs w:val="21"/>
                    </w:rPr>
                    <w:t>2</w:t>
                  </w:r>
                  <w:r>
                    <w:rPr>
                      <w:szCs w:val="21"/>
                    </w:rPr>
                    <w:t>.7</w:t>
                  </w:r>
                  <m:oMath>
                    <m:r>
                      <m:rPr/>
                      <w:rPr>
                        <w:rFonts w:ascii="Cambria Math" w:hAnsi="Cambria Math"/>
                        <w:szCs w:val="21"/>
                      </w:rPr>
                      <m:t>×</m:t>
                    </m:r>
                  </m:oMath>
                  <w:r>
                    <w:rPr>
                      <w:rFonts w:hint="eastAsia"/>
                      <w:szCs w:val="21"/>
                    </w:rPr>
                    <w:t>1</w:t>
                  </w:r>
                  <w:r>
                    <w:rPr>
                      <w:szCs w:val="21"/>
                    </w:rPr>
                    <w:t>0</w:t>
                  </w:r>
                  <w:r>
                    <w:rPr>
                      <w:szCs w:val="21"/>
                      <w:vertAlign w:val="superscript"/>
                    </w:rPr>
                    <w:t>-</w:t>
                  </w:r>
                  <w:r>
                    <w:rPr>
                      <w:rFonts w:hint="eastAsia"/>
                      <w:szCs w:val="21"/>
                      <w:vertAlign w:val="superscript"/>
                    </w:rPr>
                    <w:t>4</w:t>
                  </w:r>
                </w:p>
              </w:tc>
              <w:tc>
                <w:tcPr>
                  <w:tcW w:w="0" w:type="auto"/>
                  <w:vAlign w:val="center"/>
                </w:tcPr>
                <w:p w14:paraId="6578553A">
                  <w:pPr>
                    <w:spacing w:line="276" w:lineRule="auto"/>
                    <w:jc w:val="center"/>
                    <w:rPr>
                      <w:szCs w:val="21"/>
                    </w:rPr>
                  </w:pPr>
                  <w:r>
                    <w:rPr>
                      <w:rFonts w:hint="eastAsia"/>
                      <w:szCs w:val="21"/>
                    </w:rPr>
                    <w:t>0</w:t>
                  </w:r>
                  <w:r>
                    <w:rPr>
                      <w:szCs w:val="21"/>
                    </w:rPr>
                    <w:t>.277</w:t>
                  </w:r>
                </w:p>
              </w:tc>
              <w:tc>
                <w:tcPr>
                  <w:tcW w:w="0" w:type="auto"/>
                  <w:vAlign w:val="center"/>
                </w:tcPr>
                <w:p w14:paraId="682ADEA8">
                  <w:pPr>
                    <w:spacing w:line="276" w:lineRule="auto"/>
                    <w:jc w:val="center"/>
                    <w:rPr>
                      <w:szCs w:val="21"/>
                    </w:rPr>
                  </w:pPr>
                  <w:r>
                    <w:rPr>
                      <w:rFonts w:hint="eastAsia"/>
                      <w:szCs w:val="21"/>
                    </w:rPr>
                    <w:t>2</w:t>
                  </w:r>
                  <w:r>
                    <w:rPr>
                      <w:szCs w:val="21"/>
                    </w:rPr>
                    <w:t>40</w:t>
                  </w:r>
                </w:p>
              </w:tc>
              <w:tc>
                <w:tcPr>
                  <w:tcW w:w="590" w:type="pct"/>
                  <w:vMerge w:val="continue"/>
                  <w:vAlign w:val="center"/>
                </w:tcPr>
                <w:p w14:paraId="2A600BEC">
                  <w:pPr>
                    <w:spacing w:line="276" w:lineRule="auto"/>
                    <w:jc w:val="center"/>
                    <w:rPr>
                      <w:szCs w:val="21"/>
                    </w:rPr>
                  </w:pPr>
                </w:p>
              </w:tc>
              <w:tc>
                <w:tcPr>
                  <w:tcW w:w="481" w:type="pct"/>
                  <w:gridSpan w:val="3"/>
                  <w:vMerge w:val="continue"/>
                  <w:vAlign w:val="center"/>
                </w:tcPr>
                <w:p w14:paraId="52548F94">
                  <w:pPr>
                    <w:spacing w:line="276" w:lineRule="auto"/>
                    <w:jc w:val="center"/>
                    <w:rPr>
                      <w:szCs w:val="21"/>
                    </w:rPr>
                  </w:pPr>
                </w:p>
              </w:tc>
            </w:tr>
            <w:tr w14:paraId="22A5B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36" w:type="pct"/>
                  <w:vAlign w:val="center"/>
                </w:tcPr>
                <w:p w14:paraId="0EA66F23">
                  <w:pPr>
                    <w:wordWrap w:val="0"/>
                    <w:spacing w:line="276" w:lineRule="auto"/>
                    <w:jc w:val="center"/>
                    <w:rPr>
                      <w:szCs w:val="21"/>
                    </w:rPr>
                  </w:pPr>
                  <w:r>
                    <w:rPr>
                      <w:szCs w:val="21"/>
                    </w:rPr>
                    <w:t>组合管封口工序</w:t>
                  </w:r>
                </w:p>
              </w:tc>
              <w:tc>
                <w:tcPr>
                  <w:tcW w:w="158" w:type="pct"/>
                  <w:vAlign w:val="center"/>
                </w:tcPr>
                <w:p w14:paraId="3C03D1F6">
                  <w:pPr>
                    <w:wordWrap w:val="0"/>
                    <w:spacing w:line="276" w:lineRule="auto"/>
                    <w:jc w:val="center"/>
                    <w:rPr>
                      <w:szCs w:val="21"/>
                    </w:rPr>
                  </w:pPr>
                  <w:r>
                    <w:rPr>
                      <w:szCs w:val="21"/>
                    </w:rPr>
                    <w:t>非甲烷总烃</w:t>
                  </w:r>
                </w:p>
              </w:tc>
              <w:tc>
                <w:tcPr>
                  <w:tcW w:w="158" w:type="pct"/>
                  <w:vAlign w:val="center"/>
                </w:tcPr>
                <w:p w14:paraId="55C63616">
                  <w:pPr>
                    <w:wordWrap w:val="0"/>
                    <w:spacing w:line="276" w:lineRule="auto"/>
                    <w:jc w:val="center"/>
                    <w:rPr>
                      <w:szCs w:val="21"/>
                    </w:rPr>
                  </w:pPr>
                  <w:r>
                    <w:rPr>
                      <w:rFonts w:hint="eastAsia"/>
                      <w:szCs w:val="21"/>
                    </w:rPr>
                    <w:t>产污系数法</w:t>
                  </w:r>
                </w:p>
              </w:tc>
              <w:tc>
                <w:tcPr>
                  <w:tcW w:w="158" w:type="pct"/>
                  <w:vAlign w:val="center"/>
                </w:tcPr>
                <w:p w14:paraId="4CBFD1A6">
                  <w:pPr>
                    <w:wordWrap w:val="0"/>
                    <w:spacing w:line="276" w:lineRule="auto"/>
                    <w:jc w:val="center"/>
                    <w:rPr>
                      <w:szCs w:val="21"/>
                    </w:rPr>
                  </w:pPr>
                  <w:r>
                    <w:rPr>
                      <w:rFonts w:hint="eastAsia"/>
                      <w:szCs w:val="21"/>
                    </w:rPr>
                    <w:t>0.003</w:t>
                  </w:r>
                </w:p>
              </w:tc>
              <w:tc>
                <w:tcPr>
                  <w:tcW w:w="158" w:type="pct"/>
                  <w:vAlign w:val="center"/>
                </w:tcPr>
                <w:p w14:paraId="7B29037F">
                  <w:pPr>
                    <w:wordWrap w:val="0"/>
                    <w:spacing w:line="276" w:lineRule="auto"/>
                    <w:jc w:val="center"/>
                    <w:rPr>
                      <w:szCs w:val="21"/>
                    </w:rPr>
                  </w:pPr>
                  <w:r>
                    <w:rPr>
                      <w:rFonts w:hint="eastAsia"/>
                      <w:szCs w:val="21"/>
                    </w:rPr>
                    <w:t>0.0089</w:t>
                  </w:r>
                </w:p>
              </w:tc>
              <w:tc>
                <w:tcPr>
                  <w:tcW w:w="280" w:type="pct"/>
                  <w:vAlign w:val="center"/>
                </w:tcPr>
                <w:p w14:paraId="1411B20E">
                  <w:pPr>
                    <w:wordWrap w:val="0"/>
                    <w:spacing w:line="276" w:lineRule="auto"/>
                    <w:jc w:val="center"/>
                    <w:rPr>
                      <w:szCs w:val="21"/>
                    </w:rPr>
                  </w:pPr>
                  <w:r>
                    <w:rPr>
                      <w:szCs w:val="21"/>
                    </w:rPr>
                    <w:t>30</w:t>
                  </w:r>
                  <w:r>
                    <w:rPr>
                      <w:rFonts w:hint="eastAsia"/>
                      <w:szCs w:val="21"/>
                    </w:rPr>
                    <w:t>00</w:t>
                  </w:r>
                </w:p>
              </w:tc>
              <w:tc>
                <w:tcPr>
                  <w:tcW w:w="158" w:type="pct"/>
                  <w:vAlign w:val="center"/>
                </w:tcPr>
                <w:p w14:paraId="61334607">
                  <w:pPr>
                    <w:wordWrap w:val="0"/>
                    <w:spacing w:line="276" w:lineRule="auto"/>
                    <w:jc w:val="center"/>
                    <w:rPr>
                      <w:szCs w:val="21"/>
                    </w:rPr>
                  </w:pPr>
                  <w:r>
                    <w:rPr>
                      <w:rFonts w:hint="eastAsia"/>
                      <w:szCs w:val="21"/>
                    </w:rPr>
                    <w:t>集气罩</w:t>
                  </w:r>
                </w:p>
              </w:tc>
              <w:tc>
                <w:tcPr>
                  <w:tcW w:w="450" w:type="pct"/>
                  <w:vMerge w:val="restart"/>
                  <w:vAlign w:val="center"/>
                </w:tcPr>
                <w:p w14:paraId="41CF781E">
                  <w:pPr>
                    <w:widowControl/>
                    <w:spacing w:line="276" w:lineRule="auto"/>
                    <w:jc w:val="center"/>
                    <w:rPr>
                      <w:szCs w:val="21"/>
                    </w:rPr>
                  </w:pPr>
                  <w:r>
                    <w:rPr>
                      <w:szCs w:val="21"/>
                    </w:rPr>
                    <w:t>经</w:t>
                  </w:r>
                  <w:r>
                    <w:rPr>
                      <w:rFonts w:hint="eastAsia"/>
                      <w:szCs w:val="21"/>
                    </w:rPr>
                    <w:t>二</w:t>
                  </w:r>
                  <w:r>
                    <w:rPr>
                      <w:szCs w:val="21"/>
                    </w:rPr>
                    <w:t>级活性炭吸附装置</w:t>
                  </w:r>
                  <w:r>
                    <w:rPr>
                      <w:rFonts w:hint="eastAsia"/>
                      <w:szCs w:val="21"/>
                    </w:rPr>
                    <w:t>（TA001）</w:t>
                  </w:r>
                  <w:r>
                    <w:rPr>
                      <w:szCs w:val="21"/>
                    </w:rPr>
                    <w:t>处理后排放</w:t>
                  </w:r>
                </w:p>
              </w:tc>
              <w:tc>
                <w:tcPr>
                  <w:tcW w:w="184" w:type="pct"/>
                  <w:vAlign w:val="center"/>
                </w:tcPr>
                <w:p w14:paraId="462A9F6A">
                  <w:pPr>
                    <w:wordWrap w:val="0"/>
                    <w:spacing w:line="276" w:lineRule="auto"/>
                    <w:jc w:val="center"/>
                    <w:rPr>
                      <w:szCs w:val="21"/>
                    </w:rPr>
                  </w:pPr>
                  <w:r>
                    <w:rPr>
                      <w:szCs w:val="21"/>
                    </w:rPr>
                    <w:t>90%</w:t>
                  </w:r>
                </w:p>
              </w:tc>
              <w:tc>
                <w:tcPr>
                  <w:tcW w:w="184" w:type="pct"/>
                  <w:vAlign w:val="center"/>
                </w:tcPr>
                <w:p w14:paraId="2A72D348">
                  <w:pPr>
                    <w:wordWrap w:val="0"/>
                    <w:spacing w:line="276" w:lineRule="auto"/>
                    <w:jc w:val="center"/>
                    <w:rPr>
                      <w:szCs w:val="21"/>
                    </w:rPr>
                  </w:pPr>
                  <w:r>
                    <w:rPr>
                      <w:rFonts w:hint="eastAsia"/>
                      <w:szCs w:val="21"/>
                    </w:rPr>
                    <w:t>90</w:t>
                  </w:r>
                  <w:r>
                    <w:rPr>
                      <w:szCs w:val="21"/>
                    </w:rPr>
                    <w:t>%</w:t>
                  </w:r>
                </w:p>
              </w:tc>
              <w:tc>
                <w:tcPr>
                  <w:tcW w:w="385" w:type="pct"/>
                  <w:vMerge w:val="restart"/>
                  <w:vAlign w:val="center"/>
                </w:tcPr>
                <w:p w14:paraId="27B9BD10">
                  <w:pPr>
                    <w:spacing w:line="276" w:lineRule="auto"/>
                    <w:jc w:val="center"/>
                    <w:rPr>
                      <w:szCs w:val="21"/>
                    </w:rPr>
                  </w:pPr>
                  <w:r>
                    <w:rPr>
                      <w:rFonts w:hint="eastAsia"/>
                      <w:szCs w:val="21"/>
                    </w:rPr>
                    <w:t>1.22</w:t>
                  </w:r>
                </w:p>
              </w:tc>
              <w:tc>
                <w:tcPr>
                  <w:tcW w:w="576" w:type="pct"/>
                  <w:vMerge w:val="restart"/>
                  <w:vAlign w:val="center"/>
                </w:tcPr>
                <w:p w14:paraId="4FEED4ED">
                  <w:pPr>
                    <w:spacing w:line="276" w:lineRule="auto"/>
                    <w:jc w:val="center"/>
                    <w:rPr>
                      <w:szCs w:val="21"/>
                    </w:rPr>
                  </w:pPr>
                  <w:r>
                    <w:rPr>
                      <w:rFonts w:hint="eastAsia"/>
                      <w:szCs w:val="21"/>
                    </w:rPr>
                    <w:t>0.011</w:t>
                  </w:r>
                </w:p>
              </w:tc>
              <w:tc>
                <w:tcPr>
                  <w:tcW w:w="0" w:type="auto"/>
                  <w:vMerge w:val="restart"/>
                  <w:vAlign w:val="center"/>
                </w:tcPr>
                <w:p w14:paraId="551A695F">
                  <w:pPr>
                    <w:spacing w:line="276" w:lineRule="auto"/>
                    <w:jc w:val="center"/>
                    <w:rPr>
                      <w:szCs w:val="21"/>
                    </w:rPr>
                  </w:pPr>
                  <w:r>
                    <w:rPr>
                      <w:rFonts w:hint="eastAsia"/>
                      <w:szCs w:val="21"/>
                    </w:rPr>
                    <w:t>0.033</w:t>
                  </w:r>
                </w:p>
              </w:tc>
              <w:tc>
                <w:tcPr>
                  <w:tcW w:w="0" w:type="auto"/>
                  <w:vMerge w:val="restart"/>
                  <w:vAlign w:val="center"/>
                </w:tcPr>
                <w:p w14:paraId="0C35F444">
                  <w:pPr>
                    <w:widowControl/>
                    <w:spacing w:line="276" w:lineRule="auto"/>
                    <w:jc w:val="center"/>
                    <w:rPr>
                      <w:szCs w:val="21"/>
                    </w:rPr>
                  </w:pPr>
                  <w:r>
                    <w:rPr>
                      <w:rFonts w:hint="eastAsia"/>
                      <w:szCs w:val="21"/>
                    </w:rPr>
                    <w:t>3</w:t>
                  </w:r>
                  <w:r>
                    <w:rPr>
                      <w:szCs w:val="21"/>
                    </w:rPr>
                    <w:t>.6</w:t>
                  </w:r>
                </w:p>
              </w:tc>
              <w:tc>
                <w:tcPr>
                  <w:tcW w:w="0" w:type="auto"/>
                  <w:vMerge w:val="restart"/>
                  <w:vAlign w:val="center"/>
                </w:tcPr>
                <w:p w14:paraId="7268854F">
                  <w:pPr>
                    <w:widowControl/>
                    <w:spacing w:line="276" w:lineRule="auto"/>
                    <w:jc w:val="center"/>
                    <w:rPr>
                      <w:szCs w:val="21"/>
                    </w:rPr>
                  </w:pPr>
                  <w:r>
                    <w:rPr>
                      <w:rFonts w:hint="eastAsia"/>
                      <w:szCs w:val="21"/>
                    </w:rPr>
                    <w:t>6</w:t>
                  </w:r>
                  <w:r>
                    <w:rPr>
                      <w:szCs w:val="21"/>
                    </w:rPr>
                    <w:t>0</w:t>
                  </w:r>
                </w:p>
              </w:tc>
              <w:tc>
                <w:tcPr>
                  <w:tcW w:w="590" w:type="pct"/>
                  <w:vMerge w:val="restart"/>
                  <w:vAlign w:val="center"/>
                </w:tcPr>
                <w:p w14:paraId="1B43A3D5">
                  <w:pPr>
                    <w:widowControl/>
                    <w:spacing w:line="276" w:lineRule="auto"/>
                    <w:jc w:val="center"/>
                    <w:rPr>
                      <w:szCs w:val="21"/>
                    </w:rPr>
                  </w:pPr>
                  <w:r>
                    <w:rPr>
                      <w:rFonts w:hint="eastAsia"/>
                      <w:szCs w:val="21"/>
                    </w:rPr>
                    <w:t>9</w:t>
                  </w:r>
                  <w:r>
                    <w:rPr>
                      <w:szCs w:val="21"/>
                    </w:rPr>
                    <w:t>000</w:t>
                  </w:r>
                </w:p>
              </w:tc>
              <w:tc>
                <w:tcPr>
                  <w:tcW w:w="481" w:type="pct"/>
                  <w:gridSpan w:val="3"/>
                  <w:vMerge w:val="restart"/>
                  <w:vAlign w:val="center"/>
                </w:tcPr>
                <w:p w14:paraId="2601F27F">
                  <w:pPr>
                    <w:wordWrap w:val="0"/>
                    <w:spacing w:line="276" w:lineRule="auto"/>
                    <w:jc w:val="center"/>
                    <w:rPr>
                      <w:szCs w:val="21"/>
                    </w:rPr>
                  </w:pPr>
                  <w:r>
                    <w:rPr>
                      <w:rFonts w:hint="eastAsia"/>
                      <w:szCs w:val="21"/>
                    </w:rPr>
                    <w:t>编号：DA00</w:t>
                  </w:r>
                  <w:r>
                    <w:rPr>
                      <w:szCs w:val="21"/>
                    </w:rPr>
                    <w:t>2</w:t>
                  </w:r>
                </w:p>
                <w:p w14:paraId="21F73942">
                  <w:pPr>
                    <w:wordWrap w:val="0"/>
                    <w:spacing w:line="276" w:lineRule="auto"/>
                    <w:jc w:val="center"/>
                    <w:rPr>
                      <w:szCs w:val="21"/>
                    </w:rPr>
                  </w:pPr>
                  <w:r>
                    <w:rPr>
                      <w:rFonts w:hint="eastAsia"/>
                      <w:szCs w:val="21"/>
                    </w:rPr>
                    <w:t>内径：0.5</w:t>
                  </w:r>
                </w:p>
                <w:p w14:paraId="081F6E83">
                  <w:pPr>
                    <w:wordWrap w:val="0"/>
                    <w:spacing w:line="276" w:lineRule="auto"/>
                    <w:jc w:val="center"/>
                    <w:rPr>
                      <w:szCs w:val="21"/>
                    </w:rPr>
                  </w:pPr>
                  <w:r>
                    <w:rPr>
                      <w:szCs w:val="21"/>
                    </w:rPr>
                    <w:t>温度</w:t>
                  </w:r>
                  <w:r>
                    <w:rPr>
                      <w:rFonts w:hint="eastAsia"/>
                      <w:szCs w:val="21"/>
                    </w:rPr>
                    <w:t>：</w:t>
                  </w:r>
                  <w:r>
                    <w:rPr>
                      <w:szCs w:val="21"/>
                    </w:rPr>
                    <w:t>25</w:t>
                  </w:r>
                </w:p>
                <w:p w14:paraId="3E7C5153">
                  <w:pPr>
                    <w:widowControl/>
                    <w:spacing w:line="276" w:lineRule="auto"/>
                    <w:jc w:val="center"/>
                    <w:rPr>
                      <w:szCs w:val="21"/>
                    </w:rPr>
                  </w:pPr>
                  <w:r>
                    <w:rPr>
                      <w:rFonts w:hint="eastAsia"/>
                      <w:szCs w:val="21"/>
                    </w:rPr>
                    <w:t>高度：15</w:t>
                  </w:r>
                </w:p>
              </w:tc>
            </w:tr>
            <w:tr w14:paraId="4B4C3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36" w:type="pct"/>
                  <w:vAlign w:val="center"/>
                </w:tcPr>
                <w:p w14:paraId="3533907D">
                  <w:pPr>
                    <w:wordWrap w:val="0"/>
                    <w:spacing w:line="276" w:lineRule="auto"/>
                    <w:jc w:val="center"/>
                    <w:rPr>
                      <w:szCs w:val="21"/>
                    </w:rPr>
                  </w:pPr>
                  <w:r>
                    <w:rPr>
                      <w:szCs w:val="21"/>
                    </w:rPr>
                    <w:t>清洗工序</w:t>
                  </w:r>
                </w:p>
              </w:tc>
              <w:tc>
                <w:tcPr>
                  <w:tcW w:w="158" w:type="pct"/>
                  <w:vAlign w:val="center"/>
                </w:tcPr>
                <w:p w14:paraId="0BD4403F">
                  <w:pPr>
                    <w:wordWrap w:val="0"/>
                    <w:spacing w:line="276" w:lineRule="auto"/>
                    <w:jc w:val="center"/>
                    <w:rPr>
                      <w:szCs w:val="21"/>
                    </w:rPr>
                  </w:pPr>
                  <w:r>
                    <w:rPr>
                      <w:szCs w:val="21"/>
                    </w:rPr>
                    <w:t>非甲烷总烃</w:t>
                  </w:r>
                </w:p>
              </w:tc>
              <w:tc>
                <w:tcPr>
                  <w:tcW w:w="158" w:type="pct"/>
                  <w:vAlign w:val="center"/>
                </w:tcPr>
                <w:p w14:paraId="7417BA7D">
                  <w:pPr>
                    <w:wordWrap w:val="0"/>
                    <w:spacing w:line="276" w:lineRule="auto"/>
                    <w:jc w:val="center"/>
                    <w:rPr>
                      <w:szCs w:val="21"/>
                    </w:rPr>
                  </w:pPr>
                  <w:r>
                    <w:rPr>
                      <w:rFonts w:hint="eastAsia"/>
                      <w:szCs w:val="21"/>
                    </w:rPr>
                    <w:t>产污系数法</w:t>
                  </w:r>
                </w:p>
              </w:tc>
              <w:tc>
                <w:tcPr>
                  <w:tcW w:w="158" w:type="pct"/>
                  <w:vAlign w:val="center"/>
                </w:tcPr>
                <w:p w14:paraId="19A9E53A">
                  <w:pPr>
                    <w:wordWrap w:val="0"/>
                    <w:spacing w:line="276" w:lineRule="auto"/>
                    <w:jc w:val="center"/>
                    <w:rPr>
                      <w:szCs w:val="21"/>
                    </w:rPr>
                  </w:pPr>
                  <w:r>
                    <w:rPr>
                      <w:rFonts w:hint="eastAsia"/>
                      <w:szCs w:val="21"/>
                    </w:rPr>
                    <w:t>0</w:t>
                  </w:r>
                  <w:r>
                    <w:rPr>
                      <w:szCs w:val="21"/>
                    </w:rPr>
                    <w:t>.113</w:t>
                  </w:r>
                </w:p>
              </w:tc>
              <w:tc>
                <w:tcPr>
                  <w:tcW w:w="158" w:type="pct"/>
                  <w:vAlign w:val="center"/>
                </w:tcPr>
                <w:p w14:paraId="5B9E4763">
                  <w:pPr>
                    <w:wordWrap w:val="0"/>
                    <w:spacing w:line="276" w:lineRule="auto"/>
                    <w:jc w:val="center"/>
                    <w:rPr>
                      <w:szCs w:val="21"/>
                    </w:rPr>
                  </w:pPr>
                  <w:r>
                    <w:rPr>
                      <w:rFonts w:hint="eastAsia"/>
                      <w:szCs w:val="21"/>
                    </w:rPr>
                    <w:t>0</w:t>
                  </w:r>
                  <w:r>
                    <w:rPr>
                      <w:szCs w:val="21"/>
                    </w:rPr>
                    <w:t>.34</w:t>
                  </w:r>
                </w:p>
              </w:tc>
              <w:tc>
                <w:tcPr>
                  <w:tcW w:w="280" w:type="pct"/>
                  <w:vAlign w:val="center"/>
                </w:tcPr>
                <w:p w14:paraId="5BDFCD41">
                  <w:pPr>
                    <w:wordWrap w:val="0"/>
                    <w:spacing w:line="276" w:lineRule="auto"/>
                    <w:jc w:val="center"/>
                    <w:rPr>
                      <w:szCs w:val="21"/>
                    </w:rPr>
                  </w:pPr>
                  <w:r>
                    <w:rPr>
                      <w:szCs w:val="21"/>
                    </w:rPr>
                    <w:t>30</w:t>
                  </w:r>
                  <w:r>
                    <w:rPr>
                      <w:rFonts w:hint="eastAsia"/>
                      <w:szCs w:val="21"/>
                    </w:rPr>
                    <w:t>00</w:t>
                  </w:r>
                </w:p>
              </w:tc>
              <w:tc>
                <w:tcPr>
                  <w:tcW w:w="158" w:type="pct"/>
                  <w:vAlign w:val="center"/>
                </w:tcPr>
                <w:p w14:paraId="1CA3CFEB">
                  <w:pPr>
                    <w:wordWrap w:val="0"/>
                    <w:spacing w:line="276" w:lineRule="auto"/>
                    <w:jc w:val="center"/>
                    <w:rPr>
                      <w:szCs w:val="21"/>
                    </w:rPr>
                  </w:pPr>
                  <w:r>
                    <w:rPr>
                      <w:rFonts w:hint="eastAsia"/>
                      <w:szCs w:val="21"/>
                    </w:rPr>
                    <w:t>集气罩</w:t>
                  </w:r>
                </w:p>
              </w:tc>
              <w:tc>
                <w:tcPr>
                  <w:tcW w:w="450" w:type="pct"/>
                  <w:vMerge w:val="continue"/>
                  <w:vAlign w:val="center"/>
                </w:tcPr>
                <w:p w14:paraId="699242CD">
                  <w:pPr>
                    <w:spacing w:line="276" w:lineRule="auto"/>
                    <w:jc w:val="center"/>
                    <w:rPr>
                      <w:szCs w:val="21"/>
                    </w:rPr>
                  </w:pPr>
                </w:p>
              </w:tc>
              <w:tc>
                <w:tcPr>
                  <w:tcW w:w="184" w:type="pct"/>
                  <w:vAlign w:val="center"/>
                </w:tcPr>
                <w:p w14:paraId="3A644280">
                  <w:pPr>
                    <w:wordWrap w:val="0"/>
                    <w:spacing w:line="276" w:lineRule="auto"/>
                    <w:jc w:val="center"/>
                    <w:rPr>
                      <w:szCs w:val="21"/>
                    </w:rPr>
                  </w:pPr>
                  <w:r>
                    <w:rPr>
                      <w:rFonts w:hint="eastAsia"/>
                      <w:szCs w:val="21"/>
                    </w:rPr>
                    <w:t>9</w:t>
                  </w:r>
                  <w:r>
                    <w:rPr>
                      <w:szCs w:val="21"/>
                    </w:rPr>
                    <w:t>0%</w:t>
                  </w:r>
                </w:p>
              </w:tc>
              <w:tc>
                <w:tcPr>
                  <w:tcW w:w="184" w:type="pct"/>
                  <w:vAlign w:val="center"/>
                </w:tcPr>
                <w:p w14:paraId="04FCA4DA">
                  <w:pPr>
                    <w:wordWrap w:val="0"/>
                    <w:spacing w:line="276" w:lineRule="auto"/>
                    <w:jc w:val="center"/>
                    <w:rPr>
                      <w:szCs w:val="21"/>
                    </w:rPr>
                  </w:pPr>
                  <w:r>
                    <w:rPr>
                      <w:rFonts w:hint="eastAsia"/>
                      <w:szCs w:val="21"/>
                    </w:rPr>
                    <w:t>90</w:t>
                  </w:r>
                  <w:r>
                    <w:rPr>
                      <w:szCs w:val="21"/>
                    </w:rPr>
                    <w:t>%</w:t>
                  </w:r>
                </w:p>
              </w:tc>
              <w:tc>
                <w:tcPr>
                  <w:tcW w:w="579" w:type="pct"/>
                  <w:vMerge w:val="continue"/>
                  <w:vAlign w:val="center"/>
                </w:tcPr>
                <w:p w14:paraId="2F8BFDD0">
                  <w:pPr>
                    <w:spacing w:line="276" w:lineRule="auto"/>
                    <w:jc w:val="center"/>
                    <w:rPr>
                      <w:szCs w:val="21"/>
                    </w:rPr>
                  </w:pPr>
                </w:p>
              </w:tc>
              <w:tc>
                <w:tcPr>
                  <w:tcW w:w="438" w:type="pct"/>
                  <w:vMerge w:val="continue"/>
                  <w:vAlign w:val="center"/>
                </w:tcPr>
                <w:p w14:paraId="2A50B6D6">
                  <w:pPr>
                    <w:spacing w:line="276" w:lineRule="auto"/>
                    <w:jc w:val="center"/>
                    <w:rPr>
                      <w:szCs w:val="21"/>
                    </w:rPr>
                  </w:pPr>
                </w:p>
              </w:tc>
              <w:tc>
                <w:tcPr>
                  <w:tcW w:w="0" w:type="auto"/>
                  <w:vMerge w:val="continue"/>
                  <w:vAlign w:val="center"/>
                </w:tcPr>
                <w:p w14:paraId="13990CE9">
                  <w:pPr>
                    <w:spacing w:line="276" w:lineRule="auto"/>
                    <w:jc w:val="center"/>
                    <w:rPr>
                      <w:szCs w:val="21"/>
                    </w:rPr>
                  </w:pPr>
                </w:p>
              </w:tc>
              <w:tc>
                <w:tcPr>
                  <w:tcW w:w="0" w:type="auto"/>
                  <w:vMerge w:val="continue"/>
                  <w:vAlign w:val="center"/>
                </w:tcPr>
                <w:p w14:paraId="2EF61CDF">
                  <w:pPr>
                    <w:spacing w:line="276" w:lineRule="auto"/>
                    <w:jc w:val="center"/>
                    <w:rPr>
                      <w:szCs w:val="21"/>
                    </w:rPr>
                  </w:pPr>
                </w:p>
              </w:tc>
              <w:tc>
                <w:tcPr>
                  <w:tcW w:w="0" w:type="auto"/>
                  <w:vMerge w:val="continue"/>
                  <w:vAlign w:val="center"/>
                </w:tcPr>
                <w:p w14:paraId="31EDDD1E">
                  <w:pPr>
                    <w:widowControl/>
                    <w:spacing w:line="276" w:lineRule="auto"/>
                    <w:jc w:val="center"/>
                    <w:rPr>
                      <w:szCs w:val="21"/>
                    </w:rPr>
                  </w:pPr>
                </w:p>
              </w:tc>
              <w:tc>
                <w:tcPr>
                  <w:tcW w:w="535" w:type="pct"/>
                  <w:vMerge w:val="continue"/>
                  <w:vAlign w:val="center"/>
                </w:tcPr>
                <w:p w14:paraId="1953D779">
                  <w:pPr>
                    <w:widowControl/>
                    <w:spacing w:line="276" w:lineRule="auto"/>
                    <w:jc w:val="center"/>
                    <w:rPr>
                      <w:szCs w:val="21"/>
                    </w:rPr>
                  </w:pPr>
                </w:p>
              </w:tc>
              <w:tc>
                <w:tcPr>
                  <w:tcW w:w="481" w:type="pct"/>
                  <w:gridSpan w:val="3"/>
                  <w:vMerge w:val="continue"/>
                  <w:vAlign w:val="center"/>
                </w:tcPr>
                <w:p w14:paraId="28BA1CD8">
                  <w:pPr>
                    <w:wordWrap w:val="0"/>
                    <w:spacing w:line="276" w:lineRule="auto"/>
                    <w:jc w:val="center"/>
                    <w:rPr>
                      <w:szCs w:val="21"/>
                    </w:rPr>
                  </w:pPr>
                </w:p>
              </w:tc>
            </w:tr>
            <w:tr w14:paraId="5BE2A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236" w:type="pct"/>
                  <w:vAlign w:val="center"/>
                </w:tcPr>
                <w:p w14:paraId="0C9B7FAC">
                  <w:pPr>
                    <w:wordWrap w:val="0"/>
                    <w:spacing w:line="276" w:lineRule="auto"/>
                    <w:jc w:val="center"/>
                    <w:rPr>
                      <w:szCs w:val="21"/>
                    </w:rPr>
                  </w:pPr>
                  <w:r>
                    <w:rPr>
                      <w:szCs w:val="21"/>
                    </w:rPr>
                    <w:t>（组合管）离心工序</w:t>
                  </w:r>
                </w:p>
              </w:tc>
              <w:tc>
                <w:tcPr>
                  <w:tcW w:w="158" w:type="pct"/>
                  <w:vAlign w:val="center"/>
                </w:tcPr>
                <w:p w14:paraId="3F136D2A">
                  <w:pPr>
                    <w:wordWrap w:val="0"/>
                    <w:spacing w:line="276" w:lineRule="auto"/>
                    <w:jc w:val="center"/>
                    <w:rPr>
                      <w:szCs w:val="21"/>
                    </w:rPr>
                  </w:pPr>
                  <w:r>
                    <w:rPr>
                      <w:szCs w:val="21"/>
                    </w:rPr>
                    <w:t>非甲烷总烃</w:t>
                  </w:r>
                </w:p>
              </w:tc>
              <w:tc>
                <w:tcPr>
                  <w:tcW w:w="158" w:type="pct"/>
                  <w:vAlign w:val="center"/>
                </w:tcPr>
                <w:p w14:paraId="02CB32E9">
                  <w:pPr>
                    <w:wordWrap w:val="0"/>
                    <w:spacing w:line="276" w:lineRule="auto"/>
                    <w:jc w:val="center"/>
                    <w:rPr>
                      <w:szCs w:val="21"/>
                    </w:rPr>
                  </w:pPr>
                  <w:r>
                    <w:rPr>
                      <w:rFonts w:hint="eastAsia"/>
                      <w:szCs w:val="21"/>
                    </w:rPr>
                    <w:t>产污系数法</w:t>
                  </w:r>
                </w:p>
              </w:tc>
              <w:tc>
                <w:tcPr>
                  <w:tcW w:w="158" w:type="pct"/>
                  <w:vAlign w:val="center"/>
                </w:tcPr>
                <w:p w14:paraId="78B2B51E">
                  <w:pPr>
                    <w:wordWrap w:val="0"/>
                    <w:spacing w:line="276" w:lineRule="auto"/>
                    <w:jc w:val="center"/>
                    <w:rPr>
                      <w:szCs w:val="21"/>
                    </w:rPr>
                  </w:pPr>
                  <w:r>
                    <w:rPr>
                      <w:rFonts w:hint="eastAsia"/>
                      <w:szCs w:val="21"/>
                    </w:rPr>
                    <w:t>0</w:t>
                  </w:r>
                  <w:r>
                    <w:rPr>
                      <w:szCs w:val="21"/>
                    </w:rPr>
                    <w:t>.0057</w:t>
                  </w:r>
                </w:p>
              </w:tc>
              <w:tc>
                <w:tcPr>
                  <w:tcW w:w="158" w:type="pct"/>
                  <w:vAlign w:val="center"/>
                </w:tcPr>
                <w:p w14:paraId="78443BEC">
                  <w:pPr>
                    <w:wordWrap w:val="0"/>
                    <w:spacing w:line="276" w:lineRule="auto"/>
                    <w:jc w:val="center"/>
                    <w:rPr>
                      <w:szCs w:val="21"/>
                    </w:rPr>
                  </w:pPr>
                  <w:r>
                    <w:rPr>
                      <w:rFonts w:hint="eastAsia"/>
                      <w:szCs w:val="21"/>
                    </w:rPr>
                    <w:t>0</w:t>
                  </w:r>
                  <w:r>
                    <w:rPr>
                      <w:szCs w:val="21"/>
                    </w:rPr>
                    <w:t>.017</w:t>
                  </w:r>
                </w:p>
              </w:tc>
              <w:tc>
                <w:tcPr>
                  <w:tcW w:w="280" w:type="pct"/>
                  <w:vAlign w:val="center"/>
                </w:tcPr>
                <w:p w14:paraId="5F4E189B">
                  <w:pPr>
                    <w:wordWrap w:val="0"/>
                    <w:spacing w:line="276" w:lineRule="auto"/>
                    <w:jc w:val="center"/>
                    <w:rPr>
                      <w:szCs w:val="21"/>
                    </w:rPr>
                  </w:pPr>
                  <w:r>
                    <w:rPr>
                      <w:szCs w:val="21"/>
                    </w:rPr>
                    <w:t>30</w:t>
                  </w:r>
                  <w:r>
                    <w:rPr>
                      <w:rFonts w:hint="eastAsia"/>
                      <w:szCs w:val="21"/>
                    </w:rPr>
                    <w:t>00</w:t>
                  </w:r>
                </w:p>
              </w:tc>
              <w:tc>
                <w:tcPr>
                  <w:tcW w:w="158" w:type="pct"/>
                  <w:vAlign w:val="center"/>
                </w:tcPr>
                <w:p w14:paraId="4927695C">
                  <w:pPr>
                    <w:wordWrap w:val="0"/>
                    <w:spacing w:line="276" w:lineRule="auto"/>
                    <w:jc w:val="center"/>
                    <w:rPr>
                      <w:szCs w:val="21"/>
                    </w:rPr>
                  </w:pPr>
                  <w:r>
                    <w:rPr>
                      <w:rFonts w:hint="eastAsia"/>
                      <w:szCs w:val="21"/>
                    </w:rPr>
                    <w:t>集气罩</w:t>
                  </w:r>
                </w:p>
              </w:tc>
              <w:tc>
                <w:tcPr>
                  <w:tcW w:w="450" w:type="pct"/>
                  <w:vMerge w:val="continue"/>
                  <w:vAlign w:val="center"/>
                </w:tcPr>
                <w:p w14:paraId="5C3DF770">
                  <w:pPr>
                    <w:widowControl/>
                    <w:spacing w:line="276" w:lineRule="auto"/>
                    <w:jc w:val="center"/>
                    <w:rPr>
                      <w:szCs w:val="21"/>
                    </w:rPr>
                  </w:pPr>
                </w:p>
              </w:tc>
              <w:tc>
                <w:tcPr>
                  <w:tcW w:w="184" w:type="pct"/>
                  <w:vAlign w:val="center"/>
                </w:tcPr>
                <w:p w14:paraId="157DC7D4">
                  <w:pPr>
                    <w:wordWrap w:val="0"/>
                    <w:spacing w:line="276" w:lineRule="auto"/>
                    <w:jc w:val="center"/>
                    <w:rPr>
                      <w:szCs w:val="21"/>
                    </w:rPr>
                  </w:pPr>
                  <w:r>
                    <w:rPr>
                      <w:rFonts w:hint="eastAsia"/>
                      <w:szCs w:val="21"/>
                    </w:rPr>
                    <w:t>9</w:t>
                  </w:r>
                  <w:r>
                    <w:rPr>
                      <w:szCs w:val="21"/>
                    </w:rPr>
                    <w:t>0%</w:t>
                  </w:r>
                </w:p>
              </w:tc>
              <w:tc>
                <w:tcPr>
                  <w:tcW w:w="184" w:type="pct"/>
                  <w:vAlign w:val="center"/>
                </w:tcPr>
                <w:p w14:paraId="6BD449F2">
                  <w:pPr>
                    <w:wordWrap w:val="0"/>
                    <w:spacing w:line="276" w:lineRule="auto"/>
                    <w:jc w:val="center"/>
                    <w:rPr>
                      <w:szCs w:val="21"/>
                    </w:rPr>
                  </w:pPr>
                  <w:r>
                    <w:rPr>
                      <w:rFonts w:hint="eastAsia"/>
                      <w:szCs w:val="21"/>
                    </w:rPr>
                    <w:t>90</w:t>
                  </w:r>
                  <w:r>
                    <w:rPr>
                      <w:szCs w:val="21"/>
                    </w:rPr>
                    <w:t>%</w:t>
                  </w:r>
                </w:p>
              </w:tc>
              <w:tc>
                <w:tcPr>
                  <w:tcW w:w="579" w:type="pct"/>
                  <w:vMerge w:val="continue"/>
                  <w:vAlign w:val="center"/>
                </w:tcPr>
                <w:p w14:paraId="0062CAEC">
                  <w:pPr>
                    <w:widowControl/>
                    <w:spacing w:line="276" w:lineRule="auto"/>
                    <w:jc w:val="center"/>
                    <w:rPr>
                      <w:szCs w:val="21"/>
                    </w:rPr>
                  </w:pPr>
                </w:p>
              </w:tc>
              <w:tc>
                <w:tcPr>
                  <w:tcW w:w="438" w:type="pct"/>
                  <w:vMerge w:val="continue"/>
                  <w:vAlign w:val="center"/>
                </w:tcPr>
                <w:p w14:paraId="2DF72DB2">
                  <w:pPr>
                    <w:widowControl/>
                    <w:spacing w:line="276" w:lineRule="auto"/>
                    <w:jc w:val="center"/>
                    <w:rPr>
                      <w:szCs w:val="21"/>
                    </w:rPr>
                  </w:pPr>
                </w:p>
              </w:tc>
              <w:tc>
                <w:tcPr>
                  <w:tcW w:w="0" w:type="auto"/>
                  <w:vMerge w:val="continue"/>
                  <w:vAlign w:val="center"/>
                </w:tcPr>
                <w:p w14:paraId="50A3326F">
                  <w:pPr>
                    <w:widowControl/>
                    <w:spacing w:line="276" w:lineRule="auto"/>
                    <w:jc w:val="center"/>
                    <w:rPr>
                      <w:szCs w:val="21"/>
                    </w:rPr>
                  </w:pPr>
                </w:p>
              </w:tc>
              <w:tc>
                <w:tcPr>
                  <w:tcW w:w="0" w:type="auto"/>
                  <w:vMerge w:val="continue"/>
                  <w:vAlign w:val="center"/>
                </w:tcPr>
                <w:p w14:paraId="77468142">
                  <w:pPr>
                    <w:widowControl/>
                    <w:spacing w:line="276" w:lineRule="auto"/>
                    <w:jc w:val="center"/>
                    <w:rPr>
                      <w:szCs w:val="21"/>
                      <w:highlight w:val="yellow"/>
                    </w:rPr>
                  </w:pPr>
                </w:p>
              </w:tc>
              <w:tc>
                <w:tcPr>
                  <w:tcW w:w="0" w:type="auto"/>
                  <w:vMerge w:val="continue"/>
                  <w:vAlign w:val="center"/>
                </w:tcPr>
                <w:p w14:paraId="7C0404DF">
                  <w:pPr>
                    <w:widowControl/>
                    <w:spacing w:line="276" w:lineRule="auto"/>
                    <w:jc w:val="center"/>
                    <w:rPr>
                      <w:szCs w:val="21"/>
                    </w:rPr>
                  </w:pPr>
                </w:p>
              </w:tc>
              <w:tc>
                <w:tcPr>
                  <w:tcW w:w="535" w:type="pct"/>
                  <w:vMerge w:val="continue"/>
                  <w:vAlign w:val="center"/>
                </w:tcPr>
                <w:p w14:paraId="5A8DA9BE">
                  <w:pPr>
                    <w:widowControl/>
                    <w:spacing w:line="276" w:lineRule="auto"/>
                    <w:jc w:val="center"/>
                    <w:rPr>
                      <w:szCs w:val="21"/>
                    </w:rPr>
                  </w:pPr>
                </w:p>
              </w:tc>
              <w:tc>
                <w:tcPr>
                  <w:tcW w:w="481" w:type="pct"/>
                  <w:gridSpan w:val="3"/>
                  <w:vMerge w:val="continue"/>
                  <w:vAlign w:val="center"/>
                </w:tcPr>
                <w:p w14:paraId="5044B8BC">
                  <w:pPr>
                    <w:wordWrap w:val="0"/>
                    <w:spacing w:line="276" w:lineRule="auto"/>
                    <w:jc w:val="center"/>
                    <w:rPr>
                      <w:szCs w:val="21"/>
                    </w:rPr>
                  </w:pPr>
                </w:p>
              </w:tc>
            </w:tr>
          </w:tbl>
          <w:p w14:paraId="559C7199">
            <w:pPr>
              <w:pStyle w:val="108"/>
              <w:jc w:val="center"/>
              <w:rPr>
                <w:color w:val="auto"/>
              </w:rPr>
            </w:pPr>
            <w:r>
              <w:rPr>
                <w:rFonts w:hint="eastAsia" w:ascii="黑体" w:hAnsi="黑体" w:eastAsia="黑体"/>
                <w:bCs/>
                <w:color w:val="auto"/>
              </w:rPr>
              <w:t>表</w:t>
            </w:r>
            <w:r>
              <w:rPr>
                <w:rFonts w:hint="eastAsia" w:eastAsia="黑体"/>
                <w:bCs/>
                <w:color w:val="auto"/>
              </w:rPr>
              <w:t>39  项目无组织废气产生及排放源强一览表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4"/>
              <w:gridCol w:w="1761"/>
              <w:gridCol w:w="1453"/>
              <w:gridCol w:w="2177"/>
              <w:gridCol w:w="1472"/>
              <w:gridCol w:w="1648"/>
              <w:gridCol w:w="1051"/>
              <w:gridCol w:w="1926"/>
            </w:tblGrid>
            <w:tr w14:paraId="3CDEF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pct"/>
                  <w:vMerge w:val="restart"/>
                  <w:vAlign w:val="center"/>
                </w:tcPr>
                <w:p w14:paraId="0985E3B3">
                  <w:pPr>
                    <w:spacing w:line="276" w:lineRule="auto"/>
                    <w:jc w:val="center"/>
                    <w:rPr>
                      <w:b/>
                      <w:szCs w:val="21"/>
                    </w:rPr>
                  </w:pPr>
                  <w:r>
                    <w:rPr>
                      <w:rFonts w:hint="eastAsia" w:hAnsi="宋体"/>
                      <w:b/>
                      <w:szCs w:val="21"/>
                    </w:rPr>
                    <w:t>区域</w:t>
                  </w:r>
                </w:p>
              </w:tc>
              <w:tc>
                <w:tcPr>
                  <w:tcW w:w="652" w:type="pct"/>
                  <w:vMerge w:val="restart"/>
                  <w:vAlign w:val="center"/>
                </w:tcPr>
                <w:p w14:paraId="2A514625">
                  <w:pPr>
                    <w:spacing w:line="276" w:lineRule="auto"/>
                    <w:jc w:val="center"/>
                    <w:rPr>
                      <w:b/>
                      <w:szCs w:val="21"/>
                    </w:rPr>
                  </w:pPr>
                  <w:r>
                    <w:rPr>
                      <w:rFonts w:hint="eastAsia" w:hAnsi="宋体"/>
                      <w:b/>
                      <w:szCs w:val="21"/>
                    </w:rPr>
                    <w:t>污染物种类</w:t>
                  </w:r>
                </w:p>
              </w:tc>
              <w:tc>
                <w:tcPr>
                  <w:tcW w:w="538" w:type="pct"/>
                  <w:vAlign w:val="center"/>
                </w:tcPr>
                <w:p w14:paraId="3BB0CEBF">
                  <w:pPr>
                    <w:spacing w:line="276" w:lineRule="auto"/>
                    <w:jc w:val="center"/>
                    <w:rPr>
                      <w:b/>
                      <w:szCs w:val="21"/>
                    </w:rPr>
                  </w:pPr>
                  <w:r>
                    <w:rPr>
                      <w:rFonts w:hint="eastAsia"/>
                      <w:b/>
                      <w:szCs w:val="21"/>
                    </w:rPr>
                    <w:t>污染物产生情况</w:t>
                  </w:r>
                </w:p>
              </w:tc>
              <w:tc>
                <w:tcPr>
                  <w:tcW w:w="1351" w:type="pct"/>
                  <w:gridSpan w:val="2"/>
                  <w:vAlign w:val="center"/>
                </w:tcPr>
                <w:p w14:paraId="3F55E004">
                  <w:pPr>
                    <w:spacing w:line="276" w:lineRule="auto"/>
                    <w:jc w:val="center"/>
                    <w:rPr>
                      <w:b/>
                      <w:szCs w:val="21"/>
                    </w:rPr>
                  </w:pPr>
                  <w:r>
                    <w:rPr>
                      <w:rFonts w:hint="eastAsia"/>
                      <w:b/>
                      <w:szCs w:val="21"/>
                    </w:rPr>
                    <w:t>收集及治理设施</w:t>
                  </w:r>
                </w:p>
              </w:tc>
              <w:tc>
                <w:tcPr>
                  <w:tcW w:w="610" w:type="pct"/>
                  <w:vAlign w:val="center"/>
                </w:tcPr>
                <w:p w14:paraId="1730534C">
                  <w:pPr>
                    <w:spacing w:line="276" w:lineRule="auto"/>
                    <w:jc w:val="center"/>
                    <w:rPr>
                      <w:b/>
                      <w:szCs w:val="21"/>
                    </w:rPr>
                  </w:pPr>
                  <w:r>
                    <w:rPr>
                      <w:rFonts w:hint="eastAsia"/>
                      <w:b/>
                      <w:szCs w:val="21"/>
                    </w:rPr>
                    <w:t>污染物排放情况</w:t>
                  </w:r>
                </w:p>
              </w:tc>
              <w:tc>
                <w:tcPr>
                  <w:tcW w:w="389" w:type="pct"/>
                  <w:vMerge w:val="restart"/>
                  <w:vAlign w:val="center"/>
                </w:tcPr>
                <w:p w14:paraId="533EDAEB">
                  <w:pPr>
                    <w:spacing w:line="276" w:lineRule="auto"/>
                    <w:jc w:val="center"/>
                    <w:rPr>
                      <w:b/>
                      <w:szCs w:val="21"/>
                    </w:rPr>
                  </w:pPr>
                  <w:r>
                    <w:rPr>
                      <w:rFonts w:hint="eastAsia"/>
                      <w:b/>
                      <w:szCs w:val="21"/>
                    </w:rPr>
                    <w:t>排放高度</w:t>
                  </w:r>
                  <w:r>
                    <w:rPr>
                      <w:b/>
                      <w:szCs w:val="21"/>
                    </w:rPr>
                    <w:t>m</w:t>
                  </w:r>
                </w:p>
              </w:tc>
              <w:tc>
                <w:tcPr>
                  <w:tcW w:w="713" w:type="pct"/>
                  <w:vMerge w:val="restart"/>
                  <w:vAlign w:val="center"/>
                </w:tcPr>
                <w:p w14:paraId="1C540F38">
                  <w:pPr>
                    <w:spacing w:line="276" w:lineRule="auto"/>
                    <w:jc w:val="center"/>
                    <w:rPr>
                      <w:b/>
                      <w:szCs w:val="21"/>
                    </w:rPr>
                  </w:pPr>
                  <w:r>
                    <w:rPr>
                      <w:rFonts w:hint="eastAsia"/>
                      <w:b/>
                      <w:szCs w:val="21"/>
                    </w:rPr>
                    <w:t>面源面积</w:t>
                  </w:r>
                  <w:r>
                    <w:rPr>
                      <w:b/>
                      <w:szCs w:val="21"/>
                    </w:rPr>
                    <w:t>m</w:t>
                  </w:r>
                  <w:r>
                    <w:rPr>
                      <w:b/>
                      <w:szCs w:val="21"/>
                      <w:vertAlign w:val="superscript"/>
                    </w:rPr>
                    <w:t>2</w:t>
                  </w:r>
                </w:p>
              </w:tc>
            </w:tr>
            <w:tr w14:paraId="23ECC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6" w:type="pct"/>
                  <w:vMerge w:val="continue"/>
                  <w:vAlign w:val="center"/>
                </w:tcPr>
                <w:p w14:paraId="6B043D4E">
                  <w:pPr>
                    <w:widowControl/>
                    <w:spacing w:line="276" w:lineRule="auto"/>
                    <w:jc w:val="left"/>
                    <w:rPr>
                      <w:b/>
                      <w:szCs w:val="21"/>
                    </w:rPr>
                  </w:pPr>
                </w:p>
              </w:tc>
              <w:tc>
                <w:tcPr>
                  <w:tcW w:w="652" w:type="pct"/>
                  <w:vMerge w:val="continue"/>
                  <w:vAlign w:val="center"/>
                </w:tcPr>
                <w:p w14:paraId="54CAA297">
                  <w:pPr>
                    <w:widowControl/>
                    <w:spacing w:line="276" w:lineRule="auto"/>
                    <w:jc w:val="left"/>
                    <w:rPr>
                      <w:b/>
                      <w:szCs w:val="21"/>
                    </w:rPr>
                  </w:pPr>
                </w:p>
              </w:tc>
              <w:tc>
                <w:tcPr>
                  <w:tcW w:w="538" w:type="pct"/>
                  <w:vAlign w:val="center"/>
                </w:tcPr>
                <w:p w14:paraId="2F9BF9D0">
                  <w:pPr>
                    <w:spacing w:line="276" w:lineRule="auto"/>
                    <w:jc w:val="center"/>
                    <w:rPr>
                      <w:b/>
                      <w:szCs w:val="21"/>
                    </w:rPr>
                  </w:pPr>
                  <w:r>
                    <w:rPr>
                      <w:rFonts w:hint="eastAsia"/>
                      <w:b/>
                      <w:szCs w:val="21"/>
                    </w:rPr>
                    <w:t>产生量</w:t>
                  </w:r>
                  <w:r>
                    <w:rPr>
                      <w:b/>
                      <w:szCs w:val="21"/>
                    </w:rPr>
                    <w:t>t/a</w:t>
                  </w:r>
                </w:p>
              </w:tc>
              <w:tc>
                <w:tcPr>
                  <w:tcW w:w="806" w:type="pct"/>
                  <w:vAlign w:val="center"/>
                </w:tcPr>
                <w:p w14:paraId="1DA6BA5B">
                  <w:pPr>
                    <w:spacing w:line="276" w:lineRule="auto"/>
                    <w:jc w:val="center"/>
                    <w:rPr>
                      <w:b/>
                      <w:szCs w:val="21"/>
                    </w:rPr>
                  </w:pPr>
                  <w:r>
                    <w:rPr>
                      <w:rFonts w:hint="eastAsia"/>
                      <w:b/>
                      <w:szCs w:val="21"/>
                    </w:rPr>
                    <w:t>收集治理工艺</w:t>
                  </w:r>
                </w:p>
              </w:tc>
              <w:tc>
                <w:tcPr>
                  <w:tcW w:w="545" w:type="pct"/>
                  <w:vAlign w:val="center"/>
                </w:tcPr>
                <w:p w14:paraId="069A1F64">
                  <w:pPr>
                    <w:spacing w:line="276" w:lineRule="auto"/>
                    <w:jc w:val="center"/>
                    <w:rPr>
                      <w:b/>
                      <w:szCs w:val="21"/>
                    </w:rPr>
                  </w:pPr>
                  <w:r>
                    <w:rPr>
                      <w:rFonts w:hint="eastAsia"/>
                      <w:b/>
                      <w:szCs w:val="21"/>
                    </w:rPr>
                    <w:t>效率</w:t>
                  </w:r>
                  <w:r>
                    <w:rPr>
                      <w:b/>
                      <w:szCs w:val="21"/>
                    </w:rPr>
                    <w:t>%</w:t>
                  </w:r>
                </w:p>
              </w:tc>
              <w:tc>
                <w:tcPr>
                  <w:tcW w:w="610" w:type="pct"/>
                  <w:vAlign w:val="center"/>
                </w:tcPr>
                <w:p w14:paraId="2DD56843">
                  <w:pPr>
                    <w:spacing w:line="276" w:lineRule="auto"/>
                    <w:jc w:val="center"/>
                    <w:rPr>
                      <w:b/>
                      <w:szCs w:val="21"/>
                    </w:rPr>
                  </w:pPr>
                  <w:r>
                    <w:rPr>
                      <w:rFonts w:hint="eastAsia"/>
                      <w:b/>
                      <w:szCs w:val="21"/>
                    </w:rPr>
                    <w:t>排放量</w:t>
                  </w:r>
                  <w:r>
                    <w:rPr>
                      <w:b/>
                      <w:szCs w:val="21"/>
                    </w:rPr>
                    <w:t>t/a</w:t>
                  </w:r>
                </w:p>
              </w:tc>
              <w:tc>
                <w:tcPr>
                  <w:tcW w:w="389" w:type="pct"/>
                  <w:vMerge w:val="continue"/>
                  <w:vAlign w:val="center"/>
                </w:tcPr>
                <w:p w14:paraId="1D4F1D8A">
                  <w:pPr>
                    <w:widowControl/>
                    <w:spacing w:line="276" w:lineRule="auto"/>
                    <w:jc w:val="left"/>
                    <w:rPr>
                      <w:b/>
                      <w:szCs w:val="21"/>
                    </w:rPr>
                  </w:pPr>
                </w:p>
              </w:tc>
              <w:tc>
                <w:tcPr>
                  <w:tcW w:w="713" w:type="pct"/>
                  <w:vMerge w:val="continue"/>
                  <w:vAlign w:val="center"/>
                </w:tcPr>
                <w:p w14:paraId="6AC6F283">
                  <w:pPr>
                    <w:widowControl/>
                    <w:spacing w:line="276" w:lineRule="auto"/>
                    <w:jc w:val="left"/>
                    <w:rPr>
                      <w:b/>
                      <w:szCs w:val="21"/>
                    </w:rPr>
                  </w:pPr>
                </w:p>
              </w:tc>
            </w:tr>
            <w:tr w14:paraId="490B5B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746" w:type="pct"/>
                  <w:vMerge w:val="restart"/>
                  <w:vAlign w:val="center"/>
                </w:tcPr>
                <w:p w14:paraId="6918F450">
                  <w:pPr>
                    <w:spacing w:line="276" w:lineRule="auto"/>
                    <w:jc w:val="center"/>
                    <w:rPr>
                      <w:szCs w:val="21"/>
                    </w:rPr>
                  </w:pPr>
                  <w:r>
                    <w:rPr>
                      <w:rFonts w:hint="eastAsia"/>
                      <w:szCs w:val="21"/>
                    </w:rPr>
                    <w:t>生产厂房</w:t>
                  </w:r>
                </w:p>
              </w:tc>
              <w:tc>
                <w:tcPr>
                  <w:tcW w:w="652" w:type="pct"/>
                  <w:vAlign w:val="center"/>
                </w:tcPr>
                <w:p w14:paraId="56C6BC80">
                  <w:pPr>
                    <w:spacing w:line="276" w:lineRule="auto"/>
                    <w:jc w:val="center"/>
                    <w:rPr>
                      <w:szCs w:val="21"/>
                    </w:rPr>
                  </w:pPr>
                  <w:r>
                    <w:rPr>
                      <w:rFonts w:hint="eastAsia"/>
                      <w:szCs w:val="21"/>
                    </w:rPr>
                    <w:t>颗粒物</w:t>
                  </w:r>
                </w:p>
              </w:tc>
              <w:tc>
                <w:tcPr>
                  <w:tcW w:w="538" w:type="pct"/>
                  <w:vAlign w:val="center"/>
                </w:tcPr>
                <w:p w14:paraId="24FD4A92">
                  <w:pPr>
                    <w:spacing w:line="276" w:lineRule="auto"/>
                    <w:jc w:val="center"/>
                    <w:rPr>
                      <w:szCs w:val="21"/>
                    </w:rPr>
                  </w:pPr>
                  <w:r>
                    <w:rPr>
                      <w:rFonts w:hint="eastAsia"/>
                      <w:szCs w:val="21"/>
                    </w:rPr>
                    <w:t>2</w:t>
                  </w:r>
                  <w:r>
                    <w:rPr>
                      <w:szCs w:val="21"/>
                    </w:rPr>
                    <w:t>.7</w:t>
                  </w:r>
                  <m:oMath>
                    <m:r>
                      <m:rPr/>
                      <w:rPr>
                        <w:rFonts w:ascii="Cambria Math" w:hAnsi="Cambria Math"/>
                        <w:szCs w:val="21"/>
                      </w:rPr>
                      <m:t>×</m:t>
                    </m:r>
                  </m:oMath>
                  <w:r>
                    <w:rPr>
                      <w:rFonts w:hint="eastAsia"/>
                      <w:szCs w:val="21"/>
                    </w:rPr>
                    <w:t>1</w:t>
                  </w:r>
                  <w:r>
                    <w:rPr>
                      <w:szCs w:val="21"/>
                    </w:rPr>
                    <w:t>0</w:t>
                  </w:r>
                  <w:r>
                    <w:rPr>
                      <w:szCs w:val="21"/>
                      <w:vertAlign w:val="superscript"/>
                    </w:rPr>
                    <w:t>-5</w:t>
                  </w:r>
                </w:p>
              </w:tc>
              <w:tc>
                <w:tcPr>
                  <w:tcW w:w="806" w:type="pct"/>
                  <w:vMerge w:val="restart"/>
                  <w:vAlign w:val="center"/>
                </w:tcPr>
                <w:p w14:paraId="35328540">
                  <w:pPr>
                    <w:spacing w:line="276" w:lineRule="auto"/>
                    <w:jc w:val="center"/>
                    <w:rPr>
                      <w:szCs w:val="21"/>
                    </w:rPr>
                  </w:pPr>
                  <w:r>
                    <w:rPr>
                      <w:szCs w:val="21"/>
                    </w:rPr>
                    <w:t>/</w:t>
                  </w:r>
                </w:p>
              </w:tc>
              <w:tc>
                <w:tcPr>
                  <w:tcW w:w="545" w:type="pct"/>
                  <w:vMerge w:val="restart"/>
                  <w:vAlign w:val="center"/>
                </w:tcPr>
                <w:p w14:paraId="588A24E2">
                  <w:pPr>
                    <w:spacing w:line="276" w:lineRule="auto"/>
                    <w:jc w:val="center"/>
                    <w:rPr>
                      <w:szCs w:val="21"/>
                    </w:rPr>
                  </w:pPr>
                  <w:r>
                    <w:rPr>
                      <w:szCs w:val="21"/>
                    </w:rPr>
                    <w:t>/</w:t>
                  </w:r>
                </w:p>
              </w:tc>
              <w:tc>
                <w:tcPr>
                  <w:tcW w:w="610" w:type="pct"/>
                  <w:vAlign w:val="center"/>
                </w:tcPr>
                <w:p w14:paraId="5DCC8621">
                  <w:pPr>
                    <w:spacing w:line="276" w:lineRule="auto"/>
                    <w:jc w:val="center"/>
                    <w:rPr>
                      <w:szCs w:val="21"/>
                    </w:rPr>
                  </w:pPr>
                  <w:r>
                    <w:rPr>
                      <w:rFonts w:hint="eastAsia"/>
                      <w:szCs w:val="21"/>
                    </w:rPr>
                    <w:t>2</w:t>
                  </w:r>
                  <w:r>
                    <w:rPr>
                      <w:szCs w:val="21"/>
                    </w:rPr>
                    <w:t>.7</w:t>
                  </w:r>
                  <m:oMath>
                    <m:r>
                      <m:rPr/>
                      <w:rPr>
                        <w:rFonts w:ascii="Cambria Math" w:hAnsi="Cambria Math"/>
                        <w:szCs w:val="21"/>
                      </w:rPr>
                      <m:t>×</m:t>
                    </m:r>
                  </m:oMath>
                  <w:r>
                    <w:rPr>
                      <w:rFonts w:hint="eastAsia"/>
                      <w:szCs w:val="21"/>
                    </w:rPr>
                    <w:t>1</w:t>
                  </w:r>
                  <w:r>
                    <w:rPr>
                      <w:szCs w:val="21"/>
                    </w:rPr>
                    <w:t>0</w:t>
                  </w:r>
                  <w:r>
                    <w:rPr>
                      <w:szCs w:val="21"/>
                      <w:vertAlign w:val="superscript"/>
                    </w:rPr>
                    <w:t>-6</w:t>
                  </w:r>
                </w:p>
              </w:tc>
              <w:tc>
                <w:tcPr>
                  <w:tcW w:w="389" w:type="pct"/>
                  <w:vMerge w:val="restart"/>
                  <w:vAlign w:val="center"/>
                </w:tcPr>
                <w:p w14:paraId="14E34512">
                  <w:pPr>
                    <w:spacing w:line="276" w:lineRule="auto"/>
                    <w:jc w:val="center"/>
                    <w:rPr>
                      <w:szCs w:val="21"/>
                    </w:rPr>
                  </w:pPr>
                  <w:r>
                    <w:rPr>
                      <w:rFonts w:hint="eastAsia"/>
                      <w:szCs w:val="21"/>
                    </w:rPr>
                    <w:t>11</w:t>
                  </w:r>
                </w:p>
              </w:tc>
              <w:tc>
                <w:tcPr>
                  <w:tcW w:w="713" w:type="pct"/>
                  <w:vMerge w:val="restart"/>
                  <w:vAlign w:val="center"/>
                </w:tcPr>
                <w:p w14:paraId="7369E72D">
                  <w:pPr>
                    <w:spacing w:line="276" w:lineRule="auto"/>
                    <w:jc w:val="center"/>
                    <w:rPr>
                      <w:szCs w:val="21"/>
                    </w:rPr>
                  </w:pPr>
                  <w:r>
                    <w:rPr>
                      <w:rFonts w:hint="eastAsia"/>
                      <w:szCs w:val="21"/>
                    </w:rPr>
                    <w:t>14</w:t>
                  </w:r>
                  <w:r>
                    <w:rPr>
                      <w:szCs w:val="21"/>
                    </w:rPr>
                    <w:t>00</w:t>
                  </w:r>
                </w:p>
                <w:p w14:paraId="5AAB5CF8">
                  <w:pPr>
                    <w:spacing w:line="276" w:lineRule="auto"/>
                    <w:jc w:val="center"/>
                    <w:rPr>
                      <w:szCs w:val="21"/>
                    </w:rPr>
                  </w:pPr>
                  <w:r>
                    <w:rPr>
                      <w:rFonts w:hint="eastAsia"/>
                      <w:szCs w:val="21"/>
                    </w:rPr>
                    <w:t>长56m×宽25m</w:t>
                  </w:r>
                </w:p>
              </w:tc>
            </w:tr>
            <w:tr w14:paraId="3FFA5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46" w:type="pct"/>
                  <w:vMerge w:val="continue"/>
                  <w:vAlign w:val="center"/>
                </w:tcPr>
                <w:p w14:paraId="6A0FAE50">
                  <w:pPr>
                    <w:spacing w:line="276" w:lineRule="auto"/>
                    <w:jc w:val="center"/>
                    <w:rPr>
                      <w:szCs w:val="21"/>
                    </w:rPr>
                  </w:pPr>
                </w:p>
              </w:tc>
              <w:tc>
                <w:tcPr>
                  <w:tcW w:w="652" w:type="pct"/>
                  <w:vAlign w:val="center"/>
                </w:tcPr>
                <w:p w14:paraId="62D92AB4">
                  <w:pPr>
                    <w:spacing w:line="276" w:lineRule="auto"/>
                    <w:jc w:val="center"/>
                    <w:rPr>
                      <w:szCs w:val="21"/>
                    </w:rPr>
                  </w:pPr>
                  <w:r>
                    <w:rPr>
                      <w:rFonts w:hint="eastAsia"/>
                      <w:szCs w:val="21"/>
                    </w:rPr>
                    <w:t>SO</w:t>
                  </w:r>
                  <w:r>
                    <w:rPr>
                      <w:rFonts w:hint="eastAsia"/>
                      <w:szCs w:val="21"/>
                      <w:vertAlign w:val="subscript"/>
                    </w:rPr>
                    <w:t>2</w:t>
                  </w:r>
                </w:p>
              </w:tc>
              <w:tc>
                <w:tcPr>
                  <w:tcW w:w="538" w:type="pct"/>
                  <w:vAlign w:val="center"/>
                </w:tcPr>
                <w:p w14:paraId="26592C5D">
                  <w:pPr>
                    <w:spacing w:line="276" w:lineRule="auto"/>
                    <w:jc w:val="center"/>
                    <w:rPr>
                      <w:szCs w:val="21"/>
                    </w:rPr>
                  </w:pPr>
                  <w:r>
                    <w:rPr>
                      <w:szCs w:val="21"/>
                    </w:rPr>
                    <w:t>1.3</w:t>
                  </w:r>
                  <m:oMath>
                    <m:r>
                      <m:rPr/>
                      <w:rPr>
                        <w:rFonts w:ascii="Cambria Math" w:hAnsi="Cambria Math"/>
                        <w:szCs w:val="21"/>
                      </w:rPr>
                      <m:t>×</m:t>
                    </m:r>
                  </m:oMath>
                  <w:r>
                    <w:rPr>
                      <w:rFonts w:hint="eastAsia"/>
                      <w:szCs w:val="21"/>
                    </w:rPr>
                    <w:t>1</w:t>
                  </w:r>
                  <w:r>
                    <w:rPr>
                      <w:szCs w:val="21"/>
                    </w:rPr>
                    <w:t>0</w:t>
                  </w:r>
                  <w:r>
                    <w:rPr>
                      <w:szCs w:val="21"/>
                      <w:vertAlign w:val="superscript"/>
                    </w:rPr>
                    <w:t>-7</w:t>
                  </w:r>
                </w:p>
              </w:tc>
              <w:tc>
                <w:tcPr>
                  <w:tcW w:w="806" w:type="pct"/>
                  <w:vMerge w:val="continue"/>
                  <w:vAlign w:val="center"/>
                </w:tcPr>
                <w:p w14:paraId="05B4655C">
                  <w:pPr>
                    <w:widowControl/>
                    <w:spacing w:line="276" w:lineRule="auto"/>
                    <w:jc w:val="left"/>
                    <w:rPr>
                      <w:szCs w:val="21"/>
                    </w:rPr>
                  </w:pPr>
                </w:p>
              </w:tc>
              <w:tc>
                <w:tcPr>
                  <w:tcW w:w="545" w:type="pct"/>
                  <w:vMerge w:val="continue"/>
                  <w:vAlign w:val="center"/>
                </w:tcPr>
                <w:p w14:paraId="45AD3D42">
                  <w:pPr>
                    <w:widowControl/>
                    <w:spacing w:line="276" w:lineRule="auto"/>
                    <w:jc w:val="left"/>
                    <w:rPr>
                      <w:szCs w:val="21"/>
                    </w:rPr>
                  </w:pPr>
                </w:p>
              </w:tc>
              <w:tc>
                <w:tcPr>
                  <w:tcW w:w="610" w:type="pct"/>
                  <w:vAlign w:val="center"/>
                </w:tcPr>
                <w:p w14:paraId="2BA7FDA4">
                  <w:pPr>
                    <w:spacing w:line="276" w:lineRule="auto"/>
                    <w:jc w:val="center"/>
                    <w:rPr>
                      <w:szCs w:val="21"/>
                    </w:rPr>
                  </w:pPr>
                  <w:r>
                    <w:rPr>
                      <w:szCs w:val="21"/>
                    </w:rPr>
                    <w:t>1.3</w:t>
                  </w:r>
                  <m:oMath>
                    <m:r>
                      <m:rPr/>
                      <w:rPr>
                        <w:rFonts w:ascii="Cambria Math" w:hAnsi="Cambria Math"/>
                        <w:szCs w:val="21"/>
                      </w:rPr>
                      <m:t>×</m:t>
                    </m:r>
                  </m:oMath>
                  <w:r>
                    <w:rPr>
                      <w:rFonts w:hint="eastAsia"/>
                      <w:szCs w:val="21"/>
                    </w:rPr>
                    <w:t>1</w:t>
                  </w:r>
                  <w:r>
                    <w:rPr>
                      <w:szCs w:val="21"/>
                    </w:rPr>
                    <w:t>0</w:t>
                  </w:r>
                  <w:r>
                    <w:rPr>
                      <w:szCs w:val="21"/>
                      <w:vertAlign w:val="superscript"/>
                    </w:rPr>
                    <w:t>-8</w:t>
                  </w:r>
                </w:p>
              </w:tc>
              <w:tc>
                <w:tcPr>
                  <w:tcW w:w="389" w:type="pct"/>
                  <w:vMerge w:val="continue"/>
                  <w:vAlign w:val="center"/>
                </w:tcPr>
                <w:p w14:paraId="39B65451">
                  <w:pPr>
                    <w:spacing w:line="276" w:lineRule="auto"/>
                    <w:jc w:val="center"/>
                    <w:rPr>
                      <w:szCs w:val="21"/>
                    </w:rPr>
                  </w:pPr>
                </w:p>
              </w:tc>
              <w:tc>
                <w:tcPr>
                  <w:tcW w:w="713" w:type="pct"/>
                  <w:vMerge w:val="continue"/>
                  <w:vAlign w:val="center"/>
                </w:tcPr>
                <w:p w14:paraId="6E49C1F9">
                  <w:pPr>
                    <w:widowControl/>
                    <w:spacing w:line="276" w:lineRule="auto"/>
                    <w:jc w:val="left"/>
                    <w:rPr>
                      <w:szCs w:val="21"/>
                    </w:rPr>
                  </w:pPr>
                </w:p>
              </w:tc>
            </w:tr>
            <w:tr w14:paraId="7AA24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46" w:type="pct"/>
                  <w:vMerge w:val="continue"/>
                  <w:vAlign w:val="center"/>
                </w:tcPr>
                <w:p w14:paraId="5B26915D">
                  <w:pPr>
                    <w:spacing w:line="276" w:lineRule="auto"/>
                    <w:jc w:val="center"/>
                    <w:rPr>
                      <w:szCs w:val="21"/>
                    </w:rPr>
                  </w:pPr>
                </w:p>
              </w:tc>
              <w:tc>
                <w:tcPr>
                  <w:tcW w:w="652" w:type="pct"/>
                  <w:vAlign w:val="center"/>
                </w:tcPr>
                <w:p w14:paraId="3D99C80A">
                  <w:pPr>
                    <w:spacing w:line="276" w:lineRule="auto"/>
                    <w:jc w:val="center"/>
                    <w:rPr>
                      <w:szCs w:val="21"/>
                    </w:rPr>
                  </w:pPr>
                  <w:r>
                    <w:rPr>
                      <w:rFonts w:hint="eastAsia"/>
                      <w:szCs w:val="21"/>
                    </w:rPr>
                    <w:t>NO</w:t>
                  </w:r>
                  <w:r>
                    <w:rPr>
                      <w:rFonts w:hint="eastAsia"/>
                      <w:szCs w:val="21"/>
                      <w:vertAlign w:val="subscript"/>
                    </w:rPr>
                    <w:t>2</w:t>
                  </w:r>
                </w:p>
              </w:tc>
              <w:tc>
                <w:tcPr>
                  <w:tcW w:w="538" w:type="pct"/>
                  <w:vAlign w:val="center"/>
                </w:tcPr>
                <w:p w14:paraId="39996858">
                  <w:pPr>
                    <w:spacing w:line="276" w:lineRule="auto"/>
                    <w:jc w:val="center"/>
                    <w:rPr>
                      <w:szCs w:val="21"/>
                    </w:rPr>
                  </w:pPr>
                  <w:r>
                    <w:rPr>
                      <w:rFonts w:hint="eastAsia"/>
                      <w:szCs w:val="21"/>
                    </w:rPr>
                    <w:t>0</w:t>
                  </w:r>
                  <w:r>
                    <w:rPr>
                      <w:szCs w:val="21"/>
                    </w:rPr>
                    <w:t>.0003</w:t>
                  </w:r>
                </w:p>
              </w:tc>
              <w:tc>
                <w:tcPr>
                  <w:tcW w:w="806" w:type="pct"/>
                  <w:vMerge w:val="continue"/>
                  <w:vAlign w:val="center"/>
                </w:tcPr>
                <w:p w14:paraId="2AB0E876">
                  <w:pPr>
                    <w:widowControl/>
                    <w:spacing w:line="276" w:lineRule="auto"/>
                    <w:jc w:val="left"/>
                    <w:rPr>
                      <w:szCs w:val="21"/>
                    </w:rPr>
                  </w:pPr>
                </w:p>
              </w:tc>
              <w:tc>
                <w:tcPr>
                  <w:tcW w:w="545" w:type="pct"/>
                  <w:vMerge w:val="continue"/>
                  <w:vAlign w:val="center"/>
                </w:tcPr>
                <w:p w14:paraId="25833D14">
                  <w:pPr>
                    <w:widowControl/>
                    <w:spacing w:line="276" w:lineRule="auto"/>
                    <w:jc w:val="left"/>
                    <w:rPr>
                      <w:szCs w:val="21"/>
                    </w:rPr>
                  </w:pPr>
                </w:p>
              </w:tc>
              <w:tc>
                <w:tcPr>
                  <w:tcW w:w="610" w:type="pct"/>
                  <w:vAlign w:val="center"/>
                </w:tcPr>
                <w:p w14:paraId="78FC961A">
                  <w:pPr>
                    <w:spacing w:line="276" w:lineRule="auto"/>
                    <w:jc w:val="center"/>
                    <w:rPr>
                      <w:szCs w:val="21"/>
                    </w:rPr>
                  </w:pPr>
                  <w:r>
                    <w:rPr>
                      <w:szCs w:val="21"/>
                    </w:rPr>
                    <w:t>3.0</w:t>
                  </w:r>
                  <m:oMath>
                    <m:r>
                      <m:rPr/>
                      <w:rPr>
                        <w:rFonts w:ascii="Cambria Math" w:hAnsi="Cambria Math"/>
                        <w:szCs w:val="21"/>
                      </w:rPr>
                      <m:t>×</m:t>
                    </m:r>
                  </m:oMath>
                  <w:r>
                    <w:rPr>
                      <w:rFonts w:hint="eastAsia"/>
                      <w:szCs w:val="21"/>
                    </w:rPr>
                    <w:t>1</w:t>
                  </w:r>
                  <w:r>
                    <w:rPr>
                      <w:szCs w:val="21"/>
                    </w:rPr>
                    <w:t>0</w:t>
                  </w:r>
                  <w:r>
                    <w:rPr>
                      <w:szCs w:val="21"/>
                      <w:vertAlign w:val="superscript"/>
                    </w:rPr>
                    <w:t>-5</w:t>
                  </w:r>
                </w:p>
              </w:tc>
              <w:tc>
                <w:tcPr>
                  <w:tcW w:w="389" w:type="pct"/>
                  <w:vMerge w:val="continue"/>
                  <w:vAlign w:val="center"/>
                </w:tcPr>
                <w:p w14:paraId="362C6CD8">
                  <w:pPr>
                    <w:spacing w:line="276" w:lineRule="auto"/>
                    <w:jc w:val="center"/>
                    <w:rPr>
                      <w:szCs w:val="21"/>
                    </w:rPr>
                  </w:pPr>
                </w:p>
              </w:tc>
              <w:tc>
                <w:tcPr>
                  <w:tcW w:w="713" w:type="pct"/>
                  <w:vMerge w:val="continue"/>
                  <w:vAlign w:val="center"/>
                </w:tcPr>
                <w:p w14:paraId="457226A1">
                  <w:pPr>
                    <w:widowControl/>
                    <w:spacing w:line="276" w:lineRule="auto"/>
                    <w:jc w:val="left"/>
                    <w:rPr>
                      <w:szCs w:val="21"/>
                    </w:rPr>
                  </w:pPr>
                </w:p>
              </w:tc>
            </w:tr>
            <w:tr w14:paraId="4CAFA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46" w:type="pct"/>
                  <w:vMerge w:val="continue"/>
                  <w:vAlign w:val="center"/>
                </w:tcPr>
                <w:p w14:paraId="24E34DFD">
                  <w:pPr>
                    <w:spacing w:line="276" w:lineRule="auto"/>
                    <w:jc w:val="center"/>
                    <w:rPr>
                      <w:szCs w:val="21"/>
                    </w:rPr>
                  </w:pPr>
                </w:p>
              </w:tc>
              <w:tc>
                <w:tcPr>
                  <w:tcW w:w="652" w:type="pct"/>
                  <w:vAlign w:val="center"/>
                </w:tcPr>
                <w:p w14:paraId="02FAA972">
                  <w:pPr>
                    <w:spacing w:line="276" w:lineRule="auto"/>
                    <w:jc w:val="center"/>
                    <w:rPr>
                      <w:szCs w:val="21"/>
                    </w:rPr>
                  </w:pPr>
                  <w:r>
                    <w:rPr>
                      <w:rFonts w:hint="eastAsia"/>
                      <w:szCs w:val="21"/>
                    </w:rPr>
                    <w:t>非甲烷总烃</w:t>
                  </w:r>
                </w:p>
              </w:tc>
              <w:tc>
                <w:tcPr>
                  <w:tcW w:w="538" w:type="pct"/>
                  <w:vAlign w:val="center"/>
                </w:tcPr>
                <w:p w14:paraId="4132E405">
                  <w:pPr>
                    <w:spacing w:line="276" w:lineRule="auto"/>
                    <w:jc w:val="center"/>
                    <w:rPr>
                      <w:szCs w:val="21"/>
                    </w:rPr>
                  </w:pPr>
                  <w:r>
                    <w:rPr>
                      <w:szCs w:val="21"/>
                    </w:rPr>
                    <w:t>0.366</w:t>
                  </w:r>
                </w:p>
              </w:tc>
              <w:tc>
                <w:tcPr>
                  <w:tcW w:w="806" w:type="pct"/>
                  <w:vMerge w:val="continue"/>
                  <w:vAlign w:val="center"/>
                </w:tcPr>
                <w:p w14:paraId="3E7DDBC8">
                  <w:pPr>
                    <w:widowControl/>
                    <w:spacing w:line="276" w:lineRule="auto"/>
                    <w:jc w:val="left"/>
                    <w:rPr>
                      <w:szCs w:val="21"/>
                    </w:rPr>
                  </w:pPr>
                </w:p>
              </w:tc>
              <w:tc>
                <w:tcPr>
                  <w:tcW w:w="545" w:type="pct"/>
                  <w:vMerge w:val="continue"/>
                  <w:vAlign w:val="center"/>
                </w:tcPr>
                <w:p w14:paraId="15024058">
                  <w:pPr>
                    <w:widowControl/>
                    <w:spacing w:line="276" w:lineRule="auto"/>
                    <w:jc w:val="left"/>
                    <w:rPr>
                      <w:szCs w:val="21"/>
                    </w:rPr>
                  </w:pPr>
                </w:p>
              </w:tc>
              <w:tc>
                <w:tcPr>
                  <w:tcW w:w="610" w:type="pct"/>
                  <w:vAlign w:val="center"/>
                </w:tcPr>
                <w:p w14:paraId="619CBCBE">
                  <w:pPr>
                    <w:spacing w:line="276" w:lineRule="auto"/>
                    <w:jc w:val="center"/>
                    <w:rPr>
                      <w:szCs w:val="21"/>
                    </w:rPr>
                  </w:pPr>
                  <w:r>
                    <w:rPr>
                      <w:rFonts w:hint="eastAsia"/>
                      <w:szCs w:val="21"/>
                    </w:rPr>
                    <w:t>0</w:t>
                  </w:r>
                  <w:r>
                    <w:rPr>
                      <w:szCs w:val="21"/>
                    </w:rPr>
                    <w:t>.0366</w:t>
                  </w:r>
                </w:p>
              </w:tc>
              <w:tc>
                <w:tcPr>
                  <w:tcW w:w="389" w:type="pct"/>
                  <w:vMerge w:val="continue"/>
                  <w:vAlign w:val="center"/>
                </w:tcPr>
                <w:p w14:paraId="0F4E6276">
                  <w:pPr>
                    <w:spacing w:line="276" w:lineRule="auto"/>
                    <w:jc w:val="center"/>
                    <w:rPr>
                      <w:szCs w:val="21"/>
                    </w:rPr>
                  </w:pPr>
                </w:p>
              </w:tc>
              <w:tc>
                <w:tcPr>
                  <w:tcW w:w="713" w:type="pct"/>
                  <w:vMerge w:val="continue"/>
                  <w:vAlign w:val="center"/>
                </w:tcPr>
                <w:p w14:paraId="7CB2C529">
                  <w:pPr>
                    <w:widowControl/>
                    <w:spacing w:line="276" w:lineRule="auto"/>
                    <w:jc w:val="left"/>
                    <w:rPr>
                      <w:szCs w:val="21"/>
                    </w:rPr>
                  </w:pPr>
                </w:p>
              </w:tc>
            </w:tr>
          </w:tbl>
          <w:p w14:paraId="3940798A">
            <w:pPr>
              <w:spacing w:line="360" w:lineRule="auto"/>
              <w:rPr>
                <w:b/>
                <w:bCs/>
                <w:sz w:val="24"/>
                <w:szCs w:val="28"/>
              </w:rPr>
            </w:pPr>
          </w:p>
        </w:tc>
      </w:tr>
    </w:tbl>
    <w:p w14:paraId="2CA65BDE">
      <w:pPr>
        <w:widowControl/>
        <w:outlineLvl w:val="0"/>
        <w:rPr>
          <w:rFonts w:ascii="宋体" w:hAnsi="宋体"/>
          <w:b/>
          <w:bCs/>
          <w:kern w:val="0"/>
          <w:sz w:val="30"/>
          <w:szCs w:val="30"/>
        </w:rPr>
        <w:sectPr>
          <w:pgSz w:w="16838" w:h="11906" w:orient="landscape"/>
          <w:pgMar w:top="1797" w:right="1440" w:bottom="1508" w:left="1440" w:header="851" w:footer="992" w:gutter="0"/>
          <w:cols w:space="720" w:num="1"/>
          <w:docGrid w:type="linesAndChars" w:linePitch="312" w:charSpace="0"/>
        </w:sect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2"/>
        <w:gridCol w:w="8365"/>
      </w:tblGrid>
      <w:tr w14:paraId="5230B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44" w:type="dxa"/>
            <w:vAlign w:val="center"/>
          </w:tcPr>
          <w:p w14:paraId="3469A0BD">
            <w:pPr>
              <w:spacing w:line="360" w:lineRule="auto"/>
              <w:jc w:val="center"/>
              <w:rPr>
                <w:sz w:val="24"/>
              </w:rPr>
            </w:pPr>
            <w:r>
              <w:rPr>
                <w:rFonts w:hint="eastAsia" w:hAnsi="宋体"/>
                <w:kern w:val="0"/>
                <w:sz w:val="24"/>
              </w:rPr>
              <w:t>运营期环境影响和保护措施</w:t>
            </w:r>
          </w:p>
        </w:tc>
        <w:tc>
          <w:tcPr>
            <w:tcW w:w="8311" w:type="dxa"/>
          </w:tcPr>
          <w:p w14:paraId="69CF62F1">
            <w:pPr>
              <w:spacing w:line="360" w:lineRule="auto"/>
              <w:ind w:firstLine="482" w:firstLineChars="200"/>
              <w:rPr>
                <w:b/>
                <w:sz w:val="24"/>
              </w:rPr>
            </w:pPr>
            <w:r>
              <w:rPr>
                <w:b/>
                <w:sz w:val="24"/>
              </w:rPr>
              <w:t>2</w:t>
            </w:r>
            <w:r>
              <w:rPr>
                <w:rFonts w:hint="eastAsia"/>
                <w:b/>
                <w:sz w:val="24"/>
              </w:rPr>
              <w:t>、非正常工况</w:t>
            </w:r>
          </w:p>
          <w:p w14:paraId="7D3D0B5B">
            <w:pPr>
              <w:spacing w:line="360" w:lineRule="auto"/>
              <w:ind w:firstLine="480" w:firstLineChars="200"/>
              <w:jc w:val="left"/>
              <w:rPr>
                <w:bCs/>
                <w:sz w:val="24"/>
                <w:szCs w:val="24"/>
              </w:rPr>
            </w:pPr>
            <w:r>
              <w:rPr>
                <w:rFonts w:hint="eastAsia"/>
                <w:bCs/>
                <w:sz w:val="24"/>
                <w:szCs w:val="24"/>
              </w:rPr>
              <w:t>该项目非正常排放考虑废气处理装置（活性炭失效）达不到应有效率从而发生非正常排放，一般事故的非正常排放效率约每年</w:t>
            </w:r>
            <w:r>
              <w:rPr>
                <w:bCs/>
                <w:sz w:val="24"/>
                <w:szCs w:val="24"/>
              </w:rPr>
              <w:t>1-3</w:t>
            </w:r>
            <w:r>
              <w:rPr>
                <w:rFonts w:hint="eastAsia"/>
                <w:bCs/>
                <w:sz w:val="24"/>
                <w:szCs w:val="24"/>
              </w:rPr>
              <w:t>次，为小概率事件。本次评价取</w:t>
            </w:r>
            <w:r>
              <w:rPr>
                <w:bCs/>
                <w:sz w:val="24"/>
                <w:szCs w:val="24"/>
              </w:rPr>
              <w:t>2</w:t>
            </w:r>
            <w:r>
              <w:rPr>
                <w:rFonts w:hint="eastAsia"/>
                <w:bCs/>
                <w:sz w:val="24"/>
                <w:szCs w:val="24"/>
              </w:rPr>
              <w:t>次</w:t>
            </w:r>
            <w:r>
              <w:rPr>
                <w:bCs/>
                <w:sz w:val="24"/>
                <w:szCs w:val="24"/>
              </w:rPr>
              <w:t>/</w:t>
            </w:r>
            <w:r>
              <w:rPr>
                <w:rFonts w:hint="eastAsia"/>
                <w:bCs/>
                <w:sz w:val="24"/>
                <w:szCs w:val="24"/>
              </w:rPr>
              <w:t>年，每次持续时间</w:t>
            </w:r>
            <w:r>
              <w:rPr>
                <w:bCs/>
                <w:sz w:val="24"/>
                <w:szCs w:val="24"/>
              </w:rPr>
              <w:t>30</w:t>
            </w:r>
            <w:r>
              <w:rPr>
                <w:rFonts w:hint="eastAsia"/>
                <w:bCs/>
                <w:sz w:val="24"/>
                <w:szCs w:val="24"/>
              </w:rPr>
              <w:t>分钟。根据污染源核算中的污染物产生情况，本项目非正常排放源强见下表所示：</w:t>
            </w:r>
          </w:p>
          <w:p w14:paraId="545D47FA">
            <w:pPr>
              <w:spacing w:line="360" w:lineRule="auto"/>
              <w:jc w:val="center"/>
              <w:rPr>
                <w:szCs w:val="21"/>
              </w:rPr>
            </w:pPr>
            <w:r>
              <w:rPr>
                <w:rFonts w:hint="eastAsia" w:hAnsi="黑体" w:eastAsia="黑体"/>
                <w:sz w:val="24"/>
                <w:szCs w:val="24"/>
              </w:rPr>
              <w:t>表40  项目非正常工况排放参数表</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072"/>
              <w:gridCol w:w="1372"/>
              <w:gridCol w:w="1066"/>
              <w:gridCol w:w="1374"/>
              <w:gridCol w:w="1338"/>
              <w:gridCol w:w="913"/>
            </w:tblGrid>
            <w:tr w14:paraId="65596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06D020D3">
                  <w:pPr>
                    <w:widowControl/>
                    <w:spacing w:line="276" w:lineRule="auto"/>
                    <w:jc w:val="center"/>
                    <w:rPr>
                      <w:b/>
                      <w:szCs w:val="21"/>
                    </w:rPr>
                  </w:pPr>
                  <w:r>
                    <w:rPr>
                      <w:rFonts w:hint="eastAsia" w:hAnsi="宋体"/>
                      <w:b/>
                      <w:szCs w:val="21"/>
                    </w:rPr>
                    <w:t>非正常排放源</w:t>
                  </w:r>
                </w:p>
              </w:tc>
              <w:tc>
                <w:tcPr>
                  <w:tcW w:w="658" w:type="pct"/>
                  <w:vAlign w:val="center"/>
                </w:tcPr>
                <w:p w14:paraId="5C7A66D6">
                  <w:pPr>
                    <w:widowControl/>
                    <w:spacing w:line="276" w:lineRule="auto"/>
                    <w:jc w:val="center"/>
                    <w:rPr>
                      <w:b/>
                      <w:szCs w:val="21"/>
                    </w:rPr>
                  </w:pPr>
                  <w:r>
                    <w:rPr>
                      <w:rFonts w:hint="eastAsia" w:hAnsi="宋体"/>
                      <w:b/>
                      <w:szCs w:val="21"/>
                    </w:rPr>
                    <w:t>非正常排放原因</w:t>
                  </w:r>
                </w:p>
              </w:tc>
              <w:tc>
                <w:tcPr>
                  <w:tcW w:w="842" w:type="pct"/>
                  <w:vAlign w:val="center"/>
                </w:tcPr>
                <w:p w14:paraId="752B154B">
                  <w:pPr>
                    <w:widowControl/>
                    <w:spacing w:line="276" w:lineRule="auto"/>
                    <w:jc w:val="center"/>
                    <w:rPr>
                      <w:b/>
                      <w:szCs w:val="21"/>
                    </w:rPr>
                  </w:pPr>
                  <w:r>
                    <w:rPr>
                      <w:rFonts w:hint="eastAsia" w:hAnsi="宋体"/>
                      <w:b/>
                      <w:szCs w:val="21"/>
                    </w:rPr>
                    <w:t>污染物</w:t>
                  </w:r>
                </w:p>
              </w:tc>
              <w:tc>
                <w:tcPr>
                  <w:tcW w:w="654" w:type="pct"/>
                  <w:vAlign w:val="center"/>
                </w:tcPr>
                <w:p w14:paraId="3D2A02B5">
                  <w:pPr>
                    <w:widowControl/>
                    <w:spacing w:line="276" w:lineRule="auto"/>
                    <w:jc w:val="center"/>
                    <w:rPr>
                      <w:b/>
                      <w:szCs w:val="21"/>
                    </w:rPr>
                  </w:pPr>
                  <w:r>
                    <w:rPr>
                      <w:rFonts w:hint="eastAsia" w:hAnsi="宋体"/>
                      <w:b/>
                      <w:szCs w:val="21"/>
                    </w:rPr>
                    <w:t>单次持续时间</w:t>
                  </w:r>
                  <w:r>
                    <w:rPr>
                      <w:rFonts w:hint="eastAsia"/>
                      <w:b/>
                      <w:szCs w:val="21"/>
                    </w:rPr>
                    <w:t>（</w:t>
                  </w:r>
                  <w:r>
                    <w:rPr>
                      <w:b/>
                      <w:szCs w:val="21"/>
                    </w:rPr>
                    <w:t>h</w:t>
                  </w:r>
                  <w:r>
                    <w:rPr>
                      <w:rFonts w:hint="eastAsia"/>
                      <w:b/>
                      <w:szCs w:val="21"/>
                    </w:rPr>
                    <w:t>）</w:t>
                  </w:r>
                </w:p>
              </w:tc>
              <w:tc>
                <w:tcPr>
                  <w:tcW w:w="843" w:type="pct"/>
                  <w:vAlign w:val="center"/>
                </w:tcPr>
                <w:p w14:paraId="744E3CB5">
                  <w:pPr>
                    <w:widowControl/>
                    <w:spacing w:line="276" w:lineRule="auto"/>
                    <w:jc w:val="center"/>
                    <w:rPr>
                      <w:b/>
                      <w:szCs w:val="21"/>
                    </w:rPr>
                  </w:pPr>
                  <w:r>
                    <w:rPr>
                      <w:rFonts w:hint="eastAsia" w:hAnsi="宋体"/>
                      <w:b/>
                      <w:szCs w:val="21"/>
                    </w:rPr>
                    <w:t>非正常排放速率（</w:t>
                  </w:r>
                  <w:r>
                    <w:rPr>
                      <w:b/>
                      <w:szCs w:val="21"/>
                    </w:rPr>
                    <w:t>kg/h</w:t>
                  </w:r>
                  <w:r>
                    <w:rPr>
                      <w:rFonts w:hint="eastAsia" w:hAnsi="宋体"/>
                      <w:b/>
                      <w:szCs w:val="21"/>
                    </w:rPr>
                    <w:t>）</w:t>
                  </w:r>
                </w:p>
              </w:tc>
              <w:tc>
                <w:tcPr>
                  <w:tcW w:w="821" w:type="pct"/>
                  <w:vAlign w:val="center"/>
                </w:tcPr>
                <w:p w14:paraId="4000A66E">
                  <w:pPr>
                    <w:widowControl/>
                    <w:spacing w:line="276" w:lineRule="auto"/>
                    <w:jc w:val="center"/>
                    <w:rPr>
                      <w:b/>
                      <w:szCs w:val="21"/>
                    </w:rPr>
                  </w:pPr>
                  <w:r>
                    <w:rPr>
                      <w:rFonts w:hint="eastAsia" w:hAnsi="宋体"/>
                      <w:b/>
                      <w:szCs w:val="21"/>
                    </w:rPr>
                    <w:t>非正常排放浓度（</w:t>
                  </w:r>
                  <w:r>
                    <w:rPr>
                      <w:b/>
                      <w:szCs w:val="21"/>
                    </w:rPr>
                    <w:t>mg/m</w:t>
                  </w:r>
                  <w:r>
                    <w:rPr>
                      <w:b/>
                      <w:szCs w:val="21"/>
                      <w:vertAlign w:val="superscript"/>
                    </w:rPr>
                    <w:t>3</w:t>
                  </w:r>
                  <w:r>
                    <w:rPr>
                      <w:rFonts w:hint="eastAsia" w:hAnsi="宋体"/>
                      <w:b/>
                      <w:szCs w:val="21"/>
                    </w:rPr>
                    <w:t>）</w:t>
                  </w:r>
                </w:p>
              </w:tc>
              <w:tc>
                <w:tcPr>
                  <w:tcW w:w="560" w:type="pct"/>
                  <w:vAlign w:val="center"/>
                </w:tcPr>
                <w:p w14:paraId="0BB69851">
                  <w:pPr>
                    <w:widowControl/>
                    <w:spacing w:line="276" w:lineRule="auto"/>
                    <w:jc w:val="center"/>
                    <w:rPr>
                      <w:b/>
                      <w:szCs w:val="21"/>
                    </w:rPr>
                  </w:pPr>
                  <w:r>
                    <w:rPr>
                      <w:rFonts w:hint="eastAsia" w:hAnsi="宋体"/>
                      <w:b/>
                      <w:szCs w:val="21"/>
                    </w:rPr>
                    <w:t>年发生频次（次）</w:t>
                  </w:r>
                </w:p>
              </w:tc>
            </w:tr>
            <w:tr w14:paraId="599E79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22" w:type="pct"/>
                  <w:vAlign w:val="center"/>
                </w:tcPr>
                <w:p w14:paraId="6928DC96">
                  <w:pPr>
                    <w:widowControl/>
                    <w:spacing w:line="276" w:lineRule="auto"/>
                    <w:jc w:val="center"/>
                    <w:rPr>
                      <w:szCs w:val="21"/>
                    </w:rPr>
                  </w:pPr>
                  <w:r>
                    <w:rPr>
                      <w:szCs w:val="21"/>
                    </w:rPr>
                    <w:t>DA002</w:t>
                  </w:r>
                </w:p>
              </w:tc>
              <w:tc>
                <w:tcPr>
                  <w:tcW w:w="658" w:type="pct"/>
                  <w:vAlign w:val="center"/>
                </w:tcPr>
                <w:p w14:paraId="2399128A">
                  <w:pPr>
                    <w:widowControl/>
                    <w:spacing w:line="276" w:lineRule="auto"/>
                    <w:jc w:val="center"/>
                    <w:rPr>
                      <w:szCs w:val="21"/>
                    </w:rPr>
                  </w:pPr>
                  <w:r>
                    <w:rPr>
                      <w:rFonts w:hint="eastAsia"/>
                      <w:szCs w:val="21"/>
                    </w:rPr>
                    <w:t>活性炭失效</w:t>
                  </w:r>
                </w:p>
              </w:tc>
              <w:tc>
                <w:tcPr>
                  <w:tcW w:w="842" w:type="pct"/>
                  <w:vAlign w:val="center"/>
                </w:tcPr>
                <w:p w14:paraId="0D972863">
                  <w:pPr>
                    <w:widowControl/>
                    <w:spacing w:line="276" w:lineRule="auto"/>
                    <w:jc w:val="center"/>
                    <w:rPr>
                      <w:szCs w:val="21"/>
                    </w:rPr>
                  </w:pPr>
                  <w:r>
                    <w:rPr>
                      <w:szCs w:val="21"/>
                    </w:rPr>
                    <w:t>非甲烷总烃</w:t>
                  </w:r>
                </w:p>
              </w:tc>
              <w:tc>
                <w:tcPr>
                  <w:tcW w:w="654" w:type="pct"/>
                  <w:vAlign w:val="center"/>
                </w:tcPr>
                <w:p w14:paraId="5D13A5F7">
                  <w:pPr>
                    <w:widowControl/>
                    <w:spacing w:line="276" w:lineRule="auto"/>
                    <w:jc w:val="center"/>
                    <w:rPr>
                      <w:szCs w:val="21"/>
                    </w:rPr>
                  </w:pPr>
                  <w:r>
                    <w:rPr>
                      <w:rFonts w:hint="eastAsia"/>
                      <w:szCs w:val="21"/>
                    </w:rPr>
                    <w:t>0.5</w:t>
                  </w:r>
                </w:p>
              </w:tc>
              <w:tc>
                <w:tcPr>
                  <w:tcW w:w="843" w:type="pct"/>
                  <w:vAlign w:val="center"/>
                </w:tcPr>
                <w:p w14:paraId="675EA4B7">
                  <w:pPr>
                    <w:widowControl/>
                    <w:spacing w:line="276" w:lineRule="auto"/>
                    <w:jc w:val="center"/>
                    <w:rPr>
                      <w:szCs w:val="21"/>
                    </w:rPr>
                  </w:pPr>
                  <w:r>
                    <w:rPr>
                      <w:rFonts w:hint="eastAsia"/>
                      <w:szCs w:val="21"/>
                    </w:rPr>
                    <w:t>0</w:t>
                  </w:r>
                  <w:r>
                    <w:rPr>
                      <w:szCs w:val="21"/>
                    </w:rPr>
                    <w:t>.1</w:t>
                  </w:r>
                  <w:r>
                    <w:rPr>
                      <w:rFonts w:hint="eastAsia"/>
                      <w:szCs w:val="21"/>
                    </w:rPr>
                    <w:t>10</w:t>
                  </w:r>
                </w:p>
              </w:tc>
              <w:tc>
                <w:tcPr>
                  <w:tcW w:w="821" w:type="pct"/>
                  <w:vAlign w:val="center"/>
                </w:tcPr>
                <w:p w14:paraId="11409B8F">
                  <w:pPr>
                    <w:widowControl/>
                    <w:spacing w:line="276" w:lineRule="auto"/>
                    <w:jc w:val="center"/>
                    <w:rPr>
                      <w:szCs w:val="21"/>
                    </w:rPr>
                  </w:pPr>
                  <w:r>
                    <w:rPr>
                      <w:rFonts w:hint="eastAsia"/>
                      <w:szCs w:val="21"/>
                    </w:rPr>
                    <w:t>12.2</w:t>
                  </w:r>
                </w:p>
              </w:tc>
              <w:tc>
                <w:tcPr>
                  <w:tcW w:w="560" w:type="pct"/>
                  <w:vAlign w:val="center"/>
                </w:tcPr>
                <w:p w14:paraId="5AE5C803">
                  <w:pPr>
                    <w:widowControl/>
                    <w:spacing w:line="276" w:lineRule="auto"/>
                    <w:jc w:val="center"/>
                    <w:rPr>
                      <w:szCs w:val="21"/>
                    </w:rPr>
                  </w:pPr>
                  <w:r>
                    <w:rPr>
                      <w:rFonts w:hint="eastAsia"/>
                      <w:szCs w:val="21"/>
                    </w:rPr>
                    <w:t>2</w:t>
                  </w:r>
                </w:p>
              </w:tc>
            </w:tr>
          </w:tbl>
          <w:p w14:paraId="4958D6C0">
            <w:pPr>
              <w:spacing w:line="360" w:lineRule="auto"/>
              <w:ind w:firstLine="480" w:firstLineChars="200"/>
              <w:jc w:val="left"/>
              <w:rPr>
                <w:bCs/>
                <w:sz w:val="24"/>
                <w:szCs w:val="24"/>
              </w:rPr>
            </w:pPr>
            <w:r>
              <w:rPr>
                <w:rFonts w:hint="eastAsia"/>
                <w:bCs/>
                <w:sz w:val="24"/>
                <w:szCs w:val="24"/>
              </w:rPr>
              <w:t>由上表可知，本项目在污染治理设施非正常运行时，短时间内污染物排放浓度较大，但由于持续时间较短，污染物的排放量不会明显增加。此外，为保证废气治理设施处理效率，应做好以下措施：</w:t>
            </w:r>
          </w:p>
          <w:p w14:paraId="0297C311">
            <w:pPr>
              <w:spacing w:line="360" w:lineRule="auto"/>
              <w:ind w:firstLine="480" w:firstLineChars="200"/>
              <w:jc w:val="left"/>
              <w:rPr>
                <w:bCs/>
                <w:sz w:val="24"/>
                <w:szCs w:val="24"/>
              </w:rPr>
            </w:pPr>
            <w:r>
              <w:rPr>
                <w:rFonts w:hint="eastAsia"/>
                <w:bCs/>
                <w:sz w:val="24"/>
                <w:szCs w:val="24"/>
              </w:rPr>
              <w:t>①建设单位要定期对废气处理系统等环保设施进行维护和保养，一旦发现设施运行异常，应立即停止生产，迅速抢修或更换，待废气处理设施运行正常后恢复生产。</w:t>
            </w:r>
          </w:p>
          <w:p w14:paraId="0F6E9703">
            <w:pPr>
              <w:spacing w:line="360" w:lineRule="auto"/>
              <w:ind w:firstLine="480" w:firstLineChars="200"/>
              <w:jc w:val="left"/>
              <w:rPr>
                <w:bCs/>
                <w:sz w:val="24"/>
                <w:szCs w:val="24"/>
              </w:rPr>
            </w:pPr>
            <w:r>
              <w:rPr>
                <w:rFonts w:hint="eastAsia"/>
                <w:bCs/>
                <w:sz w:val="24"/>
                <w:szCs w:val="24"/>
              </w:rPr>
              <w:t>②建议设有备用电源、备用处理设备和备用零件，以备停电或设备出现故障时保障及时更换，使废气全部达标排放。</w:t>
            </w:r>
          </w:p>
          <w:p w14:paraId="1E0ABDE2">
            <w:pPr>
              <w:spacing w:line="360" w:lineRule="auto"/>
              <w:ind w:firstLine="480" w:firstLineChars="200"/>
              <w:jc w:val="left"/>
              <w:rPr>
                <w:bCs/>
                <w:sz w:val="24"/>
                <w:szCs w:val="24"/>
              </w:rPr>
            </w:pPr>
            <w:r>
              <w:rPr>
                <w:rFonts w:hint="eastAsia"/>
                <w:bCs/>
                <w:sz w:val="24"/>
                <w:szCs w:val="24"/>
              </w:rPr>
              <w:t>③对员工进行岗位培训。做好值班记录，实行岗位责任制。</w:t>
            </w:r>
          </w:p>
          <w:p w14:paraId="5A3C0ECA">
            <w:pPr>
              <w:spacing w:line="360" w:lineRule="auto"/>
              <w:ind w:firstLine="482" w:firstLineChars="200"/>
              <w:jc w:val="left"/>
              <w:rPr>
                <w:b/>
                <w:sz w:val="24"/>
              </w:rPr>
            </w:pPr>
            <w:r>
              <w:rPr>
                <w:rFonts w:hint="eastAsia"/>
                <w:b/>
                <w:sz w:val="24"/>
              </w:rPr>
              <w:t>3、废气环保措施可行性分析</w:t>
            </w:r>
          </w:p>
          <w:p w14:paraId="482F08B1">
            <w:pPr>
              <w:pStyle w:val="108"/>
              <w:adjustRightInd/>
              <w:spacing w:line="360" w:lineRule="auto"/>
              <w:ind w:firstLine="480" w:firstLineChars="200"/>
              <w:rPr>
                <w:color w:val="auto"/>
              </w:rPr>
            </w:pPr>
            <w:r>
              <w:rPr>
                <w:rFonts w:hint="eastAsia"/>
                <w:color w:val="auto"/>
              </w:rPr>
              <w:t>（1）达标可行性分析</w:t>
            </w:r>
          </w:p>
          <w:p w14:paraId="6A333E51">
            <w:pPr>
              <w:pStyle w:val="108"/>
              <w:adjustRightInd/>
              <w:spacing w:line="360" w:lineRule="auto"/>
              <w:ind w:firstLine="480" w:firstLineChars="200"/>
              <w:jc w:val="both"/>
              <w:rPr>
                <w:color w:val="auto"/>
              </w:rPr>
            </w:pPr>
            <w:r>
              <w:rPr>
                <w:rFonts w:hint="eastAsia"/>
                <w:color w:val="auto"/>
              </w:rPr>
              <w:t>本项目热熔封口废气通过集气罩收集后由D</w:t>
            </w:r>
            <w:r>
              <w:rPr>
                <w:color w:val="auto"/>
              </w:rPr>
              <w:t>A001</w:t>
            </w:r>
            <w:r>
              <w:rPr>
                <w:rFonts w:hint="eastAsia"/>
                <w:color w:val="auto"/>
              </w:rPr>
              <w:t>排气筒排放，废气中颗粒物、S</w:t>
            </w:r>
            <w:r>
              <w:rPr>
                <w:color w:val="auto"/>
              </w:rPr>
              <w:t>O</w:t>
            </w:r>
            <w:r>
              <w:rPr>
                <w:color w:val="auto"/>
                <w:vertAlign w:val="subscript"/>
              </w:rPr>
              <w:t>2</w:t>
            </w:r>
            <w:r>
              <w:rPr>
                <w:rFonts w:hint="eastAsia"/>
                <w:color w:val="auto"/>
              </w:rPr>
              <w:t>、N</w:t>
            </w:r>
            <w:r>
              <w:rPr>
                <w:color w:val="auto"/>
              </w:rPr>
              <w:t>O</w:t>
            </w:r>
            <w:r>
              <w:rPr>
                <w:color w:val="auto"/>
                <w:vertAlign w:val="subscript"/>
              </w:rPr>
              <w:t>2</w:t>
            </w:r>
            <w:r>
              <w:rPr>
                <w:rFonts w:hint="eastAsia"/>
                <w:color w:val="auto"/>
              </w:rPr>
              <w:t>的排放</w:t>
            </w:r>
            <w:r>
              <w:rPr>
                <w:rFonts w:hint="eastAsia"/>
                <w:color w:val="auto"/>
                <w:spacing w:val="-2"/>
                <w:szCs w:val="20"/>
              </w:rPr>
              <w:t>能满足《大气污染物综合排放标准》（GB16297-1996）表2中二级标准限值要求；塑料封口废气、组合管清洗废气、（组合管）离心废气</w:t>
            </w:r>
            <w:r>
              <w:rPr>
                <w:rFonts w:hint="eastAsia"/>
                <w:color w:val="auto"/>
              </w:rPr>
              <w:t>通过集气罩收集后经二级活性炭吸附装置处理后，最终由DA00</w:t>
            </w:r>
            <w:r>
              <w:rPr>
                <w:color w:val="auto"/>
              </w:rPr>
              <w:t>2</w:t>
            </w:r>
            <w:r>
              <w:rPr>
                <w:rFonts w:hint="eastAsia"/>
                <w:color w:val="auto"/>
              </w:rPr>
              <w:t>排气筒排放，废气中非甲烷总烃的排放</w:t>
            </w:r>
            <w:r>
              <w:rPr>
                <w:rFonts w:hint="eastAsia"/>
                <w:color w:val="auto"/>
                <w:spacing w:val="-2"/>
                <w:szCs w:val="20"/>
              </w:rPr>
              <w:t>能满足《合成树脂工业污染物排放标准》（G</w:t>
            </w:r>
            <w:r>
              <w:rPr>
                <w:color w:val="auto"/>
                <w:spacing w:val="-2"/>
                <w:szCs w:val="20"/>
              </w:rPr>
              <w:t>B31572-2015</w:t>
            </w:r>
            <w:r>
              <w:rPr>
                <w:rFonts w:hint="eastAsia"/>
                <w:color w:val="auto"/>
                <w:spacing w:val="-2"/>
                <w:szCs w:val="20"/>
              </w:rPr>
              <w:t>）中特别排放限值。</w:t>
            </w:r>
          </w:p>
          <w:p w14:paraId="372D18B8">
            <w:pPr>
              <w:pStyle w:val="108"/>
              <w:adjustRightInd/>
              <w:spacing w:line="360" w:lineRule="auto"/>
              <w:ind w:firstLine="480" w:firstLineChars="200"/>
              <w:rPr>
                <w:color w:val="auto"/>
              </w:rPr>
            </w:pPr>
            <w:r>
              <w:rPr>
                <w:rFonts w:hint="eastAsia"/>
                <w:color w:val="auto"/>
              </w:rPr>
              <w:t>（2）废气处理措施可行性分析</w:t>
            </w:r>
          </w:p>
          <w:p w14:paraId="3392275A">
            <w:pPr>
              <w:pStyle w:val="108"/>
              <w:adjustRightInd/>
              <w:spacing w:line="360" w:lineRule="auto"/>
              <w:ind w:firstLine="480" w:firstLineChars="200"/>
              <w:rPr>
                <w:color w:val="auto"/>
              </w:rPr>
            </w:pPr>
            <w:r>
              <w:rPr>
                <w:color w:val="auto"/>
              </w:rPr>
              <w:t>根据《挥发性有机物（</w:t>
            </w:r>
            <w:r>
              <w:rPr>
                <w:rFonts w:hint="eastAsia"/>
                <w:color w:val="auto"/>
              </w:rPr>
              <w:t>VOCs</w:t>
            </w:r>
            <w:r>
              <w:rPr>
                <w:color w:val="auto"/>
              </w:rPr>
              <w:t>）污染防治技术政策》（公告</w:t>
            </w:r>
            <w:r>
              <w:rPr>
                <w:rFonts w:hint="eastAsia"/>
                <w:color w:val="auto"/>
              </w:rPr>
              <w:t>2013年第31号）及参照</w:t>
            </w:r>
            <w:r>
              <w:rPr>
                <w:color w:val="auto"/>
              </w:rPr>
              <w:t>《排污许可证申请与核发技术规范</w:t>
            </w:r>
            <w:r>
              <w:rPr>
                <w:rFonts w:hint="eastAsia"/>
                <w:color w:val="auto"/>
              </w:rPr>
              <w:t xml:space="preserve"> 橡胶和塑料制品工业</w:t>
            </w:r>
            <w:r>
              <w:rPr>
                <w:color w:val="auto"/>
              </w:rPr>
              <w:t>》（</w:t>
            </w:r>
            <w:r>
              <w:rPr>
                <w:rFonts w:hint="eastAsia"/>
                <w:color w:val="auto"/>
              </w:rPr>
              <w:t>HJ1122-2020</w:t>
            </w:r>
            <w:r>
              <w:rPr>
                <w:color w:val="auto"/>
              </w:rPr>
              <w:t>）中废气污染防治可行技术</w:t>
            </w:r>
            <w:r>
              <w:rPr>
                <w:rFonts w:hint="eastAsia"/>
                <w:color w:val="auto"/>
              </w:rPr>
              <w:t>，项目废气处理装置均为可行技术。</w:t>
            </w:r>
          </w:p>
          <w:p w14:paraId="081CCA6F">
            <w:pPr>
              <w:spacing w:line="360" w:lineRule="auto"/>
              <w:jc w:val="center"/>
              <w:rPr>
                <w:rFonts w:eastAsia="黑体"/>
                <w:szCs w:val="21"/>
              </w:rPr>
            </w:pPr>
            <w:r>
              <w:rPr>
                <w:rFonts w:hAnsi="黑体" w:eastAsia="黑体"/>
                <w:sz w:val="24"/>
                <w:szCs w:val="24"/>
              </w:rPr>
              <w:t>表</w:t>
            </w:r>
            <w:r>
              <w:rPr>
                <w:rFonts w:hint="eastAsia" w:hAnsi="黑体" w:eastAsia="黑体"/>
                <w:sz w:val="24"/>
                <w:szCs w:val="24"/>
              </w:rPr>
              <w:t>41</w:t>
            </w:r>
            <w:r>
              <w:rPr>
                <w:rFonts w:hAnsi="黑体" w:eastAsia="黑体"/>
                <w:sz w:val="24"/>
                <w:szCs w:val="24"/>
              </w:rPr>
              <w:t xml:space="preserve">  废气污染防治可行技术参考表</w:t>
            </w:r>
          </w:p>
          <w:tbl>
            <w:tblPr>
              <w:tblStyle w:val="3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08"/>
              <w:gridCol w:w="1565"/>
              <w:gridCol w:w="2275"/>
              <w:gridCol w:w="1990"/>
              <w:gridCol w:w="1211"/>
            </w:tblGrid>
            <w:tr w14:paraId="20DD37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0" w:type="pct"/>
                  <w:vAlign w:val="center"/>
                </w:tcPr>
                <w:p w14:paraId="08D2B209">
                  <w:pPr>
                    <w:spacing w:line="276" w:lineRule="auto"/>
                    <w:jc w:val="center"/>
                    <w:rPr>
                      <w:b/>
                    </w:rPr>
                  </w:pPr>
                  <w:r>
                    <w:rPr>
                      <w:rFonts w:hint="eastAsia"/>
                      <w:b/>
                    </w:rPr>
                    <w:t>生产设施</w:t>
                  </w:r>
                </w:p>
              </w:tc>
              <w:tc>
                <w:tcPr>
                  <w:tcW w:w="960" w:type="pct"/>
                  <w:vAlign w:val="center"/>
                </w:tcPr>
                <w:p w14:paraId="0D9A8061">
                  <w:pPr>
                    <w:spacing w:line="276" w:lineRule="auto"/>
                    <w:jc w:val="center"/>
                    <w:rPr>
                      <w:b/>
                    </w:rPr>
                  </w:pPr>
                  <w:r>
                    <w:rPr>
                      <w:rFonts w:hint="eastAsia"/>
                      <w:b/>
                    </w:rPr>
                    <w:t>污染控制项目</w:t>
                  </w:r>
                </w:p>
              </w:tc>
              <w:tc>
                <w:tcPr>
                  <w:tcW w:w="1396" w:type="pct"/>
                  <w:vAlign w:val="center"/>
                </w:tcPr>
                <w:p w14:paraId="4C644690">
                  <w:pPr>
                    <w:spacing w:line="276" w:lineRule="auto"/>
                    <w:jc w:val="center"/>
                    <w:rPr>
                      <w:b/>
                    </w:rPr>
                  </w:pPr>
                  <w:r>
                    <w:rPr>
                      <w:rFonts w:hint="eastAsia"/>
                      <w:b/>
                    </w:rPr>
                    <w:t>规范中可行性技术</w:t>
                  </w:r>
                </w:p>
              </w:tc>
              <w:tc>
                <w:tcPr>
                  <w:tcW w:w="1221" w:type="pct"/>
                  <w:vAlign w:val="center"/>
                </w:tcPr>
                <w:p w14:paraId="5B15DE6F">
                  <w:pPr>
                    <w:spacing w:line="276" w:lineRule="auto"/>
                    <w:jc w:val="center"/>
                    <w:rPr>
                      <w:b/>
                    </w:rPr>
                  </w:pPr>
                  <w:r>
                    <w:rPr>
                      <w:rFonts w:hint="eastAsia"/>
                      <w:b/>
                    </w:rPr>
                    <w:t>本项目情况</w:t>
                  </w:r>
                </w:p>
              </w:tc>
              <w:tc>
                <w:tcPr>
                  <w:tcW w:w="743" w:type="pct"/>
                  <w:vAlign w:val="center"/>
                </w:tcPr>
                <w:p w14:paraId="46F4BA86">
                  <w:pPr>
                    <w:spacing w:line="276" w:lineRule="auto"/>
                    <w:jc w:val="center"/>
                    <w:rPr>
                      <w:b/>
                    </w:rPr>
                  </w:pPr>
                  <w:r>
                    <w:rPr>
                      <w:rFonts w:hint="eastAsia"/>
                      <w:b/>
                    </w:rPr>
                    <w:t>是否是可行技术</w:t>
                  </w:r>
                </w:p>
              </w:tc>
            </w:tr>
            <w:tr w14:paraId="0C78B7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0" w:type="pct"/>
                  <w:vAlign w:val="center"/>
                </w:tcPr>
                <w:p w14:paraId="6CC0DA59">
                  <w:pPr>
                    <w:spacing w:line="276" w:lineRule="auto"/>
                    <w:jc w:val="center"/>
                  </w:pPr>
                  <w:r>
                    <w:rPr>
                      <w:rFonts w:hint="eastAsia"/>
                    </w:rPr>
                    <w:t>玻璃管热熔封口废气</w:t>
                  </w:r>
                </w:p>
              </w:tc>
              <w:tc>
                <w:tcPr>
                  <w:tcW w:w="960" w:type="pct"/>
                  <w:vAlign w:val="center"/>
                </w:tcPr>
                <w:p w14:paraId="391C86BA">
                  <w:pPr>
                    <w:spacing w:line="276" w:lineRule="auto"/>
                    <w:jc w:val="center"/>
                    <w:rPr>
                      <w:szCs w:val="21"/>
                      <w:lang w:val="zh-CN"/>
                    </w:rPr>
                  </w:pPr>
                  <w:r>
                    <w:rPr>
                      <w:rFonts w:hint="eastAsia"/>
                      <w:szCs w:val="21"/>
                      <w:lang w:val="zh-CN"/>
                    </w:rPr>
                    <w:t>颗粒物、SO</w:t>
                  </w:r>
                  <w:r>
                    <w:rPr>
                      <w:rFonts w:hint="eastAsia"/>
                      <w:szCs w:val="21"/>
                      <w:vertAlign w:val="subscript"/>
                      <w:lang w:val="zh-CN"/>
                    </w:rPr>
                    <w:t>2</w:t>
                  </w:r>
                  <w:r>
                    <w:rPr>
                      <w:rFonts w:hint="eastAsia"/>
                      <w:szCs w:val="21"/>
                      <w:lang w:val="zh-CN"/>
                    </w:rPr>
                    <w:t>、NO</w:t>
                  </w:r>
                  <w:r>
                    <w:rPr>
                      <w:rFonts w:hint="eastAsia"/>
                      <w:szCs w:val="21"/>
                      <w:vertAlign w:val="subscript"/>
                      <w:lang w:val="zh-CN"/>
                    </w:rPr>
                    <w:t>2</w:t>
                  </w:r>
                </w:p>
              </w:tc>
              <w:tc>
                <w:tcPr>
                  <w:tcW w:w="1396" w:type="pct"/>
                  <w:vAlign w:val="center"/>
                </w:tcPr>
                <w:p w14:paraId="076C423B">
                  <w:pPr>
                    <w:spacing w:line="276" w:lineRule="auto"/>
                    <w:jc w:val="center"/>
                    <w:rPr>
                      <w:b/>
                    </w:rPr>
                  </w:pPr>
                  <w:r>
                    <w:rPr>
                      <w:rFonts w:hint="eastAsia"/>
                      <w:b/>
                    </w:rPr>
                    <w:t>/</w:t>
                  </w:r>
                </w:p>
              </w:tc>
              <w:tc>
                <w:tcPr>
                  <w:tcW w:w="1221" w:type="pct"/>
                  <w:vAlign w:val="center"/>
                </w:tcPr>
                <w:p w14:paraId="4980FEBC">
                  <w:pPr>
                    <w:pStyle w:val="108"/>
                    <w:spacing w:line="276" w:lineRule="auto"/>
                    <w:jc w:val="center"/>
                    <w:rPr>
                      <w:bCs/>
                      <w:color w:val="auto"/>
                      <w:sz w:val="21"/>
                      <w:szCs w:val="21"/>
                    </w:rPr>
                  </w:pPr>
                  <w:r>
                    <w:rPr>
                      <w:rFonts w:hint="eastAsia"/>
                      <w:bCs/>
                      <w:color w:val="auto"/>
                      <w:sz w:val="21"/>
                      <w:szCs w:val="21"/>
                    </w:rPr>
                    <w:t>由15m高的排气筒排放</w:t>
                  </w:r>
                </w:p>
              </w:tc>
              <w:tc>
                <w:tcPr>
                  <w:tcW w:w="743" w:type="pct"/>
                  <w:vAlign w:val="center"/>
                </w:tcPr>
                <w:p w14:paraId="50840F74">
                  <w:pPr>
                    <w:spacing w:line="276" w:lineRule="auto"/>
                    <w:jc w:val="center"/>
                  </w:pPr>
                  <w:r>
                    <w:rPr>
                      <w:rFonts w:hint="eastAsia"/>
                    </w:rPr>
                    <w:t>是</w:t>
                  </w:r>
                </w:p>
              </w:tc>
            </w:tr>
            <w:tr w14:paraId="633200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1" w:hRule="atLeast"/>
              </w:trPr>
              <w:tc>
                <w:tcPr>
                  <w:tcW w:w="680" w:type="pct"/>
                  <w:vAlign w:val="center"/>
                </w:tcPr>
                <w:p w14:paraId="5E8191E2">
                  <w:pPr>
                    <w:pStyle w:val="108"/>
                    <w:adjustRightInd/>
                    <w:spacing w:line="276" w:lineRule="auto"/>
                    <w:jc w:val="center"/>
                    <w:rPr>
                      <w:color w:val="auto"/>
                      <w:kern w:val="2"/>
                      <w:sz w:val="21"/>
                      <w:szCs w:val="21"/>
                      <w:lang w:val="zh-CN"/>
                    </w:rPr>
                  </w:pPr>
                  <w:r>
                    <w:rPr>
                      <w:rFonts w:hint="eastAsia"/>
                      <w:color w:val="auto"/>
                      <w:kern w:val="2"/>
                      <w:sz w:val="21"/>
                      <w:szCs w:val="21"/>
                      <w:lang w:val="zh-CN"/>
                    </w:rPr>
                    <w:t>组合管封口废气</w:t>
                  </w:r>
                </w:p>
              </w:tc>
              <w:tc>
                <w:tcPr>
                  <w:tcW w:w="960" w:type="pct"/>
                  <w:vAlign w:val="center"/>
                </w:tcPr>
                <w:p w14:paraId="078C230E">
                  <w:pPr>
                    <w:pStyle w:val="108"/>
                    <w:adjustRightInd/>
                    <w:spacing w:line="276" w:lineRule="auto"/>
                    <w:jc w:val="center"/>
                    <w:rPr>
                      <w:color w:val="auto"/>
                      <w:kern w:val="2"/>
                      <w:sz w:val="21"/>
                      <w:szCs w:val="21"/>
                      <w:lang w:val="zh-CN"/>
                    </w:rPr>
                  </w:pPr>
                  <w:r>
                    <w:rPr>
                      <w:rFonts w:hint="eastAsia"/>
                      <w:color w:val="auto"/>
                      <w:kern w:val="2"/>
                      <w:sz w:val="21"/>
                      <w:szCs w:val="21"/>
                      <w:lang w:val="zh-CN"/>
                    </w:rPr>
                    <w:t>挥发性有机物</w:t>
                  </w:r>
                </w:p>
              </w:tc>
              <w:tc>
                <w:tcPr>
                  <w:tcW w:w="1396" w:type="pct"/>
                  <w:vAlign w:val="center"/>
                </w:tcPr>
                <w:p w14:paraId="3FC45196">
                  <w:pPr>
                    <w:pStyle w:val="108"/>
                    <w:adjustRightInd/>
                    <w:spacing w:line="276" w:lineRule="auto"/>
                    <w:jc w:val="center"/>
                    <w:rPr>
                      <w:color w:val="auto"/>
                      <w:kern w:val="2"/>
                      <w:sz w:val="21"/>
                      <w:szCs w:val="21"/>
                      <w:lang w:val="zh-CN"/>
                    </w:rPr>
                  </w:pPr>
                  <w:r>
                    <w:rPr>
                      <w:rFonts w:hint="eastAsia"/>
                      <w:color w:val="auto"/>
                      <w:kern w:val="2"/>
                      <w:sz w:val="21"/>
                      <w:szCs w:val="21"/>
                      <w:lang w:val="zh-CN"/>
                    </w:rPr>
                    <w:t>袋式除尘；滤筒/滤芯除尘；喷淋；吸附；吸附浓缩+热力燃烧/催化燃烧</w:t>
                  </w:r>
                </w:p>
              </w:tc>
              <w:tc>
                <w:tcPr>
                  <w:tcW w:w="1221" w:type="pct"/>
                  <w:vMerge w:val="restart"/>
                  <w:vAlign w:val="center"/>
                </w:tcPr>
                <w:p w14:paraId="28DAF016">
                  <w:pPr>
                    <w:pStyle w:val="108"/>
                    <w:adjustRightInd/>
                    <w:spacing w:line="276" w:lineRule="auto"/>
                    <w:jc w:val="center"/>
                    <w:rPr>
                      <w:color w:val="auto"/>
                      <w:kern w:val="2"/>
                      <w:sz w:val="21"/>
                      <w:szCs w:val="21"/>
                      <w:lang w:val="zh-CN"/>
                    </w:rPr>
                  </w:pPr>
                  <w:r>
                    <w:rPr>
                      <w:rFonts w:hint="eastAsia"/>
                      <w:color w:val="auto"/>
                      <w:kern w:val="2"/>
                      <w:sz w:val="21"/>
                      <w:szCs w:val="21"/>
                      <w:lang w:val="zh-CN"/>
                    </w:rPr>
                    <w:t>产生的废气由集气罩收集后经二级活性炭吸附装置处理</w:t>
                  </w:r>
                </w:p>
              </w:tc>
              <w:tc>
                <w:tcPr>
                  <w:tcW w:w="743" w:type="pct"/>
                  <w:vAlign w:val="center"/>
                </w:tcPr>
                <w:p w14:paraId="5EDC0C98">
                  <w:pPr>
                    <w:pStyle w:val="108"/>
                    <w:adjustRightInd/>
                    <w:spacing w:line="276" w:lineRule="auto"/>
                    <w:jc w:val="center"/>
                    <w:rPr>
                      <w:color w:val="auto"/>
                      <w:kern w:val="2"/>
                      <w:sz w:val="21"/>
                      <w:szCs w:val="21"/>
                      <w:lang w:val="zh-CN"/>
                    </w:rPr>
                  </w:pPr>
                  <w:r>
                    <w:rPr>
                      <w:rFonts w:hint="eastAsia"/>
                      <w:color w:val="auto"/>
                      <w:kern w:val="2"/>
                      <w:sz w:val="21"/>
                      <w:szCs w:val="21"/>
                      <w:lang w:val="zh-CN"/>
                    </w:rPr>
                    <w:t>是</w:t>
                  </w:r>
                </w:p>
              </w:tc>
            </w:tr>
            <w:tr w14:paraId="333E49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0" w:type="pct"/>
                  <w:vAlign w:val="center"/>
                </w:tcPr>
                <w:p w14:paraId="7CD00E32">
                  <w:pPr>
                    <w:pStyle w:val="108"/>
                    <w:adjustRightInd/>
                    <w:spacing w:line="276" w:lineRule="auto"/>
                    <w:jc w:val="center"/>
                    <w:rPr>
                      <w:color w:val="auto"/>
                      <w:kern w:val="2"/>
                      <w:sz w:val="21"/>
                      <w:szCs w:val="21"/>
                      <w:lang w:val="zh-CN"/>
                    </w:rPr>
                  </w:pPr>
                  <w:r>
                    <w:rPr>
                      <w:color w:val="auto"/>
                      <w:kern w:val="2"/>
                      <w:sz w:val="21"/>
                      <w:szCs w:val="21"/>
                      <w:lang w:val="zh-CN"/>
                    </w:rPr>
                    <w:t>清洗废气</w:t>
                  </w:r>
                </w:p>
              </w:tc>
              <w:tc>
                <w:tcPr>
                  <w:tcW w:w="960" w:type="pct"/>
                  <w:vAlign w:val="center"/>
                </w:tcPr>
                <w:p w14:paraId="1B351082">
                  <w:pPr>
                    <w:pStyle w:val="108"/>
                    <w:adjustRightInd/>
                    <w:spacing w:line="276" w:lineRule="auto"/>
                    <w:jc w:val="center"/>
                    <w:rPr>
                      <w:color w:val="auto"/>
                      <w:kern w:val="2"/>
                      <w:sz w:val="21"/>
                      <w:szCs w:val="21"/>
                      <w:lang w:val="zh-CN"/>
                    </w:rPr>
                  </w:pPr>
                  <w:r>
                    <w:rPr>
                      <w:color w:val="auto"/>
                      <w:kern w:val="2"/>
                      <w:sz w:val="21"/>
                      <w:szCs w:val="21"/>
                      <w:lang w:val="zh-CN"/>
                    </w:rPr>
                    <w:t>挥发性有机物</w:t>
                  </w:r>
                </w:p>
              </w:tc>
              <w:tc>
                <w:tcPr>
                  <w:tcW w:w="1396" w:type="pct"/>
                  <w:vMerge w:val="restart"/>
                  <w:vAlign w:val="center"/>
                </w:tcPr>
                <w:p w14:paraId="4EB4C9CF">
                  <w:pPr>
                    <w:pStyle w:val="108"/>
                    <w:adjustRightInd/>
                    <w:spacing w:line="276" w:lineRule="auto"/>
                    <w:jc w:val="center"/>
                    <w:rPr>
                      <w:color w:val="auto"/>
                      <w:kern w:val="2"/>
                      <w:sz w:val="21"/>
                      <w:szCs w:val="21"/>
                      <w:lang w:val="zh-CN"/>
                    </w:rPr>
                  </w:pPr>
                  <w:r>
                    <w:rPr>
                      <w:color w:val="auto"/>
                      <w:kern w:val="2"/>
                      <w:sz w:val="21"/>
                      <w:szCs w:val="21"/>
                      <w:lang w:val="zh-CN"/>
                    </w:rPr>
                    <w:t>废气收集</w:t>
                  </w:r>
                  <w:r>
                    <w:rPr>
                      <w:rFonts w:hint="eastAsia"/>
                      <w:color w:val="auto"/>
                      <w:kern w:val="2"/>
                      <w:sz w:val="21"/>
                      <w:szCs w:val="21"/>
                      <w:lang w:val="zh-CN"/>
                    </w:rPr>
                    <w:t>+VOCs处理</w:t>
                  </w:r>
                </w:p>
              </w:tc>
              <w:tc>
                <w:tcPr>
                  <w:tcW w:w="1221" w:type="pct"/>
                  <w:vMerge w:val="continue"/>
                  <w:vAlign w:val="center"/>
                </w:tcPr>
                <w:p w14:paraId="320FCA9D">
                  <w:pPr>
                    <w:pStyle w:val="108"/>
                    <w:adjustRightInd/>
                    <w:spacing w:line="276" w:lineRule="auto"/>
                    <w:jc w:val="center"/>
                    <w:rPr>
                      <w:color w:val="auto"/>
                      <w:kern w:val="2"/>
                      <w:sz w:val="21"/>
                      <w:szCs w:val="21"/>
                      <w:lang w:val="zh-CN"/>
                    </w:rPr>
                  </w:pPr>
                </w:p>
              </w:tc>
              <w:tc>
                <w:tcPr>
                  <w:tcW w:w="743" w:type="pct"/>
                  <w:vMerge w:val="restart"/>
                  <w:vAlign w:val="center"/>
                </w:tcPr>
                <w:p w14:paraId="5AAB559E">
                  <w:pPr>
                    <w:pStyle w:val="108"/>
                    <w:adjustRightInd/>
                    <w:spacing w:line="276" w:lineRule="auto"/>
                    <w:jc w:val="center"/>
                    <w:rPr>
                      <w:color w:val="auto"/>
                      <w:kern w:val="2"/>
                      <w:sz w:val="21"/>
                      <w:szCs w:val="21"/>
                      <w:lang w:val="zh-CN"/>
                    </w:rPr>
                  </w:pPr>
                  <w:r>
                    <w:rPr>
                      <w:rFonts w:hint="eastAsia"/>
                      <w:color w:val="auto"/>
                      <w:kern w:val="2"/>
                      <w:sz w:val="21"/>
                      <w:szCs w:val="21"/>
                      <w:lang w:val="zh-CN"/>
                    </w:rPr>
                    <w:t>是</w:t>
                  </w:r>
                </w:p>
              </w:tc>
            </w:tr>
            <w:tr w14:paraId="2E44F9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80" w:type="pct"/>
                  <w:vAlign w:val="center"/>
                </w:tcPr>
                <w:p w14:paraId="22796AC9">
                  <w:pPr>
                    <w:pStyle w:val="108"/>
                    <w:adjustRightInd/>
                    <w:spacing w:line="276" w:lineRule="auto"/>
                    <w:jc w:val="center"/>
                    <w:rPr>
                      <w:color w:val="auto"/>
                      <w:kern w:val="2"/>
                      <w:sz w:val="21"/>
                      <w:szCs w:val="21"/>
                      <w:lang w:val="zh-CN"/>
                    </w:rPr>
                  </w:pPr>
                  <w:r>
                    <w:rPr>
                      <w:color w:val="auto"/>
                      <w:kern w:val="2"/>
                      <w:sz w:val="21"/>
                      <w:szCs w:val="21"/>
                      <w:lang w:val="zh-CN"/>
                    </w:rPr>
                    <w:t>离心废气</w:t>
                  </w:r>
                </w:p>
              </w:tc>
              <w:tc>
                <w:tcPr>
                  <w:tcW w:w="960" w:type="pct"/>
                  <w:vAlign w:val="center"/>
                </w:tcPr>
                <w:p w14:paraId="674426EE">
                  <w:pPr>
                    <w:pStyle w:val="108"/>
                    <w:adjustRightInd/>
                    <w:spacing w:line="276" w:lineRule="auto"/>
                    <w:jc w:val="center"/>
                    <w:rPr>
                      <w:color w:val="auto"/>
                      <w:kern w:val="2"/>
                      <w:sz w:val="21"/>
                      <w:szCs w:val="21"/>
                      <w:lang w:val="zh-CN"/>
                    </w:rPr>
                  </w:pPr>
                  <w:r>
                    <w:rPr>
                      <w:color w:val="auto"/>
                      <w:kern w:val="2"/>
                      <w:sz w:val="21"/>
                      <w:szCs w:val="21"/>
                      <w:lang w:val="zh-CN"/>
                    </w:rPr>
                    <w:t>挥发性有机物</w:t>
                  </w:r>
                </w:p>
              </w:tc>
              <w:tc>
                <w:tcPr>
                  <w:tcW w:w="1396" w:type="pct"/>
                  <w:vMerge w:val="continue"/>
                  <w:vAlign w:val="center"/>
                </w:tcPr>
                <w:p w14:paraId="089DDAD3">
                  <w:pPr>
                    <w:pStyle w:val="108"/>
                    <w:adjustRightInd/>
                    <w:spacing w:line="276" w:lineRule="auto"/>
                    <w:jc w:val="center"/>
                    <w:rPr>
                      <w:color w:val="auto"/>
                      <w:kern w:val="2"/>
                      <w:sz w:val="21"/>
                      <w:szCs w:val="21"/>
                      <w:lang w:val="zh-CN"/>
                    </w:rPr>
                  </w:pPr>
                </w:p>
              </w:tc>
              <w:tc>
                <w:tcPr>
                  <w:tcW w:w="1221" w:type="pct"/>
                  <w:vMerge w:val="continue"/>
                  <w:vAlign w:val="center"/>
                </w:tcPr>
                <w:p w14:paraId="0D3F0E61">
                  <w:pPr>
                    <w:pStyle w:val="108"/>
                    <w:adjustRightInd/>
                    <w:spacing w:line="276" w:lineRule="auto"/>
                    <w:jc w:val="center"/>
                    <w:rPr>
                      <w:color w:val="auto"/>
                      <w:kern w:val="2"/>
                      <w:sz w:val="21"/>
                      <w:szCs w:val="21"/>
                      <w:lang w:val="zh-CN"/>
                    </w:rPr>
                  </w:pPr>
                </w:p>
              </w:tc>
              <w:tc>
                <w:tcPr>
                  <w:tcW w:w="743" w:type="pct"/>
                  <w:vMerge w:val="continue"/>
                  <w:vAlign w:val="center"/>
                </w:tcPr>
                <w:p w14:paraId="56FBECC4">
                  <w:pPr>
                    <w:pStyle w:val="108"/>
                    <w:adjustRightInd/>
                    <w:spacing w:line="276" w:lineRule="auto"/>
                    <w:jc w:val="center"/>
                    <w:rPr>
                      <w:color w:val="auto"/>
                      <w:kern w:val="2"/>
                      <w:sz w:val="21"/>
                      <w:szCs w:val="21"/>
                      <w:lang w:val="zh-CN"/>
                    </w:rPr>
                  </w:pPr>
                </w:p>
              </w:tc>
            </w:tr>
          </w:tbl>
          <w:p w14:paraId="491F0B1B">
            <w:pPr>
              <w:spacing w:line="360" w:lineRule="auto"/>
              <w:ind w:firstLine="482" w:firstLineChars="200"/>
              <w:jc w:val="left"/>
              <w:rPr>
                <w:b/>
                <w:sz w:val="24"/>
              </w:rPr>
            </w:pPr>
            <w:r>
              <w:rPr>
                <w:rFonts w:hint="eastAsia"/>
                <w:b/>
                <w:sz w:val="24"/>
              </w:rPr>
              <w:t>4、废气处理装置原理</w:t>
            </w:r>
          </w:p>
          <w:p w14:paraId="44408A4D">
            <w:pPr>
              <w:pStyle w:val="225"/>
              <w:ind w:firstLine="480"/>
              <w:rPr>
                <w:bCs/>
              </w:rPr>
            </w:pPr>
            <w:r>
              <w:rPr>
                <w:rFonts w:hint="eastAsia"/>
                <w:bCs/>
              </w:rPr>
              <w:t>玻璃管热熔封口由集气罩收集后通过15m高的排气筒（DA001）排放；组合管封口、清洗、离心废气由集气罩收集后通过二级活性炭吸附装置进行处理排放。</w:t>
            </w:r>
          </w:p>
          <w:p w14:paraId="2660D611">
            <w:pPr>
              <w:widowControl/>
              <w:spacing w:line="360" w:lineRule="auto"/>
              <w:ind w:firstLine="480" w:firstLineChars="200"/>
              <w:rPr>
                <w:sz w:val="24"/>
                <w:szCs w:val="24"/>
              </w:rPr>
            </w:pPr>
            <w:r>
              <w:rPr>
                <w:rFonts w:hint="eastAsia"/>
                <w:sz w:val="24"/>
                <w:szCs w:val="24"/>
              </w:rPr>
              <w:t>活性炭对有机废气具有较好的吸附性能，活性炭吸附法是有机废气处理过程中常用的一种方法，主要是利用活性炭的吸附作用达到去除有机物的目的。由于活性炭具有较大的比表面积，可以吸附多种有机废气，吸附容量大；同时采用活性炭吸附去除有机废气已广泛应用于有机废气的治理工程中，其工艺也较成熟。根据类比调查，活性炭吸附法对有机废气的处理效果良好，一般情况下，活性炭的吸收效率不低于</w:t>
            </w:r>
            <w:r>
              <w:rPr>
                <w:sz w:val="24"/>
                <w:szCs w:val="24"/>
              </w:rPr>
              <w:t>90%</w:t>
            </w:r>
            <w:r>
              <w:rPr>
                <w:rFonts w:hint="eastAsia"/>
                <w:sz w:val="24"/>
                <w:szCs w:val="24"/>
              </w:rPr>
              <w:t>，满足《吸附法工业有机废气治理工程技术规范》（</w:t>
            </w:r>
            <w:r>
              <w:rPr>
                <w:sz w:val="24"/>
                <w:szCs w:val="24"/>
              </w:rPr>
              <w:t>HJ2026-2013</w:t>
            </w:r>
            <w:r>
              <w:rPr>
                <w:rFonts w:hint="eastAsia"/>
                <w:sz w:val="24"/>
                <w:szCs w:val="24"/>
              </w:rPr>
              <w:t>）中的工艺要求。</w:t>
            </w:r>
          </w:p>
          <w:p w14:paraId="7E6FDEFB">
            <w:pPr>
              <w:jc w:val="center"/>
            </w:pPr>
            <w:r>
              <w:drawing>
                <wp:inline distT="0" distB="0" distL="0" distR="0">
                  <wp:extent cx="4199255" cy="2133600"/>
                  <wp:effectExtent l="19050" t="0" r="0" b="0"/>
                  <wp:docPr id="4" name="图片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671"/>
                          <pic:cNvPicPr>
                            <a:picLocks noChangeAspect="1" noChangeArrowheads="1"/>
                          </pic:cNvPicPr>
                        </pic:nvPicPr>
                        <pic:blipFill>
                          <a:blip r:embed="rId12" cstate="print"/>
                          <a:srcRect/>
                          <a:stretch>
                            <a:fillRect/>
                          </a:stretch>
                        </pic:blipFill>
                        <pic:spPr>
                          <a:xfrm>
                            <a:off x="0" y="0"/>
                            <a:ext cx="4202507" cy="2135451"/>
                          </a:xfrm>
                          <a:prstGeom prst="rect">
                            <a:avLst/>
                          </a:prstGeom>
                          <a:noFill/>
                          <a:ln w="9525">
                            <a:noFill/>
                            <a:miter lim="800000"/>
                            <a:headEnd/>
                            <a:tailEnd/>
                          </a:ln>
                        </pic:spPr>
                      </pic:pic>
                    </a:graphicData>
                  </a:graphic>
                </wp:inline>
              </w:drawing>
            </w:r>
          </w:p>
          <w:p w14:paraId="75FD3A0C">
            <w:pPr>
              <w:pStyle w:val="108"/>
              <w:spacing w:line="360" w:lineRule="auto"/>
              <w:jc w:val="center"/>
              <w:rPr>
                <w:rFonts w:hAnsi="黑体" w:eastAsia="黑体"/>
                <w:bCs/>
                <w:color w:val="auto"/>
              </w:rPr>
            </w:pPr>
            <w:r>
              <w:rPr>
                <w:rFonts w:hint="eastAsia" w:hAnsi="黑体" w:eastAsia="黑体"/>
                <w:bCs/>
                <w:color w:val="auto"/>
              </w:rPr>
              <w:t>图7</w:t>
            </w:r>
            <w:r>
              <w:rPr>
                <w:rFonts w:hAnsi="黑体" w:eastAsia="黑体"/>
                <w:bCs/>
                <w:color w:val="auto"/>
              </w:rPr>
              <w:t xml:space="preserve">  </w:t>
            </w:r>
            <w:r>
              <w:rPr>
                <w:rFonts w:hint="eastAsia" w:hAnsi="黑体" w:eastAsia="黑体"/>
                <w:bCs/>
                <w:color w:val="auto"/>
              </w:rPr>
              <w:t>活性炭吸附装置构造示意图</w:t>
            </w:r>
          </w:p>
          <w:p w14:paraId="4DF3BA73">
            <w:pPr>
              <w:widowControl/>
              <w:spacing w:line="360" w:lineRule="auto"/>
              <w:ind w:firstLine="480" w:firstLineChars="200"/>
            </w:pPr>
            <w:r>
              <w:rPr>
                <w:rFonts w:hint="eastAsia" w:ascii="宋体" w:hAnsi="宋体" w:cs="宋体"/>
                <w:kern w:val="0"/>
                <w:sz w:val="24"/>
              </w:rPr>
              <w:t>活性炭吸附装置要求：</w:t>
            </w:r>
          </w:p>
          <w:p w14:paraId="3EDC451F">
            <w:pPr>
              <w:widowControl/>
              <w:spacing w:line="360" w:lineRule="auto"/>
              <w:ind w:firstLine="480" w:firstLineChars="200"/>
            </w:pPr>
            <w:r>
              <w:rPr>
                <w:rFonts w:hint="eastAsia" w:ascii="宋体" w:hAnsi="宋体" w:cs="宋体"/>
                <w:kern w:val="0"/>
                <w:sz w:val="24"/>
              </w:rPr>
              <w:t>要求活性炭吸附装置满足《吸附法工业有机废气治理工程技术规范》 （</w:t>
            </w:r>
            <w:r>
              <w:rPr>
                <w:kern w:val="0"/>
                <w:sz w:val="24"/>
              </w:rPr>
              <w:t>HJ2023-2013</w:t>
            </w:r>
            <w:r>
              <w:rPr>
                <w:rFonts w:hint="eastAsia" w:ascii="宋体" w:hAnsi="宋体" w:cs="宋体"/>
                <w:kern w:val="0"/>
                <w:sz w:val="24"/>
              </w:rPr>
              <w:t>）以及《环境保护产品技术要求</w:t>
            </w:r>
            <w:r>
              <w:rPr>
                <w:kern w:val="0"/>
                <w:sz w:val="24"/>
              </w:rPr>
              <w:t>-</w:t>
            </w:r>
            <w:r>
              <w:rPr>
                <w:rFonts w:hint="eastAsia" w:ascii="宋体" w:hAnsi="宋体" w:cs="宋体"/>
                <w:kern w:val="0"/>
                <w:sz w:val="24"/>
              </w:rPr>
              <w:t>工业废气吸附净化装置》 （</w:t>
            </w:r>
            <w:r>
              <w:rPr>
                <w:kern w:val="0"/>
                <w:sz w:val="24"/>
              </w:rPr>
              <w:t>HJ/T386-2007</w:t>
            </w:r>
            <w:r>
              <w:rPr>
                <w:rFonts w:hint="eastAsia" w:ascii="宋体" w:hAnsi="宋体" w:cs="宋体"/>
                <w:kern w:val="0"/>
                <w:sz w:val="24"/>
              </w:rPr>
              <w:t>）中相关规定：</w:t>
            </w:r>
          </w:p>
          <w:p w14:paraId="5B9F8618">
            <w:pPr>
              <w:widowControl/>
              <w:spacing w:line="360" w:lineRule="auto"/>
              <w:ind w:firstLine="480" w:firstLineChars="200"/>
            </w:pPr>
            <w:r>
              <w:rPr>
                <w:rFonts w:hint="eastAsia" w:ascii="宋体" w:hAnsi="宋体" w:cs="宋体"/>
                <w:kern w:val="0"/>
                <w:sz w:val="24"/>
              </w:rPr>
              <w:t>①进入废气吸附装置的温</w:t>
            </w:r>
            <w:r>
              <w:rPr>
                <w:rFonts w:hint="eastAsia" w:hAnsi="宋体"/>
                <w:kern w:val="0"/>
                <w:sz w:val="24"/>
              </w:rPr>
              <w:t>度应低于</w:t>
            </w:r>
            <w:r>
              <w:rPr>
                <w:kern w:val="0"/>
                <w:sz w:val="24"/>
              </w:rPr>
              <w:t>40℃</w:t>
            </w:r>
          </w:p>
          <w:p w14:paraId="25636FA1">
            <w:pPr>
              <w:widowControl/>
              <w:spacing w:line="360" w:lineRule="auto"/>
              <w:ind w:firstLine="480" w:firstLineChars="200"/>
            </w:pPr>
            <w:r>
              <w:rPr>
                <w:rFonts w:hint="eastAsia" w:ascii="宋体" w:hAnsi="宋体" w:cs="宋体"/>
                <w:kern w:val="0"/>
                <w:sz w:val="24"/>
              </w:rPr>
              <w:t>②采用颗粒状活性炭吸附时，气体流速应低于</w:t>
            </w:r>
            <w:r>
              <w:rPr>
                <w:kern w:val="0"/>
                <w:sz w:val="24"/>
              </w:rPr>
              <w:t>0.6m/s</w:t>
            </w:r>
            <w:r>
              <w:rPr>
                <w:rFonts w:hint="eastAsia" w:ascii="宋体" w:hAnsi="宋体" w:cs="宋体"/>
                <w:kern w:val="0"/>
                <w:sz w:val="24"/>
              </w:rPr>
              <w:t>；采用活性炭纤维毡时，气体流速应低于</w:t>
            </w:r>
            <w:r>
              <w:rPr>
                <w:kern w:val="0"/>
                <w:sz w:val="24"/>
              </w:rPr>
              <w:t>0.15m/s</w:t>
            </w:r>
            <w:r>
              <w:rPr>
                <w:rFonts w:hint="eastAsia" w:ascii="宋体" w:hAnsi="宋体" w:cs="宋体"/>
                <w:kern w:val="0"/>
                <w:sz w:val="24"/>
              </w:rPr>
              <w:t xml:space="preserve">；采用蜂窝状活性炭吸附时，气体流速应低于 </w:t>
            </w:r>
            <w:r>
              <w:rPr>
                <w:kern w:val="0"/>
                <w:sz w:val="24"/>
              </w:rPr>
              <w:t>1.2m/s</w:t>
            </w:r>
            <w:r>
              <w:rPr>
                <w:rFonts w:hint="eastAsia" w:ascii="宋体" w:hAnsi="宋体" w:cs="宋体"/>
                <w:kern w:val="0"/>
                <w:sz w:val="24"/>
              </w:rPr>
              <w:t>；</w:t>
            </w:r>
          </w:p>
          <w:p w14:paraId="5CB951A8">
            <w:pPr>
              <w:widowControl/>
              <w:spacing w:line="360" w:lineRule="auto"/>
              <w:ind w:firstLine="480" w:firstLineChars="200"/>
            </w:pPr>
            <w:r>
              <w:rPr>
                <w:rFonts w:hint="eastAsia" w:ascii="宋体" w:hAnsi="宋体" w:cs="宋体"/>
                <w:kern w:val="0"/>
                <w:sz w:val="24"/>
              </w:rPr>
              <w:t>③吸附装置的焊缝、管道连接处等均应严密，不得漏气；吸附装置主体的大修周期不小于</w:t>
            </w:r>
            <w:r>
              <w:rPr>
                <w:kern w:val="0"/>
                <w:sz w:val="24"/>
              </w:rPr>
              <w:t>1</w:t>
            </w:r>
            <w:r>
              <w:rPr>
                <w:rFonts w:hint="eastAsia" w:ascii="宋体" w:hAnsi="宋体" w:cs="宋体"/>
                <w:kern w:val="0"/>
                <w:sz w:val="24"/>
              </w:rPr>
              <w:t>年；</w:t>
            </w:r>
          </w:p>
          <w:p w14:paraId="45902A8F">
            <w:pPr>
              <w:widowControl/>
              <w:spacing w:line="360" w:lineRule="auto"/>
              <w:ind w:firstLine="480" w:firstLineChars="200"/>
            </w:pPr>
            <w:r>
              <w:rPr>
                <w:rFonts w:hint="eastAsia" w:ascii="宋体" w:hAnsi="宋体" w:cs="宋体"/>
                <w:kern w:val="0"/>
                <w:sz w:val="24"/>
              </w:rPr>
              <w:t>④活性炭应定期更换，以确保吸附效率；</w:t>
            </w:r>
          </w:p>
          <w:p w14:paraId="7A1CC683">
            <w:pPr>
              <w:widowControl/>
              <w:spacing w:line="360" w:lineRule="auto"/>
              <w:ind w:firstLine="480" w:firstLineChars="200"/>
            </w:pPr>
            <w:r>
              <w:rPr>
                <w:rFonts w:hint="eastAsia" w:ascii="宋体" w:hAnsi="宋体" w:cs="宋体"/>
                <w:kern w:val="0"/>
                <w:sz w:val="24"/>
              </w:rPr>
              <w:t>⑤应建立台账，记录废气收集系统、</w:t>
            </w:r>
            <w:r>
              <w:rPr>
                <w:kern w:val="0"/>
                <w:sz w:val="24"/>
              </w:rPr>
              <w:t>VOCs</w:t>
            </w:r>
            <w:r>
              <w:rPr>
                <w:rFonts w:hint="eastAsia" w:ascii="宋体" w:hAnsi="宋体" w:cs="宋体"/>
                <w:kern w:val="0"/>
                <w:sz w:val="24"/>
              </w:rPr>
              <w:t>处理设施的主要运行和维护信息，如运行时间</w:t>
            </w:r>
            <w:r>
              <w:rPr>
                <w:rFonts w:hint="eastAsia" w:hAnsi="宋体"/>
                <w:kern w:val="0"/>
                <w:sz w:val="24"/>
              </w:rPr>
              <w:t>、废气处理量、操作温度、停留时间、吸附剂更换周期和更换量等关键运行参数。台账保存期限不少于</w:t>
            </w:r>
            <w:r>
              <w:rPr>
                <w:kern w:val="0"/>
                <w:sz w:val="24"/>
              </w:rPr>
              <w:t>5</w:t>
            </w:r>
            <w:r>
              <w:rPr>
                <w:rFonts w:hint="eastAsia" w:hAnsi="宋体"/>
                <w:kern w:val="0"/>
                <w:sz w:val="24"/>
              </w:rPr>
              <w:t>年。</w:t>
            </w:r>
          </w:p>
          <w:p w14:paraId="34C46C61">
            <w:pPr>
              <w:widowControl/>
              <w:spacing w:line="360" w:lineRule="auto"/>
              <w:ind w:firstLine="480" w:firstLineChars="200"/>
            </w:pPr>
            <w:r>
              <w:rPr>
                <w:rFonts w:hint="eastAsia" w:ascii="宋体" w:hAnsi="宋体" w:cs="宋体"/>
                <w:kern w:val="0"/>
                <w:sz w:val="24"/>
              </w:rPr>
              <w:t>⑥参照《</w:t>
            </w:r>
            <w:r>
              <w:rPr>
                <w:kern w:val="0"/>
                <w:sz w:val="24"/>
              </w:rPr>
              <w:t>2020</w:t>
            </w:r>
            <w:r>
              <w:rPr>
                <w:rFonts w:hint="eastAsia" w:ascii="宋体" w:hAnsi="宋体" w:cs="宋体"/>
                <w:kern w:val="0"/>
                <w:sz w:val="24"/>
              </w:rPr>
              <w:t>年挥发性有机物治理攻坚方案》，明确活性炭碘值不低于</w:t>
            </w:r>
            <w:r>
              <w:rPr>
                <w:kern w:val="0"/>
                <w:sz w:val="24"/>
              </w:rPr>
              <w:t>800</w:t>
            </w:r>
            <w:r>
              <w:rPr>
                <w:rFonts w:hint="eastAsia" w:ascii="宋体" w:hAnsi="宋体" w:cs="宋体"/>
                <w:kern w:val="0"/>
                <w:sz w:val="24"/>
              </w:rPr>
              <w:t>毫克</w:t>
            </w:r>
            <w:r>
              <w:rPr>
                <w:kern w:val="0"/>
                <w:sz w:val="24"/>
              </w:rPr>
              <w:t>/</w:t>
            </w:r>
            <w:r>
              <w:rPr>
                <w:rFonts w:hint="eastAsia" w:ascii="宋体" w:hAnsi="宋体" w:cs="宋体"/>
                <w:kern w:val="0"/>
                <w:sz w:val="24"/>
              </w:rPr>
              <w:t xml:space="preserve">克的活性炭，并按设计要求足量添加、及时更换，并将废旧活性炭交有资质的单位处理处置，记录更换时间和使用量。 </w:t>
            </w:r>
          </w:p>
          <w:p w14:paraId="75BB47A0">
            <w:pPr>
              <w:widowControl/>
              <w:spacing w:line="360" w:lineRule="auto"/>
              <w:ind w:firstLine="480" w:firstLineChars="200"/>
              <w:rPr>
                <w:rFonts w:ascii="宋体" w:hAnsi="宋体" w:cs="宋体"/>
                <w:kern w:val="0"/>
                <w:sz w:val="24"/>
              </w:rPr>
            </w:pPr>
            <w:r>
              <w:rPr>
                <w:rFonts w:hint="eastAsia" w:ascii="宋体" w:hAnsi="宋体" w:cs="宋体"/>
                <w:kern w:val="0"/>
                <w:sz w:val="24"/>
              </w:rPr>
              <w:t>因此本项目活性炭吸附装置符合相关规范要求；采用二级活性炭吸附装置处理有机废气为可行技术。</w:t>
            </w:r>
          </w:p>
          <w:p w14:paraId="444CD244">
            <w:pPr>
              <w:pStyle w:val="108"/>
              <w:adjustRightInd/>
              <w:spacing w:line="360" w:lineRule="auto"/>
              <w:ind w:firstLine="482" w:firstLineChars="200"/>
              <w:rPr>
                <w:b/>
                <w:color w:val="auto"/>
              </w:rPr>
            </w:pPr>
            <w:r>
              <w:rPr>
                <w:rFonts w:hint="eastAsia"/>
                <w:b/>
                <w:color w:val="auto"/>
              </w:rPr>
              <w:t>5、环境监测计划</w:t>
            </w:r>
          </w:p>
          <w:p w14:paraId="0C9D0C25">
            <w:pPr>
              <w:pStyle w:val="108"/>
              <w:adjustRightInd/>
              <w:spacing w:line="360" w:lineRule="auto"/>
              <w:ind w:firstLine="480" w:firstLineChars="200"/>
              <w:jc w:val="both"/>
              <w:rPr>
                <w:color w:val="auto"/>
              </w:rPr>
            </w:pPr>
            <w:r>
              <w:rPr>
                <w:rFonts w:hint="eastAsia"/>
                <w:color w:val="auto"/>
              </w:rPr>
              <w:t>项目废气监测频次参照《排污单位自行监测技术指南 橡胶和塑料制品》（HJ1207-2021）、《排污单位自行监测技术指南 总则》（HJ819-2017）中规定执行。</w:t>
            </w:r>
          </w:p>
          <w:p w14:paraId="785CC41F">
            <w:pPr>
              <w:spacing w:line="360" w:lineRule="auto"/>
              <w:jc w:val="center"/>
              <w:rPr>
                <w:b/>
                <w:szCs w:val="21"/>
              </w:rPr>
            </w:pPr>
            <w:r>
              <w:rPr>
                <w:rFonts w:hint="eastAsia" w:hAnsi="黑体" w:eastAsia="黑体"/>
                <w:sz w:val="24"/>
                <w:szCs w:val="24"/>
              </w:rPr>
              <w:t>表42</w:t>
            </w:r>
            <w:r>
              <w:rPr>
                <w:rFonts w:hAnsi="黑体" w:eastAsia="黑体"/>
                <w:sz w:val="24"/>
                <w:szCs w:val="24"/>
              </w:rPr>
              <w:t xml:space="preserve">  </w:t>
            </w:r>
            <w:r>
              <w:rPr>
                <w:rFonts w:hint="eastAsia" w:hAnsi="黑体" w:eastAsia="黑体"/>
                <w:sz w:val="24"/>
                <w:szCs w:val="24"/>
              </w:rPr>
              <w:t>大气污染物自行监测计划一览表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711"/>
              <w:gridCol w:w="1416"/>
              <w:gridCol w:w="1565"/>
              <w:gridCol w:w="2489"/>
            </w:tblGrid>
            <w:tr w14:paraId="12EAF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vAlign w:val="center"/>
                </w:tcPr>
                <w:p w14:paraId="3A50E4FA">
                  <w:pPr>
                    <w:spacing w:line="276" w:lineRule="auto"/>
                    <w:jc w:val="center"/>
                    <w:rPr>
                      <w:b/>
                      <w:szCs w:val="21"/>
                    </w:rPr>
                  </w:pPr>
                  <w:r>
                    <w:rPr>
                      <w:rFonts w:hint="eastAsia"/>
                      <w:b/>
                      <w:szCs w:val="21"/>
                    </w:rPr>
                    <w:t>类别</w:t>
                  </w:r>
                </w:p>
              </w:tc>
              <w:tc>
                <w:tcPr>
                  <w:tcW w:w="1050" w:type="pct"/>
                  <w:vAlign w:val="center"/>
                </w:tcPr>
                <w:p w14:paraId="3870A748">
                  <w:pPr>
                    <w:spacing w:line="276" w:lineRule="auto"/>
                    <w:jc w:val="center"/>
                    <w:rPr>
                      <w:b/>
                      <w:szCs w:val="21"/>
                    </w:rPr>
                  </w:pPr>
                  <w:r>
                    <w:rPr>
                      <w:rFonts w:hint="eastAsia"/>
                      <w:b/>
                      <w:szCs w:val="21"/>
                    </w:rPr>
                    <w:t>监测点位</w:t>
                  </w:r>
                </w:p>
              </w:tc>
              <w:tc>
                <w:tcPr>
                  <w:tcW w:w="869" w:type="pct"/>
                  <w:vAlign w:val="center"/>
                </w:tcPr>
                <w:p w14:paraId="6A4A671D">
                  <w:pPr>
                    <w:spacing w:line="276" w:lineRule="auto"/>
                    <w:jc w:val="center"/>
                    <w:rPr>
                      <w:b/>
                      <w:szCs w:val="21"/>
                    </w:rPr>
                  </w:pPr>
                  <w:r>
                    <w:rPr>
                      <w:rFonts w:hint="eastAsia"/>
                      <w:b/>
                      <w:szCs w:val="21"/>
                    </w:rPr>
                    <w:t>监测因子</w:t>
                  </w:r>
                </w:p>
              </w:tc>
              <w:tc>
                <w:tcPr>
                  <w:tcW w:w="960" w:type="pct"/>
                  <w:vAlign w:val="center"/>
                </w:tcPr>
                <w:p w14:paraId="4EB91882">
                  <w:pPr>
                    <w:spacing w:line="276" w:lineRule="auto"/>
                    <w:jc w:val="center"/>
                    <w:rPr>
                      <w:b/>
                      <w:szCs w:val="21"/>
                    </w:rPr>
                  </w:pPr>
                  <w:r>
                    <w:rPr>
                      <w:rFonts w:hint="eastAsia"/>
                      <w:b/>
                      <w:szCs w:val="21"/>
                    </w:rPr>
                    <w:t>监测频次</w:t>
                  </w:r>
                </w:p>
              </w:tc>
              <w:tc>
                <w:tcPr>
                  <w:tcW w:w="1527" w:type="pct"/>
                  <w:vAlign w:val="center"/>
                </w:tcPr>
                <w:p w14:paraId="0DA15142">
                  <w:pPr>
                    <w:spacing w:line="276" w:lineRule="auto"/>
                    <w:jc w:val="center"/>
                    <w:rPr>
                      <w:b/>
                      <w:szCs w:val="21"/>
                    </w:rPr>
                  </w:pPr>
                  <w:r>
                    <w:rPr>
                      <w:rFonts w:hint="eastAsia"/>
                      <w:b/>
                      <w:szCs w:val="21"/>
                    </w:rPr>
                    <w:t>执行排放标准</w:t>
                  </w:r>
                </w:p>
              </w:tc>
            </w:tr>
            <w:tr w14:paraId="50043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vMerge w:val="restart"/>
                  <w:vAlign w:val="center"/>
                </w:tcPr>
                <w:p w14:paraId="62AD1ECD">
                  <w:pPr>
                    <w:spacing w:line="276" w:lineRule="auto"/>
                    <w:jc w:val="center"/>
                    <w:rPr>
                      <w:szCs w:val="21"/>
                    </w:rPr>
                  </w:pPr>
                  <w:r>
                    <w:rPr>
                      <w:szCs w:val="21"/>
                    </w:rPr>
                    <w:t>有组织</w:t>
                  </w:r>
                </w:p>
              </w:tc>
              <w:tc>
                <w:tcPr>
                  <w:tcW w:w="1050" w:type="pct"/>
                  <w:vMerge w:val="restart"/>
                  <w:vAlign w:val="center"/>
                </w:tcPr>
                <w:p w14:paraId="45B18666">
                  <w:pPr>
                    <w:spacing w:line="276" w:lineRule="auto"/>
                    <w:jc w:val="center"/>
                    <w:rPr>
                      <w:szCs w:val="21"/>
                    </w:rPr>
                  </w:pPr>
                  <w:r>
                    <w:rPr>
                      <w:rFonts w:hint="eastAsia"/>
                      <w:szCs w:val="21"/>
                    </w:rPr>
                    <w:t>排气筒（</w:t>
                  </w:r>
                  <w:r>
                    <w:rPr>
                      <w:szCs w:val="21"/>
                    </w:rPr>
                    <w:t>DA001</w:t>
                  </w:r>
                  <w:r>
                    <w:rPr>
                      <w:rFonts w:hint="eastAsia"/>
                      <w:szCs w:val="21"/>
                    </w:rPr>
                    <w:t>）</w:t>
                  </w:r>
                </w:p>
              </w:tc>
              <w:tc>
                <w:tcPr>
                  <w:tcW w:w="869" w:type="pct"/>
                  <w:vAlign w:val="center"/>
                </w:tcPr>
                <w:p w14:paraId="2A0F848D">
                  <w:pPr>
                    <w:spacing w:line="276" w:lineRule="auto"/>
                    <w:jc w:val="center"/>
                    <w:rPr>
                      <w:szCs w:val="21"/>
                    </w:rPr>
                  </w:pPr>
                  <w:r>
                    <w:rPr>
                      <w:rFonts w:hint="eastAsia"/>
                      <w:szCs w:val="21"/>
                    </w:rPr>
                    <w:t>颗粒物</w:t>
                  </w:r>
                </w:p>
              </w:tc>
              <w:tc>
                <w:tcPr>
                  <w:tcW w:w="960" w:type="pct"/>
                  <w:vAlign w:val="center"/>
                </w:tcPr>
                <w:p w14:paraId="615E820A">
                  <w:pPr>
                    <w:widowControl/>
                    <w:spacing w:line="276" w:lineRule="auto"/>
                    <w:jc w:val="center"/>
                    <w:rPr>
                      <w:szCs w:val="21"/>
                    </w:rPr>
                  </w:pPr>
                  <w:r>
                    <w:rPr>
                      <w:rFonts w:hint="eastAsia"/>
                      <w:szCs w:val="21"/>
                    </w:rPr>
                    <w:t>1次/年</w:t>
                  </w:r>
                </w:p>
              </w:tc>
              <w:tc>
                <w:tcPr>
                  <w:tcW w:w="1527" w:type="pct"/>
                  <w:vMerge w:val="restart"/>
                  <w:vAlign w:val="center"/>
                </w:tcPr>
                <w:p w14:paraId="7D4AE769">
                  <w:pPr>
                    <w:spacing w:line="276" w:lineRule="auto"/>
                    <w:jc w:val="center"/>
                    <w:rPr>
                      <w:spacing w:val="-2"/>
                      <w:kern w:val="0"/>
                      <w:szCs w:val="21"/>
                    </w:rPr>
                  </w:pPr>
                  <w:r>
                    <w:rPr>
                      <w:rFonts w:hint="eastAsia"/>
                      <w:spacing w:val="-2"/>
                      <w:kern w:val="0"/>
                      <w:szCs w:val="21"/>
                    </w:rPr>
                    <w:t>《大气污染物综合排放标准》表2中二级标准限值要求</w:t>
                  </w:r>
                </w:p>
              </w:tc>
            </w:tr>
            <w:tr w14:paraId="19464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vMerge w:val="continue"/>
                  <w:vAlign w:val="center"/>
                </w:tcPr>
                <w:p w14:paraId="688BB14E">
                  <w:pPr>
                    <w:spacing w:line="276" w:lineRule="auto"/>
                    <w:jc w:val="center"/>
                    <w:rPr>
                      <w:szCs w:val="21"/>
                    </w:rPr>
                  </w:pPr>
                </w:p>
              </w:tc>
              <w:tc>
                <w:tcPr>
                  <w:tcW w:w="1050" w:type="pct"/>
                  <w:vMerge w:val="continue"/>
                  <w:vAlign w:val="center"/>
                </w:tcPr>
                <w:p w14:paraId="054855CC">
                  <w:pPr>
                    <w:spacing w:line="276" w:lineRule="auto"/>
                    <w:jc w:val="center"/>
                    <w:rPr>
                      <w:szCs w:val="21"/>
                    </w:rPr>
                  </w:pPr>
                </w:p>
              </w:tc>
              <w:tc>
                <w:tcPr>
                  <w:tcW w:w="869" w:type="pct"/>
                  <w:vAlign w:val="center"/>
                </w:tcPr>
                <w:p w14:paraId="337F0EBA">
                  <w:pPr>
                    <w:spacing w:line="276" w:lineRule="auto"/>
                    <w:jc w:val="center"/>
                    <w:rPr>
                      <w:szCs w:val="21"/>
                    </w:rPr>
                  </w:pPr>
                  <w:r>
                    <w:rPr>
                      <w:rFonts w:hint="eastAsia"/>
                      <w:szCs w:val="21"/>
                    </w:rPr>
                    <w:t>S</w:t>
                  </w:r>
                  <w:r>
                    <w:rPr>
                      <w:szCs w:val="21"/>
                    </w:rPr>
                    <w:t>O</w:t>
                  </w:r>
                  <w:r>
                    <w:rPr>
                      <w:szCs w:val="21"/>
                      <w:vertAlign w:val="subscript"/>
                    </w:rPr>
                    <w:t>2</w:t>
                  </w:r>
                </w:p>
              </w:tc>
              <w:tc>
                <w:tcPr>
                  <w:tcW w:w="960" w:type="pct"/>
                  <w:vAlign w:val="center"/>
                </w:tcPr>
                <w:p w14:paraId="17A185FE">
                  <w:pPr>
                    <w:widowControl/>
                    <w:spacing w:line="276" w:lineRule="auto"/>
                    <w:jc w:val="center"/>
                    <w:rPr>
                      <w:szCs w:val="21"/>
                    </w:rPr>
                  </w:pPr>
                  <w:r>
                    <w:rPr>
                      <w:rFonts w:hint="eastAsia"/>
                      <w:szCs w:val="21"/>
                    </w:rPr>
                    <w:t>1次/年</w:t>
                  </w:r>
                </w:p>
              </w:tc>
              <w:tc>
                <w:tcPr>
                  <w:tcW w:w="1527" w:type="pct"/>
                  <w:vMerge w:val="continue"/>
                  <w:vAlign w:val="center"/>
                </w:tcPr>
                <w:p w14:paraId="17E292C6">
                  <w:pPr>
                    <w:spacing w:line="276" w:lineRule="auto"/>
                    <w:jc w:val="center"/>
                    <w:rPr>
                      <w:spacing w:val="-2"/>
                      <w:kern w:val="0"/>
                      <w:szCs w:val="21"/>
                    </w:rPr>
                  </w:pPr>
                </w:p>
              </w:tc>
            </w:tr>
            <w:tr w14:paraId="74F29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vMerge w:val="continue"/>
                  <w:vAlign w:val="center"/>
                </w:tcPr>
                <w:p w14:paraId="4E567BBC">
                  <w:pPr>
                    <w:spacing w:line="276" w:lineRule="auto"/>
                    <w:jc w:val="center"/>
                    <w:rPr>
                      <w:szCs w:val="21"/>
                    </w:rPr>
                  </w:pPr>
                </w:p>
              </w:tc>
              <w:tc>
                <w:tcPr>
                  <w:tcW w:w="1050" w:type="pct"/>
                  <w:vMerge w:val="continue"/>
                  <w:vAlign w:val="center"/>
                </w:tcPr>
                <w:p w14:paraId="19A98BBF">
                  <w:pPr>
                    <w:spacing w:line="276" w:lineRule="auto"/>
                    <w:jc w:val="center"/>
                    <w:rPr>
                      <w:szCs w:val="21"/>
                    </w:rPr>
                  </w:pPr>
                </w:p>
              </w:tc>
              <w:tc>
                <w:tcPr>
                  <w:tcW w:w="869" w:type="pct"/>
                  <w:vAlign w:val="center"/>
                </w:tcPr>
                <w:p w14:paraId="16FB25B4">
                  <w:pPr>
                    <w:spacing w:line="276" w:lineRule="auto"/>
                    <w:jc w:val="center"/>
                    <w:rPr>
                      <w:szCs w:val="21"/>
                    </w:rPr>
                  </w:pPr>
                  <w:r>
                    <w:rPr>
                      <w:rFonts w:hint="eastAsia"/>
                      <w:szCs w:val="21"/>
                    </w:rPr>
                    <w:t>N</w:t>
                  </w:r>
                  <w:r>
                    <w:rPr>
                      <w:szCs w:val="21"/>
                    </w:rPr>
                    <w:t>O</w:t>
                  </w:r>
                  <w:r>
                    <w:rPr>
                      <w:szCs w:val="21"/>
                      <w:vertAlign w:val="subscript"/>
                    </w:rPr>
                    <w:t>2</w:t>
                  </w:r>
                </w:p>
              </w:tc>
              <w:tc>
                <w:tcPr>
                  <w:tcW w:w="960" w:type="pct"/>
                  <w:vAlign w:val="center"/>
                </w:tcPr>
                <w:p w14:paraId="56866DC5">
                  <w:pPr>
                    <w:widowControl/>
                    <w:spacing w:line="276" w:lineRule="auto"/>
                    <w:jc w:val="center"/>
                    <w:rPr>
                      <w:szCs w:val="21"/>
                    </w:rPr>
                  </w:pPr>
                  <w:r>
                    <w:rPr>
                      <w:rFonts w:hint="eastAsia"/>
                      <w:szCs w:val="21"/>
                    </w:rPr>
                    <w:t>1次/年</w:t>
                  </w:r>
                </w:p>
              </w:tc>
              <w:tc>
                <w:tcPr>
                  <w:tcW w:w="1527" w:type="pct"/>
                  <w:vMerge w:val="continue"/>
                  <w:vAlign w:val="center"/>
                </w:tcPr>
                <w:p w14:paraId="32F56F9E">
                  <w:pPr>
                    <w:spacing w:line="276" w:lineRule="auto"/>
                    <w:jc w:val="center"/>
                    <w:rPr>
                      <w:spacing w:val="-2"/>
                      <w:kern w:val="0"/>
                      <w:szCs w:val="21"/>
                    </w:rPr>
                  </w:pPr>
                </w:p>
              </w:tc>
            </w:tr>
            <w:tr w14:paraId="0E01B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vMerge w:val="continue"/>
                  <w:vAlign w:val="center"/>
                </w:tcPr>
                <w:p w14:paraId="000EAC08">
                  <w:pPr>
                    <w:widowControl/>
                    <w:spacing w:line="276" w:lineRule="auto"/>
                    <w:jc w:val="center"/>
                    <w:rPr>
                      <w:szCs w:val="21"/>
                    </w:rPr>
                  </w:pPr>
                </w:p>
              </w:tc>
              <w:tc>
                <w:tcPr>
                  <w:tcW w:w="1050" w:type="pct"/>
                  <w:vAlign w:val="center"/>
                </w:tcPr>
                <w:p w14:paraId="730F127A">
                  <w:pPr>
                    <w:widowControl/>
                    <w:spacing w:line="276" w:lineRule="auto"/>
                    <w:jc w:val="center"/>
                    <w:rPr>
                      <w:szCs w:val="21"/>
                    </w:rPr>
                  </w:pPr>
                  <w:r>
                    <w:rPr>
                      <w:rFonts w:hint="eastAsia"/>
                      <w:szCs w:val="21"/>
                    </w:rPr>
                    <w:t>排气筒（</w:t>
                  </w:r>
                  <w:r>
                    <w:rPr>
                      <w:szCs w:val="21"/>
                    </w:rPr>
                    <w:t>DA002</w:t>
                  </w:r>
                  <w:r>
                    <w:rPr>
                      <w:rFonts w:hint="eastAsia"/>
                      <w:szCs w:val="21"/>
                    </w:rPr>
                    <w:t>）</w:t>
                  </w:r>
                </w:p>
              </w:tc>
              <w:tc>
                <w:tcPr>
                  <w:tcW w:w="869" w:type="pct"/>
                  <w:vAlign w:val="center"/>
                </w:tcPr>
                <w:p w14:paraId="01A4CCE0">
                  <w:pPr>
                    <w:spacing w:line="276" w:lineRule="auto"/>
                    <w:jc w:val="center"/>
                    <w:rPr>
                      <w:szCs w:val="21"/>
                    </w:rPr>
                  </w:pPr>
                  <w:r>
                    <w:rPr>
                      <w:rFonts w:hint="eastAsia"/>
                      <w:szCs w:val="21"/>
                    </w:rPr>
                    <w:t>非甲烷总烃</w:t>
                  </w:r>
                </w:p>
              </w:tc>
              <w:tc>
                <w:tcPr>
                  <w:tcW w:w="960" w:type="pct"/>
                  <w:vAlign w:val="center"/>
                </w:tcPr>
                <w:p w14:paraId="71E4B548">
                  <w:pPr>
                    <w:widowControl/>
                    <w:spacing w:line="276" w:lineRule="auto"/>
                    <w:jc w:val="center"/>
                    <w:rPr>
                      <w:szCs w:val="21"/>
                    </w:rPr>
                  </w:pPr>
                  <w:r>
                    <w:rPr>
                      <w:rFonts w:hint="eastAsia"/>
                      <w:szCs w:val="21"/>
                    </w:rPr>
                    <w:t>1次/年</w:t>
                  </w:r>
                </w:p>
              </w:tc>
              <w:tc>
                <w:tcPr>
                  <w:tcW w:w="1527" w:type="pct"/>
                  <w:vAlign w:val="center"/>
                </w:tcPr>
                <w:p w14:paraId="05A67328">
                  <w:pPr>
                    <w:spacing w:line="276" w:lineRule="auto"/>
                    <w:jc w:val="center"/>
                    <w:rPr>
                      <w:szCs w:val="21"/>
                    </w:rPr>
                  </w:pPr>
                  <w:r>
                    <w:rPr>
                      <w:rFonts w:hint="eastAsia"/>
                      <w:szCs w:val="21"/>
                    </w:rPr>
                    <w:t>《合成树脂工业污染物排放标准》（G</w:t>
                  </w:r>
                  <w:r>
                    <w:rPr>
                      <w:szCs w:val="21"/>
                    </w:rPr>
                    <w:t>B31572-2015</w:t>
                  </w:r>
                  <w:r>
                    <w:rPr>
                      <w:rFonts w:hint="eastAsia"/>
                      <w:szCs w:val="21"/>
                    </w:rPr>
                    <w:t>）</w:t>
                  </w:r>
                </w:p>
              </w:tc>
            </w:tr>
            <w:tr w14:paraId="45D45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94" w:type="pct"/>
                  <w:vMerge w:val="restart"/>
                  <w:vAlign w:val="center"/>
                </w:tcPr>
                <w:p w14:paraId="082FE509">
                  <w:pPr>
                    <w:widowControl/>
                    <w:spacing w:line="276" w:lineRule="auto"/>
                    <w:jc w:val="center"/>
                    <w:rPr>
                      <w:szCs w:val="21"/>
                    </w:rPr>
                  </w:pPr>
                  <w:r>
                    <w:rPr>
                      <w:szCs w:val="21"/>
                    </w:rPr>
                    <w:t>无组织</w:t>
                  </w:r>
                </w:p>
              </w:tc>
              <w:tc>
                <w:tcPr>
                  <w:tcW w:w="1050" w:type="pct"/>
                  <w:vMerge w:val="restart"/>
                  <w:vAlign w:val="center"/>
                </w:tcPr>
                <w:p w14:paraId="1944AB19">
                  <w:pPr>
                    <w:widowControl/>
                    <w:spacing w:line="276" w:lineRule="auto"/>
                    <w:jc w:val="center"/>
                    <w:rPr>
                      <w:szCs w:val="21"/>
                    </w:rPr>
                  </w:pPr>
                  <w:r>
                    <w:rPr>
                      <w:rFonts w:hint="eastAsia"/>
                      <w:szCs w:val="21"/>
                    </w:rPr>
                    <w:t>厂界</w:t>
                  </w:r>
                </w:p>
              </w:tc>
              <w:tc>
                <w:tcPr>
                  <w:tcW w:w="869" w:type="pct"/>
                  <w:vAlign w:val="center"/>
                </w:tcPr>
                <w:p w14:paraId="4A90BA65">
                  <w:pPr>
                    <w:spacing w:line="276" w:lineRule="auto"/>
                    <w:jc w:val="center"/>
                    <w:rPr>
                      <w:szCs w:val="21"/>
                    </w:rPr>
                  </w:pPr>
                  <w:r>
                    <w:rPr>
                      <w:rFonts w:hint="eastAsia"/>
                      <w:szCs w:val="21"/>
                    </w:rPr>
                    <w:t>非甲烷总烃、</w:t>
                  </w:r>
                </w:p>
              </w:tc>
              <w:tc>
                <w:tcPr>
                  <w:tcW w:w="960" w:type="pct"/>
                  <w:vMerge w:val="restart"/>
                  <w:vAlign w:val="center"/>
                </w:tcPr>
                <w:p w14:paraId="3A53AFFA">
                  <w:pPr>
                    <w:widowControl/>
                    <w:spacing w:line="276" w:lineRule="auto"/>
                    <w:jc w:val="center"/>
                    <w:rPr>
                      <w:szCs w:val="21"/>
                    </w:rPr>
                  </w:pPr>
                  <w:r>
                    <w:rPr>
                      <w:rFonts w:hint="eastAsia"/>
                      <w:szCs w:val="21"/>
                    </w:rPr>
                    <w:t>1次/年</w:t>
                  </w:r>
                </w:p>
              </w:tc>
              <w:tc>
                <w:tcPr>
                  <w:tcW w:w="1527" w:type="pct"/>
                  <w:vAlign w:val="center"/>
                </w:tcPr>
                <w:p w14:paraId="3C5A109D">
                  <w:pPr>
                    <w:widowControl/>
                    <w:spacing w:line="276" w:lineRule="auto"/>
                    <w:jc w:val="center"/>
                    <w:rPr>
                      <w:szCs w:val="21"/>
                    </w:rPr>
                  </w:pPr>
                  <w:r>
                    <w:rPr>
                      <w:rFonts w:hint="eastAsia"/>
                      <w:szCs w:val="21"/>
                    </w:rPr>
                    <w:t>《合成树脂工业污染物排放标准》（G</w:t>
                  </w:r>
                  <w:r>
                    <w:rPr>
                      <w:szCs w:val="21"/>
                    </w:rPr>
                    <w:t>B31572-2015</w:t>
                  </w:r>
                  <w:r>
                    <w:rPr>
                      <w:rFonts w:hint="eastAsia"/>
                      <w:szCs w:val="21"/>
                    </w:rPr>
                    <w:t>）</w:t>
                  </w:r>
                </w:p>
              </w:tc>
            </w:tr>
            <w:tr w14:paraId="19BD1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594" w:type="pct"/>
                  <w:vMerge w:val="continue"/>
                  <w:vAlign w:val="center"/>
                </w:tcPr>
                <w:p w14:paraId="74104BD4">
                  <w:pPr>
                    <w:widowControl/>
                    <w:spacing w:line="276" w:lineRule="auto"/>
                    <w:jc w:val="center"/>
                    <w:rPr>
                      <w:szCs w:val="21"/>
                    </w:rPr>
                  </w:pPr>
                </w:p>
              </w:tc>
              <w:tc>
                <w:tcPr>
                  <w:tcW w:w="1050" w:type="pct"/>
                  <w:vMerge w:val="continue"/>
                  <w:vAlign w:val="center"/>
                </w:tcPr>
                <w:p w14:paraId="64DEC345">
                  <w:pPr>
                    <w:widowControl/>
                    <w:spacing w:line="276" w:lineRule="auto"/>
                    <w:jc w:val="center"/>
                    <w:rPr>
                      <w:szCs w:val="21"/>
                    </w:rPr>
                  </w:pPr>
                </w:p>
              </w:tc>
              <w:tc>
                <w:tcPr>
                  <w:tcW w:w="869" w:type="pct"/>
                  <w:vAlign w:val="center"/>
                </w:tcPr>
                <w:p w14:paraId="596AA6E6">
                  <w:pPr>
                    <w:spacing w:line="276" w:lineRule="auto"/>
                    <w:jc w:val="center"/>
                    <w:rPr>
                      <w:szCs w:val="21"/>
                    </w:rPr>
                  </w:pPr>
                  <w:r>
                    <w:rPr>
                      <w:szCs w:val="21"/>
                    </w:rPr>
                    <w:t>颗粒物</w:t>
                  </w:r>
                  <w:r>
                    <w:rPr>
                      <w:rFonts w:hint="eastAsia"/>
                      <w:szCs w:val="21"/>
                    </w:rPr>
                    <w:t>、SO</w:t>
                  </w:r>
                  <w:r>
                    <w:rPr>
                      <w:rFonts w:hint="eastAsia"/>
                      <w:szCs w:val="21"/>
                      <w:vertAlign w:val="subscript"/>
                    </w:rPr>
                    <w:t>2</w:t>
                  </w:r>
                  <w:r>
                    <w:rPr>
                      <w:rFonts w:hint="eastAsia"/>
                      <w:szCs w:val="21"/>
                    </w:rPr>
                    <w:t>、NO</w:t>
                  </w:r>
                  <w:r>
                    <w:rPr>
                      <w:rFonts w:hint="eastAsia"/>
                      <w:szCs w:val="21"/>
                      <w:vertAlign w:val="subscript"/>
                    </w:rPr>
                    <w:t>2</w:t>
                  </w:r>
                </w:p>
              </w:tc>
              <w:tc>
                <w:tcPr>
                  <w:tcW w:w="960" w:type="pct"/>
                  <w:vMerge w:val="continue"/>
                  <w:vAlign w:val="center"/>
                </w:tcPr>
                <w:p w14:paraId="074BABCC">
                  <w:pPr>
                    <w:widowControl/>
                    <w:spacing w:line="276" w:lineRule="auto"/>
                    <w:jc w:val="center"/>
                    <w:rPr>
                      <w:szCs w:val="21"/>
                    </w:rPr>
                  </w:pPr>
                </w:p>
              </w:tc>
              <w:tc>
                <w:tcPr>
                  <w:tcW w:w="1527" w:type="pct"/>
                  <w:vAlign w:val="center"/>
                </w:tcPr>
                <w:p w14:paraId="74E0D952">
                  <w:pPr>
                    <w:widowControl/>
                    <w:spacing w:line="276" w:lineRule="auto"/>
                    <w:jc w:val="center"/>
                    <w:rPr>
                      <w:b/>
                      <w:bCs/>
                      <w:szCs w:val="21"/>
                    </w:rPr>
                  </w:pPr>
                  <w:r>
                    <w:rPr>
                      <w:rFonts w:hint="eastAsia"/>
                      <w:spacing w:val="-2"/>
                      <w:kern w:val="0"/>
                      <w:szCs w:val="21"/>
                    </w:rPr>
                    <w:t>《大气污染物综合排放标准》表2中二级标准限值要求</w:t>
                  </w:r>
                </w:p>
              </w:tc>
            </w:tr>
            <w:tr w14:paraId="738C4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94" w:type="pct"/>
                  <w:vMerge w:val="continue"/>
                  <w:vAlign w:val="center"/>
                </w:tcPr>
                <w:p w14:paraId="12A3920A">
                  <w:pPr>
                    <w:widowControl/>
                    <w:spacing w:line="276" w:lineRule="auto"/>
                    <w:jc w:val="center"/>
                    <w:rPr>
                      <w:szCs w:val="21"/>
                    </w:rPr>
                  </w:pPr>
                </w:p>
              </w:tc>
              <w:tc>
                <w:tcPr>
                  <w:tcW w:w="1050" w:type="pct"/>
                  <w:vAlign w:val="center"/>
                </w:tcPr>
                <w:p w14:paraId="088CDDB2">
                  <w:pPr>
                    <w:widowControl/>
                    <w:spacing w:line="276" w:lineRule="auto"/>
                    <w:jc w:val="center"/>
                    <w:rPr>
                      <w:szCs w:val="21"/>
                    </w:rPr>
                  </w:pPr>
                  <w:r>
                    <w:rPr>
                      <w:rFonts w:hint="eastAsia"/>
                      <w:szCs w:val="21"/>
                    </w:rPr>
                    <w:t>厂房门窗或通风口、其他开口（孔）</w:t>
                  </w:r>
                </w:p>
              </w:tc>
              <w:tc>
                <w:tcPr>
                  <w:tcW w:w="869" w:type="pct"/>
                  <w:vAlign w:val="center"/>
                </w:tcPr>
                <w:p w14:paraId="26D5F58C">
                  <w:pPr>
                    <w:spacing w:line="276" w:lineRule="auto"/>
                    <w:jc w:val="center"/>
                    <w:rPr>
                      <w:szCs w:val="21"/>
                    </w:rPr>
                  </w:pPr>
                  <w:r>
                    <w:rPr>
                      <w:rFonts w:hint="eastAsia"/>
                      <w:szCs w:val="21"/>
                    </w:rPr>
                    <w:t>非甲烷总烃</w:t>
                  </w:r>
                </w:p>
              </w:tc>
              <w:tc>
                <w:tcPr>
                  <w:tcW w:w="960" w:type="pct"/>
                  <w:vAlign w:val="center"/>
                </w:tcPr>
                <w:p w14:paraId="714F9B64">
                  <w:pPr>
                    <w:widowControl/>
                    <w:spacing w:line="276" w:lineRule="auto"/>
                    <w:jc w:val="center"/>
                    <w:rPr>
                      <w:szCs w:val="21"/>
                    </w:rPr>
                  </w:pPr>
                  <w:r>
                    <w:rPr>
                      <w:rFonts w:hint="eastAsia"/>
                      <w:szCs w:val="21"/>
                    </w:rPr>
                    <w:t>1次/年</w:t>
                  </w:r>
                </w:p>
              </w:tc>
              <w:tc>
                <w:tcPr>
                  <w:tcW w:w="1527" w:type="pct"/>
                  <w:vAlign w:val="center"/>
                </w:tcPr>
                <w:p w14:paraId="6B1F12F2">
                  <w:pPr>
                    <w:widowControl/>
                    <w:spacing w:line="276" w:lineRule="auto"/>
                    <w:jc w:val="center"/>
                    <w:rPr>
                      <w:bCs/>
                      <w:szCs w:val="21"/>
                    </w:rPr>
                  </w:pPr>
                  <w:r>
                    <w:rPr>
                      <w:rFonts w:hint="eastAsia"/>
                      <w:bCs/>
                      <w:szCs w:val="21"/>
                    </w:rPr>
                    <w:t>《挥发性有机物无组织排放控制标准》（</w:t>
                  </w:r>
                  <w:r>
                    <w:rPr>
                      <w:bCs/>
                      <w:szCs w:val="21"/>
                    </w:rPr>
                    <w:t>GB37822-2019</w:t>
                  </w:r>
                  <w:r>
                    <w:rPr>
                      <w:rFonts w:hint="eastAsia"/>
                      <w:bCs/>
                      <w:szCs w:val="21"/>
                    </w:rPr>
                    <w:t>）</w:t>
                  </w:r>
                </w:p>
              </w:tc>
            </w:tr>
          </w:tbl>
          <w:p w14:paraId="29E22C96">
            <w:pPr>
              <w:spacing w:line="360" w:lineRule="auto"/>
              <w:ind w:firstLine="482" w:firstLineChars="200"/>
              <w:jc w:val="left"/>
              <w:rPr>
                <w:b/>
                <w:sz w:val="24"/>
              </w:rPr>
            </w:pPr>
            <w:r>
              <w:rPr>
                <w:rFonts w:hint="eastAsia"/>
                <w:b/>
                <w:bCs/>
                <w:sz w:val="24"/>
                <w:szCs w:val="28"/>
              </w:rPr>
              <w:t>二、废水污染源强及环境影响和保护措施</w:t>
            </w:r>
          </w:p>
          <w:p w14:paraId="29EFE736">
            <w:pPr>
              <w:spacing w:line="360" w:lineRule="auto"/>
              <w:ind w:firstLine="482" w:firstLineChars="200"/>
              <w:contextualSpacing/>
              <w:jc w:val="left"/>
              <w:rPr>
                <w:b/>
                <w:sz w:val="24"/>
              </w:rPr>
            </w:pPr>
            <w:r>
              <w:rPr>
                <w:b/>
                <w:sz w:val="24"/>
              </w:rPr>
              <w:t>1、废水源强</w:t>
            </w:r>
          </w:p>
          <w:p w14:paraId="484FEA7A">
            <w:pPr>
              <w:widowControl/>
              <w:spacing w:line="360" w:lineRule="auto"/>
              <w:ind w:firstLine="480" w:firstLineChars="200"/>
              <w:jc w:val="left"/>
              <w:outlineLvl w:val="0"/>
              <w:rPr>
                <w:sz w:val="24"/>
              </w:rPr>
            </w:pPr>
            <w:r>
              <w:rPr>
                <w:rFonts w:hint="eastAsia"/>
                <w:sz w:val="24"/>
              </w:rPr>
              <w:t>根据企业设计资料，本项目生产设备无需清洗，不产生清洗废水。项目营运期排水主要为生活污水。</w:t>
            </w:r>
          </w:p>
          <w:p w14:paraId="30D1E1BB">
            <w:pPr>
              <w:pStyle w:val="108"/>
              <w:adjustRightInd/>
              <w:spacing w:line="360" w:lineRule="auto"/>
              <w:ind w:firstLine="480" w:firstLineChars="200"/>
              <w:jc w:val="both"/>
              <w:rPr>
                <w:b/>
                <w:color w:val="auto"/>
              </w:rPr>
            </w:pPr>
            <w:r>
              <w:rPr>
                <w:rFonts w:hint="eastAsia"/>
                <w:color w:val="auto"/>
              </w:rPr>
              <w:t>项目劳动定员18人，根据《安徽省行业用水定额》（</w:t>
            </w:r>
            <w:r>
              <w:rPr>
                <w:color w:val="auto"/>
              </w:rPr>
              <w:t>DB34/T679-2019</w:t>
            </w:r>
            <w:r>
              <w:rPr>
                <w:rFonts w:hint="eastAsia"/>
                <w:color w:val="auto"/>
              </w:rPr>
              <w:t>），工作人员用水定额按</w:t>
            </w:r>
            <w:r>
              <w:rPr>
                <w:color w:val="auto"/>
              </w:rPr>
              <w:t>100L/</w:t>
            </w:r>
            <w:r>
              <w:rPr>
                <w:rFonts w:hint="eastAsia"/>
                <w:color w:val="auto"/>
              </w:rPr>
              <w:t>人·</w:t>
            </w:r>
            <w:r>
              <w:rPr>
                <w:color w:val="auto"/>
              </w:rPr>
              <w:t>d</w:t>
            </w:r>
            <w:r>
              <w:rPr>
                <w:rFonts w:hint="eastAsia"/>
                <w:color w:val="auto"/>
              </w:rPr>
              <w:t>计，工作人员用水量为为1.8</w:t>
            </w:r>
            <w:r>
              <w:rPr>
                <w:color w:val="auto"/>
              </w:rPr>
              <w:t>m</w:t>
            </w:r>
            <w:r>
              <w:rPr>
                <w:color w:val="auto"/>
                <w:vertAlign w:val="superscript"/>
              </w:rPr>
              <w:t>3</w:t>
            </w:r>
            <w:r>
              <w:rPr>
                <w:color w:val="auto"/>
              </w:rPr>
              <w:t>/d</w:t>
            </w:r>
            <w:r>
              <w:rPr>
                <w:rFonts w:hint="eastAsia"/>
                <w:color w:val="auto"/>
              </w:rPr>
              <w:t>（594</w:t>
            </w:r>
            <w:r>
              <w:rPr>
                <w:color w:val="auto"/>
              </w:rPr>
              <w:t>m</w:t>
            </w:r>
            <w:r>
              <w:rPr>
                <w:color w:val="auto"/>
                <w:vertAlign w:val="superscript"/>
              </w:rPr>
              <w:t>3</w:t>
            </w:r>
            <w:r>
              <w:rPr>
                <w:color w:val="auto"/>
              </w:rPr>
              <w:t>/a</w:t>
            </w:r>
            <w:r>
              <w:rPr>
                <w:rFonts w:hint="eastAsia"/>
                <w:color w:val="auto"/>
              </w:rPr>
              <w:t>），排污系数按</w:t>
            </w:r>
            <w:r>
              <w:rPr>
                <w:color w:val="auto"/>
              </w:rPr>
              <w:t>80%</w:t>
            </w:r>
            <w:r>
              <w:rPr>
                <w:rFonts w:hint="eastAsia"/>
                <w:color w:val="auto"/>
              </w:rPr>
              <w:t>计，则职工生活污水产生量为1.44</w:t>
            </w:r>
            <w:r>
              <w:rPr>
                <w:color w:val="auto"/>
              </w:rPr>
              <w:t>m</w:t>
            </w:r>
            <w:r>
              <w:rPr>
                <w:color w:val="auto"/>
                <w:vertAlign w:val="superscript"/>
              </w:rPr>
              <w:t>3</w:t>
            </w:r>
            <w:r>
              <w:rPr>
                <w:color w:val="auto"/>
              </w:rPr>
              <w:t>/d</w:t>
            </w:r>
            <w:r>
              <w:rPr>
                <w:rFonts w:hint="eastAsia"/>
                <w:color w:val="auto"/>
              </w:rPr>
              <w:t>（475</w:t>
            </w:r>
            <w:r>
              <w:rPr>
                <w:color w:val="auto"/>
              </w:rPr>
              <w:t>m</w:t>
            </w:r>
            <w:r>
              <w:rPr>
                <w:color w:val="auto"/>
                <w:vertAlign w:val="superscript"/>
              </w:rPr>
              <w:t>3</w:t>
            </w:r>
            <w:r>
              <w:rPr>
                <w:color w:val="auto"/>
              </w:rPr>
              <w:t>/a</w:t>
            </w:r>
            <w:r>
              <w:rPr>
                <w:rFonts w:hint="eastAsia"/>
                <w:color w:val="auto"/>
              </w:rPr>
              <w:t>）。参考</w:t>
            </w:r>
            <w:r>
              <w:rPr>
                <w:color w:val="auto"/>
              </w:rPr>
              <w:t>滁州良基电子科技有限公司委托安徽澳林检测技术有限公司对生活</w:t>
            </w:r>
            <w:r>
              <w:rPr>
                <w:rFonts w:hint="eastAsia"/>
                <w:color w:val="auto"/>
              </w:rPr>
              <w:t>污</w:t>
            </w:r>
            <w:r>
              <w:rPr>
                <w:color w:val="auto"/>
              </w:rPr>
              <w:t>水检测（监测报告：安澳验检</w:t>
            </w:r>
            <w:r>
              <w:rPr>
                <w:rFonts w:hint="eastAsia"/>
                <w:color w:val="auto"/>
              </w:rPr>
              <w:t>[2021]（10004）号</w:t>
            </w:r>
            <w:r>
              <w:rPr>
                <w:color w:val="auto"/>
              </w:rPr>
              <w:t>）的数据COD</w:t>
            </w:r>
            <w:r>
              <w:rPr>
                <w:rFonts w:hint="eastAsia"/>
                <w:color w:val="auto"/>
              </w:rPr>
              <w:t>309</w:t>
            </w:r>
            <w:r>
              <w:rPr>
                <w:rFonts w:hint="eastAsia"/>
                <w:color w:val="auto"/>
                <w:szCs w:val="21"/>
              </w:rPr>
              <w:t>mg/L</w:t>
            </w:r>
            <w:r>
              <w:rPr>
                <w:color w:val="auto"/>
              </w:rPr>
              <w:t>、</w:t>
            </w:r>
            <w:r>
              <w:rPr>
                <w:color w:val="auto"/>
                <w:szCs w:val="21"/>
              </w:rPr>
              <w:t>BOD</w:t>
            </w:r>
            <w:r>
              <w:rPr>
                <w:color w:val="auto"/>
                <w:szCs w:val="21"/>
                <w:vertAlign w:val="subscript"/>
              </w:rPr>
              <w:t>5</w:t>
            </w:r>
            <w:r>
              <w:rPr>
                <w:rFonts w:hint="eastAsia"/>
                <w:color w:val="auto"/>
                <w:szCs w:val="21"/>
              </w:rPr>
              <w:t>80mg/L、</w:t>
            </w:r>
            <w:r>
              <w:rPr>
                <w:rFonts w:hint="eastAsia"/>
                <w:color w:val="auto"/>
              </w:rPr>
              <w:t>NH</w:t>
            </w:r>
            <w:r>
              <w:rPr>
                <w:rFonts w:hint="eastAsia"/>
                <w:color w:val="auto"/>
                <w:vertAlign w:val="subscript"/>
              </w:rPr>
              <w:t>3</w:t>
            </w:r>
            <w:r>
              <w:rPr>
                <w:rFonts w:hint="eastAsia"/>
                <w:color w:val="auto"/>
              </w:rPr>
              <w:t>-N28.8</w:t>
            </w:r>
            <w:r>
              <w:rPr>
                <w:rFonts w:hint="eastAsia"/>
                <w:color w:val="auto"/>
                <w:szCs w:val="21"/>
              </w:rPr>
              <w:t>mg/L；参考安徽迈明亚克力科技有限公司委托安徽澳林检测技术有限公司对生活污水检测</w:t>
            </w:r>
            <w:r>
              <w:rPr>
                <w:color w:val="auto"/>
              </w:rPr>
              <w:t>（监测报告：安澳验检</w:t>
            </w:r>
            <w:r>
              <w:rPr>
                <w:rFonts w:hint="eastAsia"/>
                <w:color w:val="auto"/>
              </w:rPr>
              <w:t>[2020]（10004）号</w:t>
            </w:r>
            <w:r>
              <w:rPr>
                <w:color w:val="auto"/>
              </w:rPr>
              <w:t>）</w:t>
            </w:r>
            <w:r>
              <w:rPr>
                <w:rFonts w:hint="eastAsia"/>
                <w:color w:val="auto"/>
                <w:szCs w:val="21"/>
              </w:rPr>
              <w:t>的数据SS107.5mg/L，</w:t>
            </w:r>
            <w:r>
              <w:rPr>
                <w:rFonts w:hint="eastAsia"/>
                <w:color w:val="auto"/>
              </w:rPr>
              <w:t>以上参考报告均为仅排放生活污水项目，与本项目废水类别一致，数据均符合参考要求。</w:t>
            </w:r>
          </w:p>
          <w:p w14:paraId="134BBE6E">
            <w:pPr>
              <w:pStyle w:val="108"/>
              <w:adjustRightInd/>
              <w:spacing w:line="360" w:lineRule="auto"/>
              <w:ind w:firstLine="480" w:firstLineChars="200"/>
              <w:jc w:val="both"/>
              <w:rPr>
                <w:color w:val="auto"/>
              </w:rPr>
            </w:pPr>
            <w:r>
              <w:rPr>
                <w:rFonts w:hint="eastAsia"/>
                <w:color w:val="auto"/>
              </w:rPr>
              <w:t>本项目生活污水依托厂区内</w:t>
            </w:r>
            <w:r>
              <w:rPr>
                <w:color w:val="auto"/>
                <w:szCs w:val="21"/>
              </w:rPr>
              <w:t>化粪池</w:t>
            </w:r>
            <w:r>
              <w:rPr>
                <w:rFonts w:hint="eastAsia"/>
                <w:color w:val="auto"/>
              </w:rPr>
              <w:t>处理达到纳管标准后纳管送至毛集实验区污水处理厂处理，处理达标后排放至受纳水体。主要废水污染物产生和排放情况见下表43。</w:t>
            </w:r>
          </w:p>
          <w:p w14:paraId="4118637A">
            <w:pPr>
              <w:spacing w:line="360" w:lineRule="auto"/>
              <w:jc w:val="center"/>
              <w:rPr>
                <w:rFonts w:hAnsi="黑体" w:eastAsia="黑体"/>
                <w:spacing w:val="-2"/>
                <w:kern w:val="0"/>
                <w:szCs w:val="21"/>
              </w:rPr>
            </w:pPr>
            <w:r>
              <w:rPr>
                <w:rFonts w:hint="eastAsia" w:hAnsi="黑体" w:eastAsia="黑体"/>
                <w:sz w:val="24"/>
                <w:szCs w:val="24"/>
              </w:rPr>
              <w:t>表43</w:t>
            </w:r>
            <w:r>
              <w:rPr>
                <w:rFonts w:hAnsi="黑体" w:eastAsia="黑体"/>
                <w:sz w:val="24"/>
                <w:szCs w:val="24"/>
              </w:rPr>
              <w:t xml:space="preserve">  </w:t>
            </w:r>
            <w:r>
              <w:rPr>
                <w:rFonts w:hint="eastAsia" w:hAnsi="黑体" w:eastAsia="黑体"/>
                <w:sz w:val="24"/>
                <w:szCs w:val="24"/>
              </w:rPr>
              <w:t>项目运营期全厂水污染物产排情况一览表</w:t>
            </w:r>
          </w:p>
          <w:tbl>
            <w:tblPr>
              <w:tblStyle w:val="3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20"/>
              <w:gridCol w:w="918"/>
              <w:gridCol w:w="1116"/>
              <w:gridCol w:w="946"/>
              <w:gridCol w:w="1116"/>
              <w:gridCol w:w="992"/>
              <w:gridCol w:w="1116"/>
              <w:gridCol w:w="871"/>
            </w:tblGrid>
            <w:tr w14:paraId="6E1A7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20" w:type="dxa"/>
                  <w:vMerge w:val="restart"/>
                  <w:tcBorders>
                    <w:top w:val="single" w:color="000000" w:sz="12" w:space="0"/>
                    <w:left w:val="nil"/>
                    <w:bottom w:val="single" w:color="000000" w:sz="4" w:space="0"/>
                    <w:right w:val="single" w:color="000000" w:sz="4" w:space="0"/>
                  </w:tcBorders>
                  <w:vAlign w:val="center"/>
                </w:tcPr>
                <w:p w14:paraId="46149DE6">
                  <w:pPr>
                    <w:spacing w:line="276" w:lineRule="auto"/>
                    <w:jc w:val="center"/>
                    <w:rPr>
                      <w:b/>
                      <w:bCs/>
                      <w:szCs w:val="21"/>
                    </w:rPr>
                  </w:pPr>
                  <w:r>
                    <w:rPr>
                      <w:b/>
                      <w:bCs/>
                      <w:szCs w:val="21"/>
                    </w:rPr>
                    <w:t>废水量</w:t>
                  </w:r>
                </w:p>
              </w:tc>
              <w:tc>
                <w:tcPr>
                  <w:tcW w:w="918" w:type="dxa"/>
                  <w:vMerge w:val="restart"/>
                  <w:tcBorders>
                    <w:top w:val="single" w:color="000000" w:sz="12" w:space="0"/>
                    <w:left w:val="single" w:color="000000" w:sz="4" w:space="0"/>
                    <w:bottom w:val="single" w:color="000000" w:sz="4" w:space="0"/>
                    <w:right w:val="single" w:color="000000" w:sz="4" w:space="0"/>
                  </w:tcBorders>
                  <w:vAlign w:val="center"/>
                </w:tcPr>
                <w:p w14:paraId="3BCD42A9">
                  <w:pPr>
                    <w:spacing w:line="276" w:lineRule="auto"/>
                    <w:jc w:val="center"/>
                    <w:rPr>
                      <w:b/>
                      <w:bCs/>
                      <w:szCs w:val="21"/>
                    </w:rPr>
                  </w:pPr>
                  <w:r>
                    <w:rPr>
                      <w:b/>
                      <w:bCs/>
                      <w:szCs w:val="21"/>
                    </w:rPr>
                    <w:t>污染物名称</w:t>
                  </w:r>
                </w:p>
              </w:tc>
              <w:tc>
                <w:tcPr>
                  <w:tcW w:w="2062" w:type="dxa"/>
                  <w:gridSpan w:val="2"/>
                  <w:tcBorders>
                    <w:top w:val="single" w:color="000000" w:sz="12" w:space="0"/>
                    <w:left w:val="single" w:color="000000" w:sz="4" w:space="0"/>
                    <w:bottom w:val="single" w:color="000000" w:sz="4" w:space="0"/>
                    <w:right w:val="single" w:color="000000" w:sz="4" w:space="0"/>
                  </w:tcBorders>
                  <w:vAlign w:val="center"/>
                </w:tcPr>
                <w:p w14:paraId="04A6C79E">
                  <w:pPr>
                    <w:spacing w:line="276" w:lineRule="auto"/>
                    <w:jc w:val="center"/>
                    <w:rPr>
                      <w:b/>
                      <w:bCs/>
                      <w:szCs w:val="21"/>
                    </w:rPr>
                  </w:pPr>
                  <w:r>
                    <w:rPr>
                      <w:b/>
                      <w:bCs/>
                      <w:szCs w:val="21"/>
                    </w:rPr>
                    <w:t>污染物产生情况</w:t>
                  </w:r>
                </w:p>
              </w:tc>
              <w:tc>
                <w:tcPr>
                  <w:tcW w:w="2108" w:type="dxa"/>
                  <w:gridSpan w:val="2"/>
                  <w:tcBorders>
                    <w:top w:val="single" w:color="000000" w:sz="12" w:space="0"/>
                    <w:left w:val="single" w:color="000000" w:sz="4" w:space="0"/>
                    <w:bottom w:val="single" w:color="auto" w:sz="4" w:space="0"/>
                    <w:right w:val="single" w:color="000000" w:sz="4" w:space="0"/>
                  </w:tcBorders>
                  <w:vAlign w:val="center"/>
                </w:tcPr>
                <w:p w14:paraId="4FC5864E">
                  <w:pPr>
                    <w:spacing w:line="276" w:lineRule="auto"/>
                    <w:jc w:val="center"/>
                    <w:rPr>
                      <w:b/>
                      <w:bCs/>
                      <w:szCs w:val="21"/>
                    </w:rPr>
                  </w:pPr>
                  <w:r>
                    <w:rPr>
                      <w:b/>
                      <w:bCs/>
                      <w:szCs w:val="21"/>
                    </w:rPr>
                    <w:t>污染物纳管</w:t>
                  </w:r>
                </w:p>
              </w:tc>
              <w:tc>
                <w:tcPr>
                  <w:tcW w:w="1987" w:type="dxa"/>
                  <w:gridSpan w:val="2"/>
                  <w:tcBorders>
                    <w:top w:val="single" w:color="000000" w:sz="12" w:space="0"/>
                    <w:left w:val="single" w:color="000000" w:sz="4" w:space="0"/>
                    <w:bottom w:val="single" w:color="000000" w:sz="4" w:space="0"/>
                    <w:right w:val="nil"/>
                  </w:tcBorders>
                  <w:vAlign w:val="center"/>
                </w:tcPr>
                <w:p w14:paraId="1A7F64F0">
                  <w:pPr>
                    <w:spacing w:line="276" w:lineRule="auto"/>
                    <w:jc w:val="center"/>
                    <w:rPr>
                      <w:b/>
                      <w:bCs/>
                      <w:szCs w:val="21"/>
                    </w:rPr>
                  </w:pPr>
                  <w:r>
                    <w:rPr>
                      <w:b/>
                      <w:bCs/>
                      <w:szCs w:val="21"/>
                    </w:rPr>
                    <w:t>排入受纳水体量</w:t>
                  </w:r>
                </w:p>
              </w:tc>
            </w:tr>
            <w:tr w14:paraId="7A1B59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020" w:type="dxa"/>
                  <w:vMerge w:val="continue"/>
                  <w:tcBorders>
                    <w:top w:val="single" w:color="000000" w:sz="12" w:space="0"/>
                    <w:left w:val="nil"/>
                    <w:bottom w:val="single" w:color="000000" w:sz="4" w:space="0"/>
                    <w:right w:val="single" w:color="000000" w:sz="4" w:space="0"/>
                  </w:tcBorders>
                  <w:vAlign w:val="center"/>
                </w:tcPr>
                <w:p w14:paraId="6A9DEAAC">
                  <w:pPr>
                    <w:widowControl/>
                    <w:spacing w:line="276" w:lineRule="auto"/>
                    <w:jc w:val="left"/>
                    <w:rPr>
                      <w:b/>
                      <w:bCs/>
                      <w:szCs w:val="21"/>
                    </w:rPr>
                  </w:pPr>
                </w:p>
              </w:tc>
              <w:tc>
                <w:tcPr>
                  <w:tcW w:w="918" w:type="dxa"/>
                  <w:vMerge w:val="continue"/>
                  <w:tcBorders>
                    <w:top w:val="single" w:color="000000" w:sz="12" w:space="0"/>
                    <w:left w:val="single" w:color="000000" w:sz="4" w:space="0"/>
                    <w:bottom w:val="single" w:color="000000" w:sz="4" w:space="0"/>
                    <w:right w:val="single" w:color="000000" w:sz="4" w:space="0"/>
                  </w:tcBorders>
                  <w:vAlign w:val="center"/>
                </w:tcPr>
                <w:p w14:paraId="3ED82278">
                  <w:pPr>
                    <w:widowControl/>
                    <w:spacing w:line="276" w:lineRule="auto"/>
                    <w:jc w:val="left"/>
                    <w:rPr>
                      <w:b/>
                      <w:bCs/>
                      <w:szCs w:val="21"/>
                    </w:rPr>
                  </w:pPr>
                </w:p>
              </w:tc>
              <w:tc>
                <w:tcPr>
                  <w:tcW w:w="1116" w:type="dxa"/>
                  <w:tcBorders>
                    <w:top w:val="single" w:color="000000" w:sz="4" w:space="0"/>
                    <w:left w:val="single" w:color="000000" w:sz="4" w:space="0"/>
                    <w:bottom w:val="single" w:color="000000" w:sz="4" w:space="0"/>
                    <w:right w:val="single" w:color="000000" w:sz="4" w:space="0"/>
                  </w:tcBorders>
                  <w:vAlign w:val="center"/>
                </w:tcPr>
                <w:p w14:paraId="607B82DA">
                  <w:pPr>
                    <w:spacing w:line="276" w:lineRule="auto"/>
                    <w:jc w:val="center"/>
                    <w:rPr>
                      <w:b/>
                      <w:bCs/>
                      <w:szCs w:val="21"/>
                    </w:rPr>
                  </w:pPr>
                  <w:r>
                    <w:rPr>
                      <w:b/>
                      <w:bCs/>
                      <w:szCs w:val="21"/>
                    </w:rPr>
                    <w:t>浓度（mg/L）</w:t>
                  </w:r>
                </w:p>
              </w:tc>
              <w:tc>
                <w:tcPr>
                  <w:tcW w:w="946" w:type="dxa"/>
                  <w:tcBorders>
                    <w:top w:val="single" w:color="000000" w:sz="4" w:space="0"/>
                    <w:left w:val="single" w:color="000000" w:sz="4" w:space="0"/>
                    <w:bottom w:val="single" w:color="000000" w:sz="4" w:space="0"/>
                    <w:right w:val="single" w:color="auto" w:sz="4" w:space="0"/>
                  </w:tcBorders>
                  <w:vAlign w:val="center"/>
                </w:tcPr>
                <w:p w14:paraId="68906F0A">
                  <w:pPr>
                    <w:spacing w:line="276" w:lineRule="auto"/>
                    <w:jc w:val="center"/>
                    <w:rPr>
                      <w:b/>
                      <w:bCs/>
                      <w:szCs w:val="21"/>
                    </w:rPr>
                  </w:pPr>
                  <w:r>
                    <w:rPr>
                      <w:b/>
                      <w:bCs/>
                      <w:szCs w:val="21"/>
                    </w:rPr>
                    <w:t>产生量（t/a）</w:t>
                  </w:r>
                </w:p>
              </w:tc>
              <w:tc>
                <w:tcPr>
                  <w:tcW w:w="1116" w:type="dxa"/>
                  <w:tcBorders>
                    <w:top w:val="single" w:color="auto" w:sz="4" w:space="0"/>
                    <w:left w:val="single" w:color="auto" w:sz="4" w:space="0"/>
                    <w:bottom w:val="single" w:color="auto" w:sz="4" w:space="0"/>
                    <w:right w:val="single" w:color="auto" w:sz="4" w:space="0"/>
                  </w:tcBorders>
                  <w:vAlign w:val="center"/>
                </w:tcPr>
                <w:p w14:paraId="227D6753">
                  <w:pPr>
                    <w:widowControl/>
                    <w:spacing w:line="276" w:lineRule="auto"/>
                    <w:jc w:val="center"/>
                    <w:rPr>
                      <w:b/>
                      <w:bCs/>
                      <w:szCs w:val="21"/>
                    </w:rPr>
                  </w:pPr>
                  <w:r>
                    <w:rPr>
                      <w:b/>
                      <w:bCs/>
                      <w:szCs w:val="21"/>
                    </w:rPr>
                    <w:t>浓度（mg/L）</w:t>
                  </w:r>
                </w:p>
              </w:tc>
              <w:tc>
                <w:tcPr>
                  <w:tcW w:w="992" w:type="dxa"/>
                  <w:tcBorders>
                    <w:top w:val="single" w:color="auto" w:sz="4" w:space="0"/>
                    <w:left w:val="single" w:color="auto" w:sz="4" w:space="0"/>
                    <w:bottom w:val="single" w:color="auto" w:sz="4" w:space="0"/>
                    <w:right w:val="single" w:color="auto" w:sz="4" w:space="0"/>
                  </w:tcBorders>
                  <w:vAlign w:val="center"/>
                </w:tcPr>
                <w:p w14:paraId="05655174">
                  <w:pPr>
                    <w:widowControl/>
                    <w:spacing w:line="276" w:lineRule="auto"/>
                    <w:jc w:val="center"/>
                    <w:rPr>
                      <w:b/>
                      <w:bCs/>
                      <w:szCs w:val="21"/>
                    </w:rPr>
                  </w:pPr>
                  <w:r>
                    <w:rPr>
                      <w:b/>
                      <w:bCs/>
                      <w:szCs w:val="21"/>
                    </w:rPr>
                    <w:t>纳管量（t/a）</w:t>
                  </w:r>
                </w:p>
              </w:tc>
              <w:tc>
                <w:tcPr>
                  <w:tcW w:w="1116" w:type="dxa"/>
                  <w:tcBorders>
                    <w:top w:val="single" w:color="000000" w:sz="4" w:space="0"/>
                    <w:left w:val="single" w:color="auto" w:sz="4" w:space="0"/>
                    <w:bottom w:val="single" w:color="000000" w:sz="4" w:space="0"/>
                    <w:right w:val="single" w:color="000000" w:sz="4" w:space="0"/>
                  </w:tcBorders>
                  <w:vAlign w:val="center"/>
                </w:tcPr>
                <w:p w14:paraId="01FDE7B1">
                  <w:pPr>
                    <w:spacing w:line="276" w:lineRule="auto"/>
                    <w:jc w:val="center"/>
                    <w:rPr>
                      <w:b/>
                      <w:bCs/>
                      <w:szCs w:val="21"/>
                    </w:rPr>
                  </w:pPr>
                  <w:r>
                    <w:rPr>
                      <w:b/>
                      <w:bCs/>
                      <w:szCs w:val="21"/>
                    </w:rPr>
                    <w:t>浓度（mg/L）</w:t>
                  </w:r>
                </w:p>
              </w:tc>
              <w:tc>
                <w:tcPr>
                  <w:tcW w:w="871" w:type="dxa"/>
                  <w:tcBorders>
                    <w:top w:val="single" w:color="000000" w:sz="4" w:space="0"/>
                    <w:left w:val="single" w:color="000000" w:sz="4" w:space="0"/>
                    <w:bottom w:val="single" w:color="000000" w:sz="4" w:space="0"/>
                    <w:right w:val="nil"/>
                  </w:tcBorders>
                  <w:vAlign w:val="center"/>
                </w:tcPr>
                <w:p w14:paraId="592FC586">
                  <w:pPr>
                    <w:spacing w:line="276" w:lineRule="auto"/>
                    <w:jc w:val="center"/>
                    <w:rPr>
                      <w:b/>
                      <w:bCs/>
                      <w:szCs w:val="21"/>
                    </w:rPr>
                  </w:pPr>
                  <w:r>
                    <w:rPr>
                      <w:b/>
                      <w:bCs/>
                      <w:szCs w:val="21"/>
                    </w:rPr>
                    <w:t>排放量（t/a）</w:t>
                  </w:r>
                </w:p>
              </w:tc>
            </w:tr>
            <w:tr w14:paraId="2B1245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1020" w:type="dxa"/>
                  <w:vMerge w:val="restart"/>
                  <w:tcBorders>
                    <w:left w:val="nil"/>
                    <w:right w:val="single" w:color="000000" w:sz="4" w:space="0"/>
                  </w:tcBorders>
                  <w:vAlign w:val="center"/>
                </w:tcPr>
                <w:p w14:paraId="54806461">
                  <w:pPr>
                    <w:widowControl/>
                    <w:spacing w:line="276" w:lineRule="auto"/>
                    <w:jc w:val="center"/>
                    <w:rPr>
                      <w:bCs/>
                      <w:szCs w:val="21"/>
                    </w:rPr>
                  </w:pPr>
                  <w:r>
                    <w:rPr>
                      <w:bCs/>
                      <w:szCs w:val="21"/>
                    </w:rPr>
                    <w:t>生活污水475m</w:t>
                  </w:r>
                  <w:r>
                    <w:rPr>
                      <w:bCs/>
                      <w:szCs w:val="21"/>
                      <w:vertAlign w:val="superscript"/>
                    </w:rPr>
                    <w:t>3</w:t>
                  </w:r>
                  <w:r>
                    <w:rPr>
                      <w:bCs/>
                      <w:szCs w:val="21"/>
                    </w:rPr>
                    <w:t>/a</w:t>
                  </w:r>
                </w:p>
              </w:tc>
              <w:tc>
                <w:tcPr>
                  <w:tcW w:w="918" w:type="dxa"/>
                  <w:tcBorders>
                    <w:top w:val="single" w:color="000000" w:sz="4" w:space="0"/>
                    <w:left w:val="single" w:color="000000" w:sz="4" w:space="0"/>
                    <w:bottom w:val="single" w:color="000000" w:sz="4" w:space="0"/>
                    <w:right w:val="single" w:color="000000" w:sz="4" w:space="0"/>
                  </w:tcBorders>
                  <w:vAlign w:val="center"/>
                </w:tcPr>
                <w:p w14:paraId="6BD3B468">
                  <w:pPr>
                    <w:spacing w:line="276" w:lineRule="auto"/>
                    <w:jc w:val="center"/>
                    <w:rPr>
                      <w:szCs w:val="21"/>
                    </w:rPr>
                  </w:pPr>
                  <w:r>
                    <w:rPr>
                      <w:szCs w:val="21"/>
                    </w:rPr>
                    <w:t>COD</w:t>
                  </w:r>
                </w:p>
              </w:tc>
              <w:tc>
                <w:tcPr>
                  <w:tcW w:w="1116" w:type="dxa"/>
                  <w:tcBorders>
                    <w:top w:val="single" w:color="000000" w:sz="4" w:space="0"/>
                    <w:left w:val="single" w:color="000000" w:sz="4" w:space="0"/>
                    <w:bottom w:val="single" w:color="000000" w:sz="4" w:space="0"/>
                    <w:right w:val="single" w:color="000000" w:sz="4" w:space="0"/>
                  </w:tcBorders>
                  <w:vAlign w:val="center"/>
                </w:tcPr>
                <w:p w14:paraId="2D26716B">
                  <w:pPr>
                    <w:spacing w:line="276" w:lineRule="auto"/>
                    <w:jc w:val="center"/>
                    <w:rPr>
                      <w:szCs w:val="21"/>
                    </w:rPr>
                  </w:pPr>
                  <w:r>
                    <w:rPr>
                      <w:rFonts w:hint="eastAsia"/>
                      <w:szCs w:val="21"/>
                    </w:rPr>
                    <w:t>309</w:t>
                  </w:r>
                </w:p>
              </w:tc>
              <w:tc>
                <w:tcPr>
                  <w:tcW w:w="946" w:type="dxa"/>
                  <w:tcBorders>
                    <w:top w:val="single" w:color="000000" w:sz="4" w:space="0"/>
                    <w:left w:val="single" w:color="000000" w:sz="4" w:space="0"/>
                    <w:bottom w:val="single" w:color="000000" w:sz="4" w:space="0"/>
                    <w:right w:val="single" w:color="000000" w:sz="4" w:space="0"/>
                  </w:tcBorders>
                  <w:vAlign w:val="center"/>
                </w:tcPr>
                <w:p w14:paraId="15456BE3">
                  <w:pPr>
                    <w:spacing w:line="276" w:lineRule="auto"/>
                    <w:jc w:val="center"/>
                    <w:rPr>
                      <w:bCs/>
                      <w:szCs w:val="21"/>
                    </w:rPr>
                  </w:pPr>
                  <w:r>
                    <w:rPr>
                      <w:rFonts w:hint="eastAsia"/>
                      <w:bCs/>
                      <w:szCs w:val="21"/>
                    </w:rPr>
                    <w:t>0.147</w:t>
                  </w:r>
                </w:p>
              </w:tc>
              <w:tc>
                <w:tcPr>
                  <w:tcW w:w="1116" w:type="dxa"/>
                  <w:tcBorders>
                    <w:top w:val="single" w:color="auto" w:sz="4" w:space="0"/>
                    <w:left w:val="single" w:color="000000" w:sz="4" w:space="0"/>
                    <w:bottom w:val="single" w:color="auto" w:sz="4" w:space="0"/>
                    <w:right w:val="single" w:color="000000" w:sz="4" w:space="0"/>
                  </w:tcBorders>
                  <w:vAlign w:val="center"/>
                </w:tcPr>
                <w:p w14:paraId="0E850D0F">
                  <w:pPr>
                    <w:widowControl/>
                    <w:spacing w:line="276" w:lineRule="auto"/>
                    <w:jc w:val="center"/>
                    <w:rPr>
                      <w:bCs/>
                      <w:szCs w:val="21"/>
                    </w:rPr>
                  </w:pPr>
                  <w:r>
                    <w:rPr>
                      <w:rFonts w:hint="eastAsia"/>
                      <w:bCs/>
                      <w:szCs w:val="21"/>
                    </w:rPr>
                    <w:t>263</w:t>
                  </w:r>
                </w:p>
              </w:tc>
              <w:tc>
                <w:tcPr>
                  <w:tcW w:w="992" w:type="dxa"/>
                  <w:tcBorders>
                    <w:top w:val="single" w:color="auto" w:sz="4" w:space="0"/>
                    <w:left w:val="single" w:color="000000" w:sz="4" w:space="0"/>
                    <w:bottom w:val="single" w:color="auto" w:sz="4" w:space="0"/>
                    <w:right w:val="single" w:color="000000" w:sz="4" w:space="0"/>
                  </w:tcBorders>
                  <w:vAlign w:val="center"/>
                </w:tcPr>
                <w:p w14:paraId="49C638BF">
                  <w:pPr>
                    <w:widowControl/>
                    <w:spacing w:line="276" w:lineRule="auto"/>
                    <w:jc w:val="center"/>
                    <w:rPr>
                      <w:bCs/>
                      <w:szCs w:val="21"/>
                    </w:rPr>
                  </w:pPr>
                  <w:r>
                    <w:rPr>
                      <w:rFonts w:hint="eastAsia"/>
                      <w:bCs/>
                      <w:szCs w:val="21"/>
                    </w:rPr>
                    <w:t>0.125</w:t>
                  </w:r>
                </w:p>
              </w:tc>
              <w:tc>
                <w:tcPr>
                  <w:tcW w:w="1116" w:type="dxa"/>
                  <w:tcBorders>
                    <w:top w:val="single" w:color="000000" w:sz="4" w:space="0"/>
                    <w:left w:val="single" w:color="000000" w:sz="4" w:space="0"/>
                    <w:bottom w:val="single" w:color="000000" w:sz="4" w:space="0"/>
                    <w:right w:val="single" w:color="000000" w:sz="4" w:space="0"/>
                  </w:tcBorders>
                  <w:vAlign w:val="center"/>
                </w:tcPr>
                <w:p w14:paraId="2C552694">
                  <w:pPr>
                    <w:spacing w:line="276" w:lineRule="auto"/>
                    <w:jc w:val="center"/>
                    <w:rPr>
                      <w:szCs w:val="21"/>
                    </w:rPr>
                  </w:pPr>
                  <w:r>
                    <w:rPr>
                      <w:szCs w:val="21"/>
                    </w:rPr>
                    <w:t>50</w:t>
                  </w:r>
                </w:p>
              </w:tc>
              <w:tc>
                <w:tcPr>
                  <w:tcW w:w="871" w:type="dxa"/>
                  <w:tcBorders>
                    <w:top w:val="single" w:color="000000" w:sz="4" w:space="0"/>
                    <w:left w:val="single" w:color="000000" w:sz="4" w:space="0"/>
                    <w:bottom w:val="single" w:color="000000" w:sz="4" w:space="0"/>
                    <w:right w:val="nil"/>
                  </w:tcBorders>
                  <w:vAlign w:val="center"/>
                </w:tcPr>
                <w:p w14:paraId="7D4C494E">
                  <w:pPr>
                    <w:spacing w:line="276" w:lineRule="auto"/>
                    <w:jc w:val="center"/>
                    <w:rPr>
                      <w:bCs/>
                      <w:szCs w:val="21"/>
                    </w:rPr>
                  </w:pPr>
                  <w:r>
                    <w:rPr>
                      <w:bCs/>
                      <w:szCs w:val="21"/>
                    </w:rPr>
                    <w:t>0.024</w:t>
                  </w:r>
                </w:p>
              </w:tc>
            </w:tr>
            <w:tr w14:paraId="56E847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1020" w:type="dxa"/>
                  <w:vMerge w:val="continue"/>
                  <w:tcBorders>
                    <w:left w:val="nil"/>
                    <w:right w:val="single" w:color="000000" w:sz="4" w:space="0"/>
                  </w:tcBorders>
                  <w:vAlign w:val="center"/>
                </w:tcPr>
                <w:p w14:paraId="37EE3C6D">
                  <w:pPr>
                    <w:widowControl/>
                    <w:spacing w:line="276" w:lineRule="auto"/>
                    <w:jc w:val="left"/>
                    <w:rPr>
                      <w:bCs/>
                      <w:szCs w:val="21"/>
                    </w:rPr>
                  </w:pPr>
                </w:p>
              </w:tc>
              <w:tc>
                <w:tcPr>
                  <w:tcW w:w="918" w:type="dxa"/>
                  <w:tcBorders>
                    <w:top w:val="single" w:color="000000" w:sz="4" w:space="0"/>
                    <w:left w:val="single" w:color="000000" w:sz="4" w:space="0"/>
                    <w:bottom w:val="single" w:color="000000" w:sz="4" w:space="0"/>
                    <w:right w:val="single" w:color="000000" w:sz="4" w:space="0"/>
                  </w:tcBorders>
                  <w:vAlign w:val="center"/>
                </w:tcPr>
                <w:p w14:paraId="188EECBC">
                  <w:pPr>
                    <w:spacing w:line="276" w:lineRule="auto"/>
                    <w:jc w:val="center"/>
                    <w:rPr>
                      <w:szCs w:val="21"/>
                    </w:rPr>
                  </w:pPr>
                  <w:r>
                    <w:rPr>
                      <w:szCs w:val="21"/>
                    </w:rPr>
                    <w:t>BOD</w:t>
                  </w:r>
                  <w:r>
                    <w:rPr>
                      <w:szCs w:val="21"/>
                      <w:vertAlign w:val="subscript"/>
                    </w:rPr>
                    <w:t>5</w:t>
                  </w:r>
                </w:p>
              </w:tc>
              <w:tc>
                <w:tcPr>
                  <w:tcW w:w="1116" w:type="dxa"/>
                  <w:tcBorders>
                    <w:top w:val="single" w:color="000000" w:sz="4" w:space="0"/>
                    <w:left w:val="single" w:color="000000" w:sz="4" w:space="0"/>
                    <w:bottom w:val="single" w:color="000000" w:sz="4" w:space="0"/>
                    <w:right w:val="single" w:color="000000" w:sz="4" w:space="0"/>
                  </w:tcBorders>
                  <w:vAlign w:val="center"/>
                </w:tcPr>
                <w:p w14:paraId="07CC626B">
                  <w:pPr>
                    <w:spacing w:line="276" w:lineRule="auto"/>
                    <w:jc w:val="center"/>
                    <w:rPr>
                      <w:szCs w:val="21"/>
                    </w:rPr>
                  </w:pPr>
                  <w:r>
                    <w:rPr>
                      <w:rFonts w:hint="eastAsia"/>
                      <w:szCs w:val="21"/>
                    </w:rPr>
                    <w:t>80</w:t>
                  </w:r>
                </w:p>
              </w:tc>
              <w:tc>
                <w:tcPr>
                  <w:tcW w:w="946" w:type="dxa"/>
                  <w:tcBorders>
                    <w:top w:val="single" w:color="000000" w:sz="4" w:space="0"/>
                    <w:left w:val="single" w:color="000000" w:sz="4" w:space="0"/>
                    <w:bottom w:val="single" w:color="000000" w:sz="4" w:space="0"/>
                    <w:right w:val="single" w:color="000000" w:sz="4" w:space="0"/>
                  </w:tcBorders>
                  <w:vAlign w:val="center"/>
                </w:tcPr>
                <w:p w14:paraId="26A7E35B">
                  <w:pPr>
                    <w:spacing w:line="276" w:lineRule="auto"/>
                    <w:jc w:val="center"/>
                    <w:rPr>
                      <w:bCs/>
                      <w:szCs w:val="21"/>
                    </w:rPr>
                  </w:pPr>
                  <w:r>
                    <w:rPr>
                      <w:rFonts w:hint="eastAsia"/>
                      <w:bCs/>
                      <w:szCs w:val="21"/>
                    </w:rPr>
                    <w:t>0.038</w:t>
                  </w:r>
                </w:p>
              </w:tc>
              <w:tc>
                <w:tcPr>
                  <w:tcW w:w="1116" w:type="dxa"/>
                  <w:tcBorders>
                    <w:top w:val="single" w:color="auto" w:sz="4" w:space="0"/>
                    <w:left w:val="single" w:color="000000" w:sz="4" w:space="0"/>
                    <w:bottom w:val="single" w:color="auto" w:sz="4" w:space="0"/>
                    <w:right w:val="single" w:color="000000" w:sz="4" w:space="0"/>
                  </w:tcBorders>
                  <w:vAlign w:val="center"/>
                </w:tcPr>
                <w:p w14:paraId="33910023">
                  <w:pPr>
                    <w:widowControl/>
                    <w:spacing w:line="276" w:lineRule="auto"/>
                    <w:jc w:val="center"/>
                    <w:rPr>
                      <w:bCs/>
                      <w:szCs w:val="21"/>
                    </w:rPr>
                  </w:pPr>
                  <w:r>
                    <w:rPr>
                      <w:rFonts w:hint="eastAsia"/>
                      <w:bCs/>
                      <w:szCs w:val="21"/>
                    </w:rPr>
                    <w:t>73</w:t>
                  </w:r>
                </w:p>
              </w:tc>
              <w:tc>
                <w:tcPr>
                  <w:tcW w:w="992" w:type="dxa"/>
                  <w:tcBorders>
                    <w:top w:val="single" w:color="auto" w:sz="4" w:space="0"/>
                    <w:left w:val="single" w:color="000000" w:sz="4" w:space="0"/>
                    <w:bottom w:val="single" w:color="auto" w:sz="4" w:space="0"/>
                    <w:right w:val="single" w:color="000000" w:sz="4" w:space="0"/>
                  </w:tcBorders>
                  <w:vAlign w:val="center"/>
                </w:tcPr>
                <w:p w14:paraId="069BF0F7">
                  <w:pPr>
                    <w:widowControl/>
                    <w:spacing w:line="276" w:lineRule="auto"/>
                    <w:jc w:val="center"/>
                    <w:rPr>
                      <w:bCs/>
                      <w:szCs w:val="21"/>
                    </w:rPr>
                  </w:pPr>
                  <w:r>
                    <w:rPr>
                      <w:rFonts w:hint="eastAsia"/>
                      <w:bCs/>
                      <w:szCs w:val="21"/>
                    </w:rPr>
                    <w:t>0.035</w:t>
                  </w:r>
                </w:p>
              </w:tc>
              <w:tc>
                <w:tcPr>
                  <w:tcW w:w="1116" w:type="dxa"/>
                  <w:tcBorders>
                    <w:top w:val="single" w:color="000000" w:sz="4" w:space="0"/>
                    <w:left w:val="single" w:color="000000" w:sz="4" w:space="0"/>
                    <w:bottom w:val="single" w:color="000000" w:sz="4" w:space="0"/>
                    <w:right w:val="single" w:color="000000" w:sz="4" w:space="0"/>
                  </w:tcBorders>
                  <w:vAlign w:val="center"/>
                </w:tcPr>
                <w:p w14:paraId="4A95D9ED">
                  <w:pPr>
                    <w:spacing w:line="276" w:lineRule="auto"/>
                    <w:jc w:val="center"/>
                    <w:rPr>
                      <w:szCs w:val="21"/>
                    </w:rPr>
                  </w:pPr>
                  <w:r>
                    <w:rPr>
                      <w:szCs w:val="21"/>
                    </w:rPr>
                    <w:t>10</w:t>
                  </w:r>
                </w:p>
              </w:tc>
              <w:tc>
                <w:tcPr>
                  <w:tcW w:w="871" w:type="dxa"/>
                  <w:tcBorders>
                    <w:top w:val="single" w:color="000000" w:sz="4" w:space="0"/>
                    <w:left w:val="single" w:color="000000" w:sz="4" w:space="0"/>
                    <w:bottom w:val="single" w:color="000000" w:sz="4" w:space="0"/>
                    <w:right w:val="nil"/>
                  </w:tcBorders>
                  <w:vAlign w:val="center"/>
                </w:tcPr>
                <w:p w14:paraId="0315A2F7">
                  <w:pPr>
                    <w:spacing w:line="276" w:lineRule="auto"/>
                    <w:jc w:val="center"/>
                    <w:rPr>
                      <w:bCs/>
                      <w:szCs w:val="21"/>
                    </w:rPr>
                  </w:pPr>
                  <w:r>
                    <w:rPr>
                      <w:bCs/>
                      <w:szCs w:val="21"/>
                    </w:rPr>
                    <w:t>0.00</w:t>
                  </w:r>
                  <w:r>
                    <w:rPr>
                      <w:rFonts w:hint="eastAsia"/>
                      <w:bCs/>
                      <w:szCs w:val="21"/>
                    </w:rPr>
                    <w:t>5</w:t>
                  </w:r>
                </w:p>
              </w:tc>
            </w:tr>
            <w:tr w14:paraId="4DF62D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1020" w:type="dxa"/>
                  <w:vMerge w:val="continue"/>
                  <w:tcBorders>
                    <w:left w:val="nil"/>
                    <w:right w:val="single" w:color="000000" w:sz="4" w:space="0"/>
                  </w:tcBorders>
                  <w:vAlign w:val="center"/>
                </w:tcPr>
                <w:p w14:paraId="56051AF5">
                  <w:pPr>
                    <w:widowControl/>
                    <w:spacing w:line="276" w:lineRule="auto"/>
                    <w:jc w:val="left"/>
                    <w:rPr>
                      <w:bCs/>
                      <w:szCs w:val="21"/>
                    </w:rPr>
                  </w:pPr>
                </w:p>
              </w:tc>
              <w:tc>
                <w:tcPr>
                  <w:tcW w:w="918" w:type="dxa"/>
                  <w:tcBorders>
                    <w:top w:val="single" w:color="000000" w:sz="4" w:space="0"/>
                    <w:left w:val="single" w:color="000000" w:sz="4" w:space="0"/>
                    <w:bottom w:val="single" w:color="000000" w:sz="4" w:space="0"/>
                    <w:right w:val="single" w:color="000000" w:sz="4" w:space="0"/>
                  </w:tcBorders>
                  <w:vAlign w:val="center"/>
                </w:tcPr>
                <w:p w14:paraId="79DDF079">
                  <w:pPr>
                    <w:spacing w:line="276" w:lineRule="auto"/>
                    <w:jc w:val="center"/>
                    <w:rPr>
                      <w:szCs w:val="21"/>
                    </w:rPr>
                  </w:pPr>
                  <w:r>
                    <w:rPr>
                      <w:szCs w:val="21"/>
                    </w:rPr>
                    <w:t>SS</w:t>
                  </w:r>
                </w:p>
              </w:tc>
              <w:tc>
                <w:tcPr>
                  <w:tcW w:w="1116" w:type="dxa"/>
                  <w:tcBorders>
                    <w:top w:val="single" w:color="000000" w:sz="4" w:space="0"/>
                    <w:left w:val="single" w:color="000000" w:sz="4" w:space="0"/>
                    <w:bottom w:val="single" w:color="000000" w:sz="4" w:space="0"/>
                    <w:right w:val="single" w:color="000000" w:sz="4" w:space="0"/>
                  </w:tcBorders>
                  <w:vAlign w:val="center"/>
                </w:tcPr>
                <w:p w14:paraId="57992C2E">
                  <w:pPr>
                    <w:spacing w:line="276" w:lineRule="auto"/>
                    <w:jc w:val="center"/>
                    <w:rPr>
                      <w:szCs w:val="21"/>
                    </w:rPr>
                  </w:pPr>
                  <w:r>
                    <w:rPr>
                      <w:rFonts w:hint="eastAsia"/>
                      <w:szCs w:val="21"/>
                    </w:rPr>
                    <w:t>107.5</w:t>
                  </w:r>
                </w:p>
              </w:tc>
              <w:tc>
                <w:tcPr>
                  <w:tcW w:w="946" w:type="dxa"/>
                  <w:tcBorders>
                    <w:top w:val="single" w:color="000000" w:sz="4" w:space="0"/>
                    <w:left w:val="single" w:color="000000" w:sz="4" w:space="0"/>
                    <w:bottom w:val="single" w:color="000000" w:sz="4" w:space="0"/>
                    <w:right w:val="single" w:color="000000" w:sz="4" w:space="0"/>
                  </w:tcBorders>
                  <w:vAlign w:val="center"/>
                </w:tcPr>
                <w:p w14:paraId="138F8121">
                  <w:pPr>
                    <w:spacing w:line="276" w:lineRule="auto"/>
                    <w:jc w:val="center"/>
                    <w:rPr>
                      <w:bCs/>
                      <w:szCs w:val="21"/>
                    </w:rPr>
                  </w:pPr>
                  <w:r>
                    <w:rPr>
                      <w:rFonts w:hint="eastAsia"/>
                      <w:bCs/>
                      <w:szCs w:val="21"/>
                    </w:rPr>
                    <w:t>0.051</w:t>
                  </w:r>
                </w:p>
              </w:tc>
              <w:tc>
                <w:tcPr>
                  <w:tcW w:w="1116" w:type="dxa"/>
                  <w:tcBorders>
                    <w:top w:val="single" w:color="auto" w:sz="4" w:space="0"/>
                    <w:left w:val="single" w:color="000000" w:sz="4" w:space="0"/>
                    <w:bottom w:val="single" w:color="auto" w:sz="4" w:space="0"/>
                    <w:right w:val="single" w:color="000000" w:sz="4" w:space="0"/>
                  </w:tcBorders>
                  <w:vAlign w:val="center"/>
                </w:tcPr>
                <w:p w14:paraId="7E937332">
                  <w:pPr>
                    <w:widowControl/>
                    <w:spacing w:line="276" w:lineRule="auto"/>
                    <w:jc w:val="center"/>
                    <w:rPr>
                      <w:bCs/>
                      <w:szCs w:val="21"/>
                    </w:rPr>
                  </w:pPr>
                  <w:r>
                    <w:rPr>
                      <w:rFonts w:hint="eastAsia"/>
                      <w:bCs/>
                      <w:szCs w:val="21"/>
                    </w:rPr>
                    <w:t>75</w:t>
                  </w:r>
                </w:p>
              </w:tc>
              <w:tc>
                <w:tcPr>
                  <w:tcW w:w="992" w:type="dxa"/>
                  <w:tcBorders>
                    <w:top w:val="single" w:color="auto" w:sz="4" w:space="0"/>
                    <w:left w:val="single" w:color="000000" w:sz="4" w:space="0"/>
                    <w:bottom w:val="single" w:color="auto" w:sz="4" w:space="0"/>
                    <w:right w:val="single" w:color="000000" w:sz="4" w:space="0"/>
                  </w:tcBorders>
                  <w:vAlign w:val="center"/>
                </w:tcPr>
                <w:p w14:paraId="52CE0753">
                  <w:pPr>
                    <w:widowControl/>
                    <w:spacing w:line="276" w:lineRule="auto"/>
                    <w:jc w:val="center"/>
                    <w:rPr>
                      <w:bCs/>
                      <w:szCs w:val="21"/>
                    </w:rPr>
                  </w:pPr>
                  <w:r>
                    <w:rPr>
                      <w:rFonts w:hint="eastAsia"/>
                      <w:bCs/>
                      <w:szCs w:val="21"/>
                    </w:rPr>
                    <w:t>0.036</w:t>
                  </w:r>
                </w:p>
              </w:tc>
              <w:tc>
                <w:tcPr>
                  <w:tcW w:w="1116" w:type="dxa"/>
                  <w:tcBorders>
                    <w:top w:val="single" w:color="000000" w:sz="4" w:space="0"/>
                    <w:left w:val="single" w:color="000000" w:sz="4" w:space="0"/>
                    <w:bottom w:val="single" w:color="000000" w:sz="4" w:space="0"/>
                    <w:right w:val="single" w:color="000000" w:sz="4" w:space="0"/>
                  </w:tcBorders>
                  <w:vAlign w:val="center"/>
                </w:tcPr>
                <w:p w14:paraId="602B7197">
                  <w:pPr>
                    <w:spacing w:line="276" w:lineRule="auto"/>
                    <w:jc w:val="center"/>
                    <w:rPr>
                      <w:szCs w:val="21"/>
                    </w:rPr>
                  </w:pPr>
                  <w:r>
                    <w:rPr>
                      <w:szCs w:val="21"/>
                    </w:rPr>
                    <w:t>10</w:t>
                  </w:r>
                </w:p>
              </w:tc>
              <w:tc>
                <w:tcPr>
                  <w:tcW w:w="871" w:type="dxa"/>
                  <w:tcBorders>
                    <w:top w:val="single" w:color="000000" w:sz="4" w:space="0"/>
                    <w:left w:val="single" w:color="000000" w:sz="4" w:space="0"/>
                    <w:bottom w:val="single" w:color="000000" w:sz="4" w:space="0"/>
                    <w:right w:val="nil"/>
                  </w:tcBorders>
                  <w:vAlign w:val="center"/>
                </w:tcPr>
                <w:p w14:paraId="27DE0793">
                  <w:pPr>
                    <w:spacing w:line="276" w:lineRule="auto"/>
                    <w:jc w:val="center"/>
                    <w:rPr>
                      <w:bCs/>
                      <w:szCs w:val="21"/>
                    </w:rPr>
                  </w:pPr>
                  <w:r>
                    <w:rPr>
                      <w:bCs/>
                      <w:szCs w:val="21"/>
                    </w:rPr>
                    <w:t>0.00</w:t>
                  </w:r>
                  <w:r>
                    <w:rPr>
                      <w:rFonts w:hint="eastAsia"/>
                      <w:bCs/>
                      <w:szCs w:val="21"/>
                    </w:rPr>
                    <w:t>5</w:t>
                  </w:r>
                </w:p>
              </w:tc>
            </w:tr>
            <w:tr w14:paraId="3B1C47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6" w:hRule="atLeast"/>
                <w:jc w:val="center"/>
              </w:trPr>
              <w:tc>
                <w:tcPr>
                  <w:tcW w:w="1020" w:type="dxa"/>
                  <w:vMerge w:val="continue"/>
                  <w:tcBorders>
                    <w:left w:val="nil"/>
                    <w:bottom w:val="single" w:color="000000" w:sz="12" w:space="0"/>
                    <w:right w:val="single" w:color="000000" w:sz="4" w:space="0"/>
                  </w:tcBorders>
                  <w:vAlign w:val="center"/>
                </w:tcPr>
                <w:p w14:paraId="0AA8FE0C">
                  <w:pPr>
                    <w:widowControl/>
                    <w:spacing w:line="276" w:lineRule="auto"/>
                    <w:jc w:val="left"/>
                    <w:rPr>
                      <w:bCs/>
                      <w:szCs w:val="21"/>
                    </w:rPr>
                  </w:pPr>
                </w:p>
              </w:tc>
              <w:tc>
                <w:tcPr>
                  <w:tcW w:w="918" w:type="dxa"/>
                  <w:tcBorders>
                    <w:top w:val="single" w:color="000000" w:sz="4" w:space="0"/>
                    <w:left w:val="single" w:color="000000" w:sz="4" w:space="0"/>
                    <w:bottom w:val="single" w:color="000000" w:sz="12" w:space="0"/>
                    <w:right w:val="single" w:color="000000" w:sz="4" w:space="0"/>
                  </w:tcBorders>
                  <w:vAlign w:val="center"/>
                </w:tcPr>
                <w:p w14:paraId="6875BB9C">
                  <w:pPr>
                    <w:spacing w:line="276" w:lineRule="auto"/>
                    <w:jc w:val="center"/>
                    <w:rPr>
                      <w:szCs w:val="21"/>
                    </w:rPr>
                  </w:pPr>
                  <w:r>
                    <w:rPr>
                      <w:szCs w:val="21"/>
                    </w:rPr>
                    <w:t>NH</w:t>
                  </w:r>
                  <w:r>
                    <w:rPr>
                      <w:szCs w:val="21"/>
                      <w:vertAlign w:val="subscript"/>
                    </w:rPr>
                    <w:t>3</w:t>
                  </w:r>
                  <w:r>
                    <w:rPr>
                      <w:szCs w:val="21"/>
                    </w:rPr>
                    <w:t>-N</w:t>
                  </w:r>
                </w:p>
              </w:tc>
              <w:tc>
                <w:tcPr>
                  <w:tcW w:w="1116" w:type="dxa"/>
                  <w:tcBorders>
                    <w:top w:val="single" w:color="000000" w:sz="4" w:space="0"/>
                    <w:left w:val="single" w:color="000000" w:sz="4" w:space="0"/>
                    <w:bottom w:val="single" w:color="000000" w:sz="12" w:space="0"/>
                    <w:right w:val="single" w:color="000000" w:sz="4" w:space="0"/>
                  </w:tcBorders>
                  <w:vAlign w:val="center"/>
                </w:tcPr>
                <w:p w14:paraId="6FD77BB2">
                  <w:pPr>
                    <w:spacing w:line="276" w:lineRule="auto"/>
                    <w:jc w:val="center"/>
                    <w:rPr>
                      <w:szCs w:val="21"/>
                    </w:rPr>
                  </w:pPr>
                  <w:r>
                    <w:rPr>
                      <w:rFonts w:hint="eastAsia"/>
                      <w:szCs w:val="21"/>
                    </w:rPr>
                    <w:t>28.8</w:t>
                  </w:r>
                </w:p>
              </w:tc>
              <w:tc>
                <w:tcPr>
                  <w:tcW w:w="946" w:type="dxa"/>
                  <w:tcBorders>
                    <w:top w:val="single" w:color="000000" w:sz="4" w:space="0"/>
                    <w:left w:val="single" w:color="000000" w:sz="4" w:space="0"/>
                    <w:bottom w:val="single" w:color="000000" w:sz="12" w:space="0"/>
                    <w:right w:val="single" w:color="000000" w:sz="4" w:space="0"/>
                  </w:tcBorders>
                  <w:vAlign w:val="center"/>
                </w:tcPr>
                <w:p w14:paraId="7C8B8A67">
                  <w:pPr>
                    <w:spacing w:line="276" w:lineRule="auto"/>
                    <w:jc w:val="center"/>
                    <w:rPr>
                      <w:bCs/>
                      <w:szCs w:val="21"/>
                    </w:rPr>
                  </w:pPr>
                  <w:r>
                    <w:rPr>
                      <w:rFonts w:hint="eastAsia"/>
                      <w:bCs/>
                      <w:szCs w:val="21"/>
                    </w:rPr>
                    <w:t>0.014</w:t>
                  </w:r>
                </w:p>
              </w:tc>
              <w:tc>
                <w:tcPr>
                  <w:tcW w:w="1116" w:type="dxa"/>
                  <w:tcBorders>
                    <w:top w:val="single" w:color="auto" w:sz="4" w:space="0"/>
                    <w:left w:val="single" w:color="000000" w:sz="4" w:space="0"/>
                    <w:bottom w:val="single" w:color="000000" w:sz="12" w:space="0"/>
                    <w:right w:val="single" w:color="000000" w:sz="4" w:space="0"/>
                  </w:tcBorders>
                  <w:vAlign w:val="center"/>
                </w:tcPr>
                <w:p w14:paraId="511EC9C8">
                  <w:pPr>
                    <w:widowControl/>
                    <w:spacing w:line="276" w:lineRule="auto"/>
                    <w:jc w:val="center"/>
                    <w:rPr>
                      <w:bCs/>
                      <w:szCs w:val="21"/>
                    </w:rPr>
                  </w:pPr>
                  <w:r>
                    <w:rPr>
                      <w:rFonts w:hint="eastAsia"/>
                      <w:bCs/>
                      <w:szCs w:val="21"/>
                    </w:rPr>
                    <w:t>28</w:t>
                  </w:r>
                </w:p>
              </w:tc>
              <w:tc>
                <w:tcPr>
                  <w:tcW w:w="992" w:type="dxa"/>
                  <w:tcBorders>
                    <w:top w:val="single" w:color="auto" w:sz="4" w:space="0"/>
                    <w:left w:val="single" w:color="000000" w:sz="4" w:space="0"/>
                    <w:bottom w:val="single" w:color="000000" w:sz="12" w:space="0"/>
                    <w:right w:val="single" w:color="000000" w:sz="4" w:space="0"/>
                  </w:tcBorders>
                  <w:vAlign w:val="center"/>
                </w:tcPr>
                <w:p w14:paraId="59F00D8F">
                  <w:pPr>
                    <w:widowControl/>
                    <w:spacing w:line="276" w:lineRule="auto"/>
                    <w:jc w:val="center"/>
                    <w:rPr>
                      <w:bCs/>
                      <w:szCs w:val="21"/>
                    </w:rPr>
                  </w:pPr>
                  <w:r>
                    <w:rPr>
                      <w:rFonts w:hint="eastAsia"/>
                      <w:bCs/>
                      <w:szCs w:val="21"/>
                    </w:rPr>
                    <w:t>0.013</w:t>
                  </w:r>
                </w:p>
              </w:tc>
              <w:tc>
                <w:tcPr>
                  <w:tcW w:w="1116" w:type="dxa"/>
                  <w:tcBorders>
                    <w:top w:val="single" w:color="000000" w:sz="4" w:space="0"/>
                    <w:left w:val="single" w:color="000000" w:sz="4" w:space="0"/>
                    <w:bottom w:val="single" w:color="000000" w:sz="12" w:space="0"/>
                    <w:right w:val="single" w:color="000000" w:sz="4" w:space="0"/>
                  </w:tcBorders>
                  <w:vAlign w:val="center"/>
                </w:tcPr>
                <w:p w14:paraId="4EAFA1E8">
                  <w:pPr>
                    <w:spacing w:line="276" w:lineRule="auto"/>
                    <w:jc w:val="center"/>
                    <w:rPr>
                      <w:szCs w:val="21"/>
                    </w:rPr>
                  </w:pPr>
                  <w:r>
                    <w:rPr>
                      <w:rFonts w:hint="eastAsia"/>
                      <w:szCs w:val="21"/>
                    </w:rPr>
                    <w:t>5</w:t>
                  </w:r>
                </w:p>
              </w:tc>
              <w:tc>
                <w:tcPr>
                  <w:tcW w:w="871" w:type="dxa"/>
                  <w:tcBorders>
                    <w:top w:val="single" w:color="000000" w:sz="4" w:space="0"/>
                    <w:left w:val="single" w:color="000000" w:sz="4" w:space="0"/>
                    <w:bottom w:val="single" w:color="000000" w:sz="12" w:space="0"/>
                    <w:right w:val="nil"/>
                  </w:tcBorders>
                  <w:vAlign w:val="center"/>
                </w:tcPr>
                <w:p w14:paraId="153434A8">
                  <w:pPr>
                    <w:spacing w:line="276" w:lineRule="auto"/>
                    <w:jc w:val="center"/>
                    <w:rPr>
                      <w:bCs/>
                      <w:szCs w:val="21"/>
                    </w:rPr>
                  </w:pPr>
                  <w:r>
                    <w:rPr>
                      <w:bCs/>
                      <w:szCs w:val="21"/>
                    </w:rPr>
                    <w:t>0.00</w:t>
                  </w:r>
                  <w:r>
                    <w:rPr>
                      <w:rFonts w:hint="eastAsia"/>
                      <w:bCs/>
                      <w:szCs w:val="21"/>
                    </w:rPr>
                    <w:t>2</w:t>
                  </w:r>
                </w:p>
              </w:tc>
            </w:tr>
          </w:tbl>
          <w:p w14:paraId="6BC42C4D">
            <w:pPr>
              <w:spacing w:line="360" w:lineRule="auto"/>
              <w:ind w:firstLine="482" w:firstLineChars="200"/>
              <w:contextualSpacing/>
              <w:jc w:val="left"/>
              <w:rPr>
                <w:b/>
                <w:sz w:val="24"/>
              </w:rPr>
            </w:pPr>
            <w:r>
              <w:rPr>
                <w:rFonts w:hint="eastAsia"/>
                <w:b/>
                <w:sz w:val="24"/>
              </w:rPr>
              <w:t>2、废水处理工艺可行性分析</w:t>
            </w:r>
          </w:p>
          <w:p w14:paraId="55234D65">
            <w:pPr>
              <w:pStyle w:val="108"/>
              <w:adjustRightInd/>
              <w:spacing w:line="360" w:lineRule="auto"/>
              <w:ind w:firstLine="480" w:firstLineChars="200"/>
              <w:jc w:val="both"/>
              <w:rPr>
                <w:color w:val="auto"/>
              </w:rPr>
            </w:pPr>
            <w:r>
              <w:rPr>
                <w:rFonts w:hint="eastAsia"/>
                <w:color w:val="auto"/>
              </w:rPr>
              <w:t>①项目水污染控制和水环境影响减缓措施有效性评价</w:t>
            </w:r>
          </w:p>
          <w:p w14:paraId="253D95FE">
            <w:pPr>
              <w:pStyle w:val="108"/>
              <w:adjustRightInd/>
              <w:spacing w:line="360" w:lineRule="auto"/>
              <w:ind w:firstLine="480" w:firstLineChars="200"/>
              <w:jc w:val="both"/>
              <w:rPr>
                <w:color w:val="auto"/>
              </w:rPr>
            </w:pPr>
            <w:r>
              <w:rPr>
                <w:rFonts w:hint="eastAsia"/>
                <w:color w:val="auto"/>
              </w:rPr>
              <w:t>项目全厂排水采取雨污分流的形式，且本项目仅排放生活污水。生活污水依托厂区</w:t>
            </w:r>
            <w:r>
              <w:rPr>
                <w:rFonts w:hint="eastAsia"/>
                <w:color w:val="auto"/>
                <w:szCs w:val="21"/>
              </w:rPr>
              <w:t>内</w:t>
            </w:r>
            <w:r>
              <w:rPr>
                <w:rFonts w:hint="eastAsia"/>
                <w:bCs/>
                <w:color w:val="auto"/>
                <w:szCs w:val="21"/>
              </w:rPr>
              <w:t>化粪池预处理后经市政污水管网纳入毛集实验区污水处理厂处理</w:t>
            </w:r>
            <w:r>
              <w:rPr>
                <w:rFonts w:hint="eastAsia" w:hAnsi="宋体"/>
                <w:bCs/>
                <w:color w:val="auto"/>
                <w:spacing w:val="-1"/>
              </w:rPr>
              <w:t>。该过程污水不会进入周边河道，故不会对项目附近河道水质带来不利影响。</w:t>
            </w:r>
          </w:p>
          <w:p w14:paraId="687BDBB7">
            <w:pPr>
              <w:pStyle w:val="108"/>
              <w:adjustRightInd/>
              <w:spacing w:line="360" w:lineRule="auto"/>
              <w:ind w:firstLine="480" w:firstLineChars="200"/>
              <w:rPr>
                <w:color w:val="auto"/>
              </w:rPr>
            </w:pPr>
            <w:r>
              <w:rPr>
                <w:rFonts w:hint="eastAsia"/>
                <w:color w:val="auto"/>
              </w:rPr>
              <w:t>项目生活污水排放量合计为475t/a。生活污水经厂区化粪池预处理后达到</w:t>
            </w:r>
            <w:r>
              <w:rPr>
                <w:rFonts w:hint="eastAsia" w:hAnsi="宋体"/>
                <w:bCs/>
                <w:color w:val="auto"/>
                <w:spacing w:val="-1"/>
              </w:rPr>
              <w:t>毛集实验区污水处理厂接管限值，输送至毛集实验区污水处理厂，处理达到《城镇污水处理厂污染物排放标准》（GB18918-2002）一级A标准后排放。</w:t>
            </w:r>
          </w:p>
          <w:p w14:paraId="3855E0BD">
            <w:pPr>
              <w:pStyle w:val="108"/>
              <w:adjustRightInd/>
              <w:spacing w:line="360" w:lineRule="auto"/>
              <w:ind w:firstLine="480" w:firstLineChars="200"/>
              <w:rPr>
                <w:color w:val="auto"/>
              </w:rPr>
            </w:pPr>
            <w:r>
              <w:rPr>
                <w:rFonts w:hint="eastAsia"/>
                <w:color w:val="auto"/>
              </w:rPr>
              <w:t>②依托污水处理设施的环境可行性分析</w:t>
            </w:r>
          </w:p>
          <w:p w14:paraId="2F1F2DC8">
            <w:pPr>
              <w:pStyle w:val="108"/>
              <w:adjustRightInd/>
              <w:spacing w:line="360" w:lineRule="auto"/>
              <w:ind w:firstLine="480" w:firstLineChars="200"/>
              <w:rPr>
                <w:color w:val="auto"/>
              </w:rPr>
            </w:pPr>
            <w:r>
              <w:rPr>
                <w:rFonts w:hint="eastAsia"/>
                <w:color w:val="auto"/>
              </w:rPr>
              <w:t>项目位于安徽省淮南市毛集经济开发区工业城2号楼1层和3层，根据现场调查情况，该区域市政污水管网已建成，主园区污水可接入毛集实验区污水处理厂进行处理。</w:t>
            </w:r>
          </w:p>
          <w:p w14:paraId="0870A56B">
            <w:pPr>
              <w:pStyle w:val="108"/>
              <w:adjustRightInd/>
              <w:spacing w:line="360" w:lineRule="auto"/>
              <w:ind w:firstLine="482" w:firstLineChars="200"/>
              <w:rPr>
                <w:b/>
                <w:color w:val="auto"/>
              </w:rPr>
            </w:pPr>
            <w:r>
              <w:rPr>
                <w:rFonts w:hint="eastAsia"/>
                <w:b/>
                <w:color w:val="auto"/>
              </w:rPr>
              <w:t>污水处理厂运行情况：</w:t>
            </w:r>
          </w:p>
          <w:p w14:paraId="14510496">
            <w:pPr>
              <w:pStyle w:val="108"/>
              <w:adjustRightInd/>
              <w:spacing w:line="360" w:lineRule="auto"/>
              <w:ind w:firstLine="480" w:firstLineChars="200"/>
              <w:rPr>
                <w:color w:val="auto"/>
              </w:rPr>
            </w:pPr>
            <w:r>
              <w:rPr>
                <w:rFonts w:hint="eastAsia"/>
                <w:color w:val="auto"/>
              </w:rPr>
              <w:t>根据《安徽淮南毛集经济开发区规划环境影响跟踪评价报告书》（2020年）中对毛集实验区污水处理厂现状描述：毛集实验区污水处理厂位于兴湖路与高速公路交口西南侧周台孜附近，现由淮南市祥源环境工程有限</w:t>
            </w:r>
            <w:r>
              <w:rPr>
                <w:rFonts w:hint="eastAsia" w:ascii="宋体" w:hAnsi="宋体"/>
                <w:color w:val="auto"/>
              </w:rPr>
              <w:t>公司(淮南首创)</w:t>
            </w:r>
            <w:r>
              <w:rPr>
                <w:rFonts w:hint="eastAsia"/>
                <w:color w:val="auto"/>
              </w:rPr>
              <w:t>运行管理，主要收集处理主园区工业废水和实验区居民排水。总占地面积3.84公顷，其中，一期工程已建成，运行规模为1.5万m</w:t>
            </w:r>
            <w:r>
              <w:rPr>
                <w:rFonts w:hint="eastAsia"/>
                <w:color w:val="auto"/>
                <w:vertAlign w:val="superscript"/>
              </w:rPr>
              <w:t>3</w:t>
            </w:r>
            <w:r>
              <w:rPr>
                <w:rFonts w:hint="eastAsia"/>
                <w:color w:val="auto"/>
              </w:rPr>
              <w:t>/d，占地面积2.5公顷，于2017年12月底进水运行，目前已完成验收（淮环函[2017]355号）。现状采用改良型A</w:t>
            </w:r>
            <w:r>
              <w:rPr>
                <w:rFonts w:hint="eastAsia"/>
                <w:color w:val="auto"/>
                <w:vertAlign w:val="superscript"/>
              </w:rPr>
              <w:t>2</w:t>
            </w:r>
            <w:r>
              <w:rPr>
                <w:rFonts w:hint="eastAsia"/>
                <w:color w:val="auto"/>
              </w:rPr>
              <w:t>/O工艺和微絮凝+过滤深处理工艺处理后，尾水排放各指标达到《城镇污水处理厂污染物排放标准》(GB18918-2002)一级A标准排入丁家沟。由于现有毛集实验区污水处理能力不能完全处理收集的污水，急需提标扩能，为此毛集实验区污水处理厂拟于2023年进行改造扩容工程建设，改扩建完成后设计日处理污水2万吨，新增中水回用项目，中水处理设计规模为3000t/d，中水处理建设将减少毛集实验区污水处理厂出水的直接排放，继续处理毛集实验区内的生活污水及企事业单位废水及生活污水。</w:t>
            </w:r>
          </w:p>
          <w:p w14:paraId="3A79CF74">
            <w:pPr>
              <w:pStyle w:val="108"/>
              <w:adjustRightInd/>
              <w:spacing w:line="360" w:lineRule="auto"/>
              <w:ind w:firstLine="480" w:firstLineChars="200"/>
              <w:rPr>
                <w:rFonts w:hAnsi="宋体"/>
                <w:color w:val="auto"/>
              </w:rPr>
            </w:pPr>
            <w:r>
              <w:rPr>
                <w:rFonts w:hint="eastAsia"/>
                <w:color w:val="auto"/>
              </w:rPr>
              <w:t>目前，开发区日均排水量为505m</w:t>
            </w:r>
            <w:r>
              <w:rPr>
                <w:rFonts w:hint="eastAsia"/>
                <w:color w:val="auto"/>
                <w:vertAlign w:val="superscript"/>
              </w:rPr>
              <w:t>3</w:t>
            </w:r>
            <w:r>
              <w:rPr>
                <w:rFonts w:hint="eastAsia"/>
                <w:color w:val="auto"/>
              </w:rPr>
              <w:t>/d，毛集实验区污水处理厂处于正常运行状态，现状在线监测数据表明，污水均可实现达标排放。</w:t>
            </w:r>
            <w:r>
              <w:rPr>
                <w:rFonts w:hint="eastAsia" w:hAnsi="宋体"/>
                <w:color w:val="auto"/>
              </w:rPr>
              <w:t>其工艺流程如下图：</w:t>
            </w:r>
          </w:p>
          <w:p w14:paraId="330EE2AF">
            <w:pPr>
              <w:pStyle w:val="108"/>
              <w:adjustRightInd/>
              <w:spacing w:line="360" w:lineRule="auto"/>
              <w:rPr>
                <w:b/>
                <w:color w:val="auto"/>
              </w:rPr>
            </w:pPr>
            <w:r>
              <w:rPr>
                <w:b/>
                <w:color w:val="auto"/>
              </w:rPr>
              <w:pict>
                <v:group id="_x0000_s7490" o:spid="_x0000_s7490" o:spt="203" style="height:356.35pt;width:404.75pt;" coordorigin="3449,5291" coordsize="7200,6339" editas="canvas">
                  <o:lock v:ext="edit"/>
                  <v:shape id="_x0000_s7489" o:spid="_x0000_s7489" o:spt="75" type="#_x0000_t75" style="position:absolute;left:3449;top:5291;height:6339;width:7200;" filled="f" o:preferrelative="f" stroked="f" coordsize="21600,21600">
                    <v:path/>
                    <v:fill on="f" focussize="0,0"/>
                    <v:stroke on="f" joinstyle="miter"/>
                    <v:imagedata o:title=""/>
                    <o:lock v:ext="edit" text="t" aspectratio="t"/>
                  </v:shape>
                  <v:rect id="_x0000_s7491" o:spid="_x0000_s7491" o:spt="1" style="position:absolute;left:3903;top:5955;height:998;width:446;" coordsize="21600,21600">
                    <v:path/>
                    <v:fill focussize="0,0"/>
                    <v:stroke/>
                    <v:imagedata o:title=""/>
                    <o:lock v:ext="edit"/>
                    <v:textbox>
                      <w:txbxContent>
                        <w:p w14:paraId="5502C936">
                          <w:pPr>
                            <w:rPr>
                              <w:rFonts w:ascii="黑体" w:hAnsi="黑体" w:eastAsia="黑体"/>
                              <w:szCs w:val="21"/>
                            </w:rPr>
                          </w:pPr>
                          <w:r>
                            <w:rPr>
                              <w:rFonts w:ascii="黑体" w:hAnsi="黑体" w:eastAsia="黑体"/>
                              <w:szCs w:val="21"/>
                            </w:rPr>
                            <w:t>粗格栅</w:t>
                          </w:r>
                        </w:p>
                      </w:txbxContent>
                    </v:textbox>
                  </v:rect>
                  <v:rect id="_x0000_s7492" o:spid="_x0000_s7492" o:spt="1" style="position:absolute;left:4652;top:5807;height:1297;width:447;" coordsize="21600,21600">
                    <v:path/>
                    <v:fill focussize="0,0"/>
                    <v:stroke/>
                    <v:imagedata o:title=""/>
                    <o:lock v:ext="edit"/>
                    <v:textbox>
                      <w:txbxContent>
                        <w:p w14:paraId="16561DA0">
                          <w:pPr>
                            <w:rPr>
                              <w:rFonts w:ascii="黑体" w:hAnsi="黑体" w:eastAsia="黑体"/>
                              <w:szCs w:val="21"/>
                            </w:rPr>
                          </w:pPr>
                          <w:r>
                            <w:rPr>
                              <w:rFonts w:ascii="黑体" w:hAnsi="黑体" w:eastAsia="黑体"/>
                              <w:szCs w:val="21"/>
                            </w:rPr>
                            <w:t>进水泵房</w:t>
                          </w:r>
                        </w:p>
                      </w:txbxContent>
                    </v:textbox>
                  </v:rect>
                  <v:rect id="_x0000_s7493" o:spid="_x0000_s7493" o:spt="1" style="position:absolute;left:5441;top:5955;height:998;width:447;" coordsize="21600,21600">
                    <v:path/>
                    <v:fill focussize="0,0"/>
                    <v:stroke/>
                    <v:imagedata o:title=""/>
                    <o:lock v:ext="edit"/>
                    <v:textbox>
                      <w:txbxContent>
                        <w:p w14:paraId="5D7096C4">
                          <w:pPr>
                            <w:rPr>
                              <w:rFonts w:ascii="黑体" w:hAnsi="黑体" w:eastAsia="黑体"/>
                              <w:szCs w:val="21"/>
                            </w:rPr>
                          </w:pPr>
                          <w:r>
                            <w:rPr>
                              <w:rFonts w:ascii="黑体" w:hAnsi="黑体" w:eastAsia="黑体"/>
                              <w:szCs w:val="21"/>
                            </w:rPr>
                            <w:t>细格栅</w:t>
                          </w:r>
                        </w:p>
                      </w:txbxContent>
                    </v:textbox>
                  </v:rect>
                  <v:rect id="_x0000_s7494" o:spid="_x0000_s7494" o:spt="1" style="position:absolute;left:6217;top:5613;height:1698;width:446;" coordsize="21600,21600">
                    <v:path/>
                    <v:fill focussize="0,0"/>
                    <v:stroke/>
                    <v:imagedata o:title=""/>
                    <o:lock v:ext="edit"/>
                    <v:textbox>
                      <w:txbxContent>
                        <w:p w14:paraId="087B178B">
                          <w:pPr>
                            <w:rPr>
                              <w:rFonts w:ascii="黑体" w:hAnsi="黑体" w:eastAsia="黑体"/>
                              <w:szCs w:val="21"/>
                            </w:rPr>
                          </w:pPr>
                          <w:r>
                            <w:rPr>
                              <w:rFonts w:ascii="黑体" w:hAnsi="黑体" w:eastAsia="黑体"/>
                              <w:szCs w:val="21"/>
                            </w:rPr>
                            <w:t>旋流沉砂池</w:t>
                          </w:r>
                        </w:p>
                      </w:txbxContent>
                    </v:textbox>
                  </v:rect>
                  <v:rect id="_x0000_s7495" o:spid="_x0000_s7495" o:spt="1" style="position:absolute;left:6991;top:5955;height:998;width:446;" coordsize="21600,21600">
                    <v:path/>
                    <v:fill focussize="0,0"/>
                    <v:stroke/>
                    <v:imagedata o:title=""/>
                    <o:lock v:ext="edit"/>
                    <v:textbox>
                      <w:txbxContent>
                        <w:p w14:paraId="06BCD87E">
                          <w:pPr>
                            <w:rPr>
                              <w:rFonts w:ascii="黑体" w:hAnsi="黑体" w:eastAsia="黑体"/>
                              <w:szCs w:val="21"/>
                            </w:rPr>
                          </w:pPr>
                          <w:r>
                            <w:rPr>
                              <w:rFonts w:ascii="黑体" w:hAnsi="黑体" w:eastAsia="黑体"/>
                              <w:szCs w:val="21"/>
                            </w:rPr>
                            <w:t>厌氧池</w:t>
                          </w:r>
                        </w:p>
                      </w:txbxContent>
                    </v:textbox>
                  </v:rect>
                  <v:rect id="_x0000_s7496" o:spid="_x0000_s7496" o:spt="1" style="position:absolute;left:7795;top:5955;height:998;width:446;" coordsize="21600,21600">
                    <v:path/>
                    <v:fill focussize="0,0"/>
                    <v:stroke/>
                    <v:imagedata o:title=""/>
                    <o:lock v:ext="edit"/>
                    <v:textbox>
                      <w:txbxContent>
                        <w:p w14:paraId="42BD719D">
                          <w:pPr>
                            <w:rPr>
                              <w:rFonts w:ascii="黑体" w:hAnsi="黑体" w:eastAsia="黑体"/>
                              <w:szCs w:val="21"/>
                            </w:rPr>
                          </w:pPr>
                          <w:r>
                            <w:rPr>
                              <w:rFonts w:ascii="黑体" w:hAnsi="黑体" w:eastAsia="黑体"/>
                              <w:szCs w:val="21"/>
                            </w:rPr>
                            <w:t>缺氧池</w:t>
                          </w:r>
                        </w:p>
                      </w:txbxContent>
                    </v:textbox>
                  </v:rect>
                  <v:rect id="_x0000_s7497" o:spid="_x0000_s7497" o:spt="1" style="position:absolute;left:8539;top:5955;height:998;width:447;" coordsize="21600,21600">
                    <v:path/>
                    <v:fill focussize="0,0"/>
                    <v:stroke/>
                    <v:imagedata o:title=""/>
                    <o:lock v:ext="edit"/>
                    <v:textbox>
                      <w:txbxContent>
                        <w:p w14:paraId="3A683EB0">
                          <w:pPr>
                            <w:rPr>
                              <w:rFonts w:ascii="黑体" w:hAnsi="黑体" w:eastAsia="黑体"/>
                              <w:szCs w:val="21"/>
                            </w:rPr>
                          </w:pPr>
                          <w:r>
                            <w:rPr>
                              <w:rFonts w:ascii="黑体" w:hAnsi="黑体" w:eastAsia="黑体"/>
                              <w:szCs w:val="21"/>
                            </w:rPr>
                            <w:t>好氧池</w:t>
                          </w:r>
                        </w:p>
                      </w:txbxContent>
                    </v:textbox>
                  </v:rect>
                  <v:rect id="_x0000_s7498" o:spid="_x0000_s7498" o:spt="1" style="position:absolute;left:9358;top:5955;height:998;width:447;" coordsize="21600,21600">
                    <v:path/>
                    <v:fill focussize="0,0"/>
                    <v:stroke/>
                    <v:imagedata o:title=""/>
                    <o:lock v:ext="edit"/>
                    <v:textbox>
                      <w:txbxContent>
                        <w:p w14:paraId="119106CB">
                          <w:pPr>
                            <w:rPr>
                              <w:rFonts w:ascii="黑体" w:hAnsi="黑体" w:eastAsia="黑体"/>
                              <w:szCs w:val="21"/>
                            </w:rPr>
                          </w:pPr>
                          <w:r>
                            <w:rPr>
                              <w:rFonts w:ascii="黑体" w:hAnsi="黑体" w:eastAsia="黑体"/>
                              <w:szCs w:val="21"/>
                            </w:rPr>
                            <w:t>二沉池</w:t>
                          </w:r>
                        </w:p>
                      </w:txbxContent>
                    </v:textbox>
                  </v:rect>
                  <v:rect id="_x0000_s7499" o:spid="_x0000_s7499" o:spt="1" style="position:absolute;left:7997;top:8488;height:402;width:1117;" coordsize="21600,21600">
                    <v:path/>
                    <v:fill focussize="0,0"/>
                    <v:stroke/>
                    <v:imagedata o:title=""/>
                    <o:lock v:ext="edit"/>
                    <v:textbox>
                      <w:txbxContent>
                        <w:p w14:paraId="776C8060">
                          <w:pPr>
                            <w:rPr>
                              <w:rFonts w:ascii="黑体" w:hAnsi="黑体" w:eastAsia="黑体"/>
                              <w:szCs w:val="21"/>
                            </w:rPr>
                          </w:pPr>
                          <w:r>
                            <w:rPr>
                              <w:rFonts w:ascii="黑体" w:hAnsi="黑体" w:eastAsia="黑体"/>
                              <w:szCs w:val="21"/>
                            </w:rPr>
                            <w:t>污泥泵房</w:t>
                          </w:r>
                        </w:p>
                      </w:txbxContent>
                    </v:textbox>
                  </v:rect>
                  <v:rect id="_x0000_s7500" o:spid="_x0000_s7500" o:spt="1" style="position:absolute;left:6217;top:8488;height:402;width:880;" coordsize="21600,21600">
                    <v:path/>
                    <v:fill focussize="0,0"/>
                    <v:stroke/>
                    <v:imagedata o:title=""/>
                    <o:lock v:ext="edit"/>
                    <v:textbox>
                      <w:txbxContent>
                        <w:p w14:paraId="6D81C5E2">
                          <w:pPr>
                            <w:rPr>
                              <w:rFonts w:ascii="黑体" w:hAnsi="黑体" w:eastAsia="黑体"/>
                              <w:szCs w:val="21"/>
                            </w:rPr>
                          </w:pPr>
                          <w:r>
                            <w:rPr>
                              <w:rFonts w:ascii="黑体" w:hAnsi="黑体" w:eastAsia="黑体"/>
                              <w:szCs w:val="21"/>
                            </w:rPr>
                            <w:t>贮泥池</w:t>
                          </w:r>
                        </w:p>
                      </w:txbxContent>
                    </v:textbox>
                  </v:rect>
                  <v:rect id="_x0000_s7501" o:spid="_x0000_s7501" o:spt="1" style="position:absolute;left:4724;top:8304;height:756;width:877;" coordsize="21600,21600">
                    <v:path/>
                    <v:fill focussize="0,0"/>
                    <v:stroke/>
                    <v:imagedata o:title=""/>
                    <o:lock v:ext="edit"/>
                    <v:textbox>
                      <w:txbxContent>
                        <w:p w14:paraId="220A6E75">
                          <w:pPr>
                            <w:rPr>
                              <w:rFonts w:ascii="黑体" w:hAnsi="黑体" w:eastAsia="黑体"/>
                              <w:szCs w:val="21"/>
                            </w:rPr>
                          </w:pPr>
                          <w:r>
                            <w:rPr>
                              <w:rFonts w:ascii="黑体" w:hAnsi="黑体" w:eastAsia="黑体"/>
                              <w:szCs w:val="21"/>
                            </w:rPr>
                            <w:t>污泥脱水机房</w:t>
                          </w:r>
                        </w:p>
                      </w:txbxContent>
                    </v:textbox>
                  </v:rect>
                  <v:rect id="_x0000_s7502" o:spid="_x0000_s7502" o:spt="1" style="position:absolute;left:8667;top:9798;height:1294;width:447;" coordsize="21600,21600">
                    <v:path/>
                    <v:fill focussize="0,0"/>
                    <v:stroke/>
                    <v:imagedata o:title=""/>
                    <o:lock v:ext="edit"/>
                    <v:textbox>
                      <w:txbxContent>
                        <w:p w14:paraId="00E4854B">
                          <w:pPr>
                            <w:rPr>
                              <w:rFonts w:ascii="黑体" w:hAnsi="黑体" w:eastAsia="黑体"/>
                              <w:szCs w:val="21"/>
                            </w:rPr>
                          </w:pPr>
                          <w:r>
                            <w:rPr>
                              <w:rFonts w:ascii="黑体" w:hAnsi="黑体" w:eastAsia="黑体"/>
                              <w:szCs w:val="21"/>
                            </w:rPr>
                            <w:t>中间泵房</w:t>
                          </w:r>
                        </w:p>
                      </w:txbxContent>
                    </v:textbox>
                  </v:rect>
                  <v:rect id="_x0000_s7503" o:spid="_x0000_s7503" o:spt="1" style="position:absolute;left:7547;top:9798;height:1294;width:446;" coordsize="21600,21600">
                    <v:path/>
                    <v:fill focussize="0,0"/>
                    <v:stroke/>
                    <v:imagedata o:title=""/>
                    <o:lock v:ext="edit"/>
                    <v:textbox>
                      <w:txbxContent>
                        <w:p w14:paraId="44FC3EEB">
                          <w:pPr>
                            <w:rPr>
                              <w:rFonts w:ascii="黑体" w:hAnsi="黑体" w:eastAsia="黑体"/>
                              <w:szCs w:val="21"/>
                            </w:rPr>
                          </w:pPr>
                          <w:r>
                            <w:rPr>
                              <w:rFonts w:ascii="黑体" w:hAnsi="黑体" w:eastAsia="黑体"/>
                              <w:szCs w:val="21"/>
                            </w:rPr>
                            <w:t>微絮凝池</w:t>
                          </w:r>
                        </w:p>
                      </w:txbxContent>
                    </v:textbox>
                  </v:rect>
                  <v:rect id="_x0000_s7504" o:spid="_x0000_s7504" o:spt="1" style="position:absolute;left:6368;top:9651;height:1593;width:448;" coordsize="21600,21600">
                    <v:path/>
                    <v:fill focussize="0,0"/>
                    <v:stroke/>
                    <v:imagedata o:title=""/>
                    <o:lock v:ext="edit"/>
                    <v:textbox>
                      <w:txbxContent>
                        <w:p w14:paraId="66F33438">
                          <w:pPr>
                            <w:rPr>
                              <w:rFonts w:ascii="黑体" w:hAnsi="黑体" w:eastAsia="黑体"/>
                              <w:szCs w:val="21"/>
                            </w:rPr>
                          </w:pPr>
                          <w:r>
                            <w:rPr>
                              <w:rFonts w:ascii="黑体" w:hAnsi="黑体" w:eastAsia="黑体"/>
                              <w:szCs w:val="21"/>
                            </w:rPr>
                            <w:t>活性砂滤池</w:t>
                          </w:r>
                        </w:p>
                      </w:txbxContent>
                    </v:textbox>
                  </v:rect>
                  <v:rect id="_x0000_s7505" o:spid="_x0000_s7505" o:spt="1" style="position:absolute;left:5099;top:9798;height:1294;width:447;" coordsize="21600,21600">
                    <v:path/>
                    <v:fill focussize="0,0"/>
                    <v:stroke/>
                    <v:imagedata o:title=""/>
                    <o:lock v:ext="edit"/>
                    <v:textbox>
                      <w:txbxContent>
                        <w:p w14:paraId="4E23238A">
                          <w:pPr>
                            <w:rPr>
                              <w:rFonts w:ascii="黑体" w:hAnsi="黑体" w:eastAsia="黑体"/>
                              <w:szCs w:val="21"/>
                            </w:rPr>
                          </w:pPr>
                          <w:r>
                            <w:rPr>
                              <w:rFonts w:ascii="黑体" w:hAnsi="黑体" w:eastAsia="黑体"/>
                              <w:szCs w:val="21"/>
                            </w:rPr>
                            <w:t>紫外消毒</w:t>
                          </w:r>
                        </w:p>
                      </w:txbxContent>
                    </v:textbox>
                  </v:rect>
                  <v:shape id="_x0000_s7506" o:spid="_x0000_s7506" o:spt="32" type="#_x0000_t32" style="position:absolute;left:4349;top:6454;height:1;width:303;" o:connectortype="straight" filled="f" coordsize="21600,21600">
                    <v:path arrowok="t"/>
                    <v:fill on="f" focussize="0,0"/>
                    <v:stroke endarrow="block" endarrowwidth="narrow"/>
                    <v:imagedata o:title=""/>
                    <o:lock v:ext="edit"/>
                  </v:shape>
                  <v:shape id="_x0000_s7507" o:spid="_x0000_s7507" o:spt="32" type="#_x0000_t32" style="position:absolute;left:5099;top:6454;flip:y;height:1;width:342;" o:connectortype="straight" filled="f" coordsize="21600,21600">
                    <v:path arrowok="t"/>
                    <v:fill on="f" focussize="0,0"/>
                    <v:stroke endarrow="block" endarrowwidth="narrow"/>
                    <v:imagedata o:title=""/>
                    <o:lock v:ext="edit"/>
                  </v:shape>
                  <v:shape id="_x0000_s7508" o:spid="_x0000_s7508" o:spt="32" type="#_x0000_t32" style="position:absolute;left:5888;top:6454;height:8;width:329;" o:connectortype="straight" filled="f" coordsize="21600,21600">
                    <v:path arrowok="t"/>
                    <v:fill on="f" focussize="0,0"/>
                    <v:stroke endarrow="block" endarrowwidth="narrow"/>
                    <v:imagedata o:title=""/>
                    <o:lock v:ext="edit"/>
                  </v:shape>
                  <v:shape id="_x0000_s7510" o:spid="_x0000_s7510" o:spt="32" type="#_x0000_t32" style="position:absolute;left:6663;top:6454;flip:y;height:8;width:328;" o:connectortype="straight" filled="f" coordsize="21600,21600">
                    <v:path arrowok="t"/>
                    <v:fill on="f" focussize="0,0"/>
                    <v:stroke endarrow="block" endarrowwidth="narrow"/>
                    <v:imagedata o:title=""/>
                    <o:lock v:ext="edit"/>
                  </v:shape>
                  <v:shape id="_x0000_s7511" o:spid="_x0000_s7511" o:spt="32" type="#_x0000_t32" style="position:absolute;left:7437;top:6454;height:1;width:358;" o:connectortype="straight" filled="f" coordsize="21600,21600">
                    <v:path arrowok="t"/>
                    <v:fill on="f" focussize="0,0"/>
                    <v:stroke endarrow="block" endarrowwidth="narrow"/>
                    <v:imagedata o:title=""/>
                    <o:lock v:ext="edit"/>
                  </v:shape>
                  <v:shape id="_x0000_s7512" o:spid="_x0000_s7512" o:spt="32" type="#_x0000_t32" style="position:absolute;left:8241;top:6454;height:1;width:298;" o:connectortype="straight" filled="f" coordsize="21600,21600">
                    <v:path arrowok="t"/>
                    <v:fill on="f" focussize="0,0"/>
                    <v:stroke endarrow="block" endarrowwidth="narrow"/>
                    <v:imagedata o:title=""/>
                    <o:lock v:ext="edit"/>
                  </v:shape>
                  <v:shape id="_x0000_s7513" o:spid="_x0000_s7513" o:spt="32" type="#_x0000_t32" style="position:absolute;left:8986;top:6454;height:1;width:372;" o:connectortype="straight" filled="f" coordsize="21600,21600">
                    <v:path arrowok="t"/>
                    <v:fill on="f" focussize="0,0"/>
                    <v:stroke endarrow="block" endarrowwidth="narrow"/>
                    <v:imagedata o:title=""/>
                    <o:lock v:ext="edit"/>
                  </v:shape>
                  <v:shape id="_x0000_s7515" o:spid="_x0000_s7515" o:spt="33" type="#_x0000_t33" style="position:absolute;left:7602;top:8465;height:468;width:3492;rotation:5898240f;" o:connectortype="elbow" filled="f" coordsize="21600,21600" adj="-50297,-310243,-50297">
                    <v:path arrowok="t"/>
                    <v:fill on="f" focussize="0,0"/>
                    <v:stroke endarrow="block" endarrowwidth="narrow"/>
                    <v:imagedata o:title=""/>
                    <o:lock v:ext="edit"/>
                  </v:shape>
                  <v:shape id="_x0000_s7516" o:spid="_x0000_s7516" o:spt="33" type="#_x0000_t33" style="position:absolute;left:8480;top:7587;height:468;width:1736;rotation:5898240f;" o:connectortype="elbow" filled="f" coordsize="21600,21600" adj="-101213,-310243,-101213">
                    <v:path arrowok="t"/>
                    <v:fill on="f" focussize="0,0"/>
                    <v:stroke dashstyle="dash" endarrow="block" endarrowwidth="narrow"/>
                    <v:imagedata o:title=""/>
                    <o:lock v:ext="edit"/>
                  </v:shape>
                  <v:shape id="_x0000_s7517" o:spid="_x0000_s7517" o:spt="34" type="#_x0000_t34" style="position:absolute;left:6838;top:7329;flip:x;height:783;width:1535;rotation:17694720f;" o:connectortype="elbow" filled="f" coordsize="21600,21600" adj="100,273731,-92235">
                    <v:path arrowok="t"/>
                    <v:fill on="f" focussize="0,0"/>
                    <v:stroke dashstyle="dash" endarrow="block" endarrowwidth="narrow"/>
                    <v:imagedata o:title=""/>
                    <o:lock v:ext="edit"/>
                  </v:shape>
                  <v:shape id="_x0000_s7518" o:spid="_x0000_s7518" o:spt="32" type="#_x0000_t32" style="position:absolute;left:8749;top:6953;flip:x;height:358;width:14;" o:connectortype="straight" filled="f" coordsize="21600,21600">
                    <v:path arrowok="t"/>
                    <v:fill on="f" focussize="0,0"/>
                    <v:stroke dashstyle="dash" endarrow="block" endarrowwidth="narrow"/>
                    <v:imagedata o:title=""/>
                    <o:lock v:ext="edit"/>
                  </v:shape>
                  <v:shape id="_x0000_s7519" o:spid="_x0000_s7519" o:spt="34" type="#_x0000_t34" style="position:absolute;left:7323;top:6953;height:358;width:1433;rotation:11796480f;" o:connectortype="elbow" filled="f" coordsize="21600,21600" adj="21559,-528072,-110212">
                    <v:path arrowok="t"/>
                    <v:fill on="f" focussize="0,0"/>
                    <v:stroke dashstyle="dash" endarrow="block" endarrowwidth="narrow"/>
                    <v:imagedata o:title=""/>
                    <o:lock v:ext="edit"/>
                  </v:shape>
                  <v:shape id="_x0000_s7520" o:spid="_x0000_s7520" o:spt="32" type="#_x0000_t32" style="position:absolute;left:8017;top:6953;flip:y;height:358;width:1;" o:connectortype="straight" filled="f" coordsize="21600,21600">
                    <v:path arrowok="t"/>
                    <v:fill on="f" focussize="0,0"/>
                    <v:stroke dashstyle="dash" endarrow="block" endarrowwidth="narrow"/>
                    <v:imagedata o:title=""/>
                    <o:lock v:ext="edit"/>
                  </v:shape>
                  <v:shape id="_x0000_s7521" o:spid="_x0000_s7521" o:spt="202" type="#_x0000_t202" style="position:absolute;left:7584;top:7416;height:402;width:955;" stroked="f" coordsize="21600,21600">
                    <v:path/>
                    <v:fill focussize="0,0"/>
                    <v:stroke on="f" joinstyle="miter"/>
                    <v:imagedata o:title=""/>
                    <o:lock v:ext="edit"/>
                    <v:textbox>
                      <w:txbxContent>
                        <w:p w14:paraId="3A8D695A">
                          <w:pPr>
                            <w:rPr>
                              <w:sz w:val="15"/>
                              <w:szCs w:val="15"/>
                            </w:rPr>
                          </w:pPr>
                          <w:r>
                            <w:rPr>
                              <w:sz w:val="15"/>
                              <w:szCs w:val="15"/>
                            </w:rPr>
                            <w:t>混合液回流</w:t>
                          </w:r>
                        </w:p>
                      </w:txbxContent>
                    </v:textbox>
                  </v:shape>
                  <v:shape id="_x0000_s7522" o:spid="_x0000_s7522" o:spt="202" type="#_x0000_t202" style="position:absolute;left:6297;top:7519;height:402;width:800;" stroked="f" coordsize="21600,21600">
                    <v:path/>
                    <v:fill focussize="0,0"/>
                    <v:stroke on="f" joinstyle="miter"/>
                    <v:imagedata o:title=""/>
                    <o:lock v:ext="edit"/>
                    <v:textbox>
                      <w:txbxContent>
                        <w:p w14:paraId="1C55A6EC">
                          <w:pPr>
                            <w:rPr>
                              <w:sz w:val="15"/>
                              <w:szCs w:val="15"/>
                            </w:rPr>
                          </w:pPr>
                          <w:r>
                            <w:rPr>
                              <w:sz w:val="15"/>
                              <w:szCs w:val="15"/>
                            </w:rPr>
                            <w:t>回流污泥</w:t>
                          </w:r>
                        </w:p>
                      </w:txbxContent>
                    </v:textbox>
                  </v:shape>
                  <v:shape id="_x0000_s7523" o:spid="_x0000_s7523" o:spt="32" type="#_x0000_t32" style="position:absolute;left:7097;top:8689;flip:x;height:1;width:900;" o:connectortype="straight" filled="f" coordsize="21600,21600">
                    <v:path arrowok="t"/>
                    <v:fill on="f" focussize="0,0"/>
                    <v:stroke dashstyle="dash" endarrow="block" endarrowwidth="narrow"/>
                    <v:imagedata o:title=""/>
                    <o:lock v:ext="edit"/>
                  </v:shape>
                  <v:shape id="_x0000_s7525" o:spid="_x0000_s7525" o:spt="32" type="#_x0000_t32" style="position:absolute;left:5601;top:8682;flip:x y;height:7;width:616;" o:connectortype="straight" filled="f" coordsize="21600,21600">
                    <v:path arrowok="t"/>
                    <v:fill on="f" focussize="0,0"/>
                    <v:stroke dashstyle="dash" endarrow="block" endarrowwidth="narrow"/>
                    <v:imagedata o:title=""/>
                    <o:lock v:ext="edit"/>
                  </v:shape>
                  <v:shape id="_x0000_s7526" o:spid="_x0000_s7526" o:spt="202" type="#_x0000_t202" style="position:absolute;left:3565;top:8375;height:608;width:910;" stroked="f" coordsize="21600,21600">
                    <v:path/>
                    <v:fill focussize="0,0"/>
                    <v:stroke on="f" joinstyle="miter"/>
                    <v:imagedata o:title=""/>
                    <o:lock v:ext="edit"/>
                    <v:textbox>
                      <w:txbxContent>
                        <w:p w14:paraId="3850B551">
                          <w:pPr>
                            <w:jc w:val="center"/>
                            <w:rPr>
                              <w:sz w:val="15"/>
                              <w:szCs w:val="15"/>
                            </w:rPr>
                          </w:pPr>
                          <w:r>
                            <w:rPr>
                              <w:sz w:val="15"/>
                              <w:szCs w:val="15"/>
                            </w:rPr>
                            <w:t>泥饼堆置、外运</w:t>
                          </w:r>
                        </w:p>
                      </w:txbxContent>
                    </v:textbox>
                  </v:shape>
                  <v:shape id="_x0000_s7527" o:spid="_x0000_s7527" o:spt="32" type="#_x0000_t32" style="position:absolute;left:4475;top:8679;flip:x y;height:3;width:249;" o:connectortype="straight" filled="f" coordsize="21600,21600">
                    <v:path arrowok="t"/>
                    <v:fill on="f" focussize="0,0"/>
                    <v:stroke endarrow="block" endarrowwidth="narrow"/>
                    <v:imagedata o:title=""/>
                    <o:lock v:ext="edit"/>
                  </v:shape>
                  <v:shape id="_x0000_s7528" o:spid="_x0000_s7528" o:spt="202" type="#_x0000_t202" style="position:absolute;left:7173;top:8765;height:364;width:820;" stroked="f" coordsize="21600,21600">
                    <v:path/>
                    <v:fill focussize="0,0"/>
                    <v:stroke on="f" joinstyle="miter"/>
                    <v:imagedata o:title=""/>
                    <o:lock v:ext="edit"/>
                    <v:textbox>
                      <w:txbxContent>
                        <w:p w14:paraId="5D65BFE7">
                          <w:pPr>
                            <w:rPr>
                              <w:sz w:val="15"/>
                              <w:szCs w:val="15"/>
                            </w:rPr>
                          </w:pPr>
                          <w:r>
                            <w:rPr>
                              <w:sz w:val="15"/>
                              <w:szCs w:val="15"/>
                            </w:rPr>
                            <w:t>剩余污泥</w:t>
                          </w:r>
                        </w:p>
                      </w:txbxContent>
                    </v:textbox>
                  </v:shape>
                  <v:shape id="_x0000_s7529" o:spid="_x0000_s7529" o:spt="32" type="#_x0000_t32" style="position:absolute;left:7993;top:10445;flip:x;height:1;width:674;" o:connectortype="straight" filled="f" coordsize="21600,21600">
                    <v:path arrowok="t"/>
                    <v:fill on="f" focussize="0,0"/>
                    <v:stroke endarrow="block" endarrowwidth="narrow"/>
                    <v:imagedata o:title=""/>
                    <o:lock v:ext="edit"/>
                  </v:shape>
                  <v:shape id="_x0000_s7530" o:spid="_x0000_s7530" o:spt="32" type="#_x0000_t32" style="position:absolute;left:6816;top:10445;flip:x;height:3;width:731;" o:connectortype="straight" filled="f" coordsize="21600,21600">
                    <v:path arrowok="t"/>
                    <v:fill on="f" focussize="0,0"/>
                    <v:stroke endarrow="block" endarrowwidth="narrow"/>
                    <v:imagedata o:title=""/>
                    <o:lock v:ext="edit"/>
                  </v:shape>
                  <v:shape id="_x0000_s7531" o:spid="_x0000_s7531" o:spt="32" type="#_x0000_t32" style="position:absolute;left:5546;top:10445;flip:x y;height:3;width:822;" o:connectortype="straight" filled="f" coordsize="21600,21600">
                    <v:path arrowok="t"/>
                    <v:fill on="f" focussize="0,0"/>
                    <v:stroke endarrow="block" endarrowwidth="narrow"/>
                    <v:imagedata o:title=""/>
                    <o:lock v:ext="edit"/>
                  </v:shape>
                  <v:shape id="_x0000_s7532" o:spid="_x0000_s7532" o:spt="32" type="#_x0000_t32" style="position:absolute;left:4724;top:10448;flip:x;height:3;width:375;" o:connectortype="straight" filled="f" coordsize="21600,21600">
                    <v:path arrowok="t"/>
                    <v:fill on="f" focussize="0,0"/>
                    <v:stroke endarrow="block" endarrowwidth="narrow"/>
                    <v:imagedata o:title=""/>
                    <o:lock v:ext="edit"/>
                  </v:shape>
                  <v:shape id="_x0000_s7533" o:spid="_x0000_s7533" o:spt="202" type="#_x0000_t202" style="position:absolute;left:4107;top:10258;height:363;width:615;" stroked="f" coordsize="21600,21600">
                    <v:path/>
                    <v:fill focussize="0,0"/>
                    <v:stroke on="f" joinstyle="miter"/>
                    <v:imagedata o:title=""/>
                    <o:lock v:ext="edit"/>
                    <v:textbox>
                      <w:txbxContent>
                        <w:p w14:paraId="41C90816">
                          <w:pPr>
                            <w:rPr>
                              <w:sz w:val="15"/>
                              <w:szCs w:val="15"/>
                            </w:rPr>
                          </w:pPr>
                          <w:r>
                            <w:rPr>
                              <w:sz w:val="15"/>
                              <w:szCs w:val="15"/>
                            </w:rPr>
                            <w:t>出水</w:t>
                          </w:r>
                        </w:p>
                      </w:txbxContent>
                    </v:textbox>
                  </v:shape>
                  <w10:wrap type="none"/>
                  <w10:anchorlock/>
                </v:group>
              </w:pict>
            </w:r>
          </w:p>
          <w:p w14:paraId="0DADFF91">
            <w:pPr>
              <w:pStyle w:val="108"/>
              <w:adjustRightInd/>
              <w:jc w:val="center"/>
              <w:rPr>
                <w:b/>
                <w:color w:val="auto"/>
              </w:rPr>
            </w:pPr>
            <w:r>
              <w:rPr>
                <w:rFonts w:hint="eastAsia" w:hAnsi="黑体" w:eastAsia="黑体"/>
                <w:color w:val="auto"/>
                <w:spacing w:val="-2"/>
              </w:rPr>
              <w:t>图8</w:t>
            </w:r>
            <w:r>
              <w:rPr>
                <w:rFonts w:hAnsi="黑体" w:eastAsia="黑体"/>
                <w:color w:val="auto"/>
                <w:spacing w:val="-2"/>
              </w:rPr>
              <w:t xml:space="preserve">  </w:t>
            </w:r>
            <w:r>
              <w:rPr>
                <w:rFonts w:hint="eastAsia" w:hAnsi="黑体" w:eastAsia="黑体"/>
                <w:color w:val="auto"/>
                <w:spacing w:val="-2"/>
              </w:rPr>
              <w:t>毛集实验区污水处理厂现状处理工艺流程图</w:t>
            </w:r>
          </w:p>
          <w:p w14:paraId="7241D94C">
            <w:pPr>
              <w:pStyle w:val="108"/>
              <w:adjustRightInd/>
              <w:spacing w:line="360" w:lineRule="auto"/>
              <w:ind w:firstLine="482" w:firstLineChars="200"/>
              <w:rPr>
                <w:b/>
                <w:color w:val="auto"/>
              </w:rPr>
            </w:pPr>
            <w:r>
              <w:rPr>
                <w:rFonts w:hint="eastAsia"/>
                <w:b/>
                <w:color w:val="auto"/>
              </w:rPr>
              <w:t>地表水环境影响评价：</w:t>
            </w:r>
          </w:p>
          <w:p w14:paraId="712882A8">
            <w:pPr>
              <w:pStyle w:val="108"/>
              <w:adjustRightInd/>
              <w:spacing w:line="360" w:lineRule="auto"/>
              <w:ind w:firstLine="480" w:firstLineChars="200"/>
              <w:jc w:val="both"/>
              <w:rPr>
                <w:color w:val="auto"/>
              </w:rPr>
            </w:pPr>
            <w:r>
              <w:rPr>
                <w:rFonts w:hint="eastAsia"/>
                <w:color w:val="auto"/>
              </w:rPr>
              <w:t>本项目最大废水排放量为1.44</w:t>
            </w:r>
            <w:r>
              <w:rPr>
                <w:color w:val="auto"/>
              </w:rPr>
              <w:t>m</w:t>
            </w:r>
            <w:r>
              <w:rPr>
                <w:color w:val="auto"/>
                <w:vertAlign w:val="superscript"/>
              </w:rPr>
              <w:t>3</w:t>
            </w:r>
            <w:r>
              <w:rPr>
                <w:color w:val="auto"/>
              </w:rPr>
              <w:t>/d，占污水处理厂日处理量的</w:t>
            </w:r>
            <w:r>
              <w:rPr>
                <w:rFonts w:hint="eastAsia"/>
                <w:color w:val="auto"/>
              </w:rPr>
              <w:t>0.0096%，</w:t>
            </w:r>
            <w:r>
              <w:rPr>
                <w:color w:val="auto"/>
              </w:rPr>
              <w:t>废水量在污水处理厂容量之内，正常运行情况下，对区域地表水体的影响是可接受的。项目废水纳管至毛集实验区污水处理厂</w:t>
            </w:r>
            <w:r>
              <w:rPr>
                <w:rFonts w:hint="eastAsia"/>
                <w:color w:val="auto"/>
              </w:rPr>
              <w:t>不会对其正常运行造成不利影响，项目对纳污水体的环境影响较小。</w:t>
            </w:r>
          </w:p>
          <w:p w14:paraId="70D32054">
            <w:pPr>
              <w:pStyle w:val="108"/>
              <w:adjustRightInd/>
              <w:spacing w:line="360" w:lineRule="auto"/>
              <w:ind w:firstLine="482" w:firstLineChars="200"/>
              <w:rPr>
                <w:color w:val="auto"/>
              </w:rPr>
            </w:pPr>
            <w:r>
              <w:rPr>
                <w:rFonts w:hint="eastAsia"/>
                <w:b/>
                <w:color w:val="auto"/>
              </w:rPr>
              <w:t>3、废水处理设施及排放口</w:t>
            </w:r>
          </w:p>
          <w:p w14:paraId="2C9742D9">
            <w:pPr>
              <w:spacing w:line="360" w:lineRule="auto"/>
              <w:ind w:firstLine="480" w:firstLineChars="200"/>
              <w:rPr>
                <w:sz w:val="24"/>
              </w:rPr>
            </w:pPr>
            <w:r>
              <w:rPr>
                <w:rFonts w:hint="eastAsia"/>
                <w:sz w:val="24"/>
              </w:rPr>
              <w:t>项目废水类别、污染物及污染治理设施信息表如下表。</w:t>
            </w:r>
          </w:p>
          <w:p w14:paraId="314A0C15">
            <w:pPr>
              <w:spacing w:line="276" w:lineRule="auto"/>
              <w:jc w:val="center"/>
              <w:rPr>
                <w:rFonts w:hAnsi="黑体" w:eastAsia="黑体"/>
                <w:spacing w:val="-2"/>
                <w:kern w:val="0"/>
                <w:szCs w:val="21"/>
              </w:rPr>
            </w:pPr>
            <w:r>
              <w:rPr>
                <w:rFonts w:hint="eastAsia" w:hAnsi="黑体" w:eastAsia="黑体"/>
                <w:sz w:val="24"/>
                <w:szCs w:val="24"/>
              </w:rPr>
              <w:t>表44</w:t>
            </w:r>
            <w:r>
              <w:rPr>
                <w:rFonts w:hAnsi="黑体" w:eastAsia="黑体"/>
                <w:sz w:val="24"/>
                <w:szCs w:val="24"/>
              </w:rPr>
              <w:t xml:space="preserve">  </w:t>
            </w:r>
            <w:r>
              <w:rPr>
                <w:rFonts w:hint="eastAsia" w:hAnsi="黑体" w:eastAsia="黑体"/>
                <w:sz w:val="24"/>
                <w:szCs w:val="24"/>
              </w:rPr>
              <w:t>废水类别、污染物及污染治理设施信息表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427"/>
              <w:gridCol w:w="1019"/>
              <w:gridCol w:w="627"/>
              <w:gridCol w:w="1029"/>
              <w:gridCol w:w="858"/>
              <w:gridCol w:w="968"/>
              <w:gridCol w:w="718"/>
              <w:gridCol w:w="871"/>
              <w:gridCol w:w="748"/>
              <w:gridCol w:w="427"/>
            </w:tblGrid>
            <w:tr w14:paraId="33514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6" w:type="pct"/>
                  <w:vMerge w:val="restart"/>
                  <w:vAlign w:val="center"/>
                </w:tcPr>
                <w:p w14:paraId="7C0274C5">
                  <w:pPr>
                    <w:spacing w:line="276" w:lineRule="auto"/>
                    <w:jc w:val="center"/>
                    <w:rPr>
                      <w:b/>
                      <w:spacing w:val="-2"/>
                      <w:szCs w:val="21"/>
                    </w:rPr>
                  </w:pPr>
                  <w:r>
                    <w:rPr>
                      <w:rFonts w:hint="eastAsia" w:hAnsi="宋体"/>
                      <w:b/>
                      <w:szCs w:val="21"/>
                    </w:rPr>
                    <w:t>序号</w:t>
                  </w:r>
                </w:p>
              </w:tc>
              <w:tc>
                <w:tcPr>
                  <w:tcW w:w="262" w:type="pct"/>
                  <w:vMerge w:val="restart"/>
                  <w:vAlign w:val="center"/>
                </w:tcPr>
                <w:p w14:paraId="25975F78">
                  <w:pPr>
                    <w:spacing w:line="276" w:lineRule="auto"/>
                    <w:jc w:val="center"/>
                    <w:rPr>
                      <w:b/>
                      <w:spacing w:val="-2"/>
                      <w:szCs w:val="21"/>
                    </w:rPr>
                  </w:pPr>
                  <w:r>
                    <w:rPr>
                      <w:rFonts w:hint="eastAsia" w:hAnsi="宋体"/>
                      <w:b/>
                      <w:szCs w:val="21"/>
                    </w:rPr>
                    <w:t>废水类别</w:t>
                  </w:r>
                </w:p>
              </w:tc>
              <w:tc>
                <w:tcPr>
                  <w:tcW w:w="626" w:type="pct"/>
                  <w:vMerge w:val="restart"/>
                  <w:vAlign w:val="center"/>
                </w:tcPr>
                <w:p w14:paraId="7AB81FA2">
                  <w:pPr>
                    <w:spacing w:line="276" w:lineRule="auto"/>
                    <w:jc w:val="center"/>
                    <w:rPr>
                      <w:b/>
                      <w:spacing w:val="-2"/>
                      <w:szCs w:val="21"/>
                    </w:rPr>
                  </w:pPr>
                  <w:r>
                    <w:rPr>
                      <w:rFonts w:hint="eastAsia" w:hAnsi="宋体"/>
                      <w:b/>
                      <w:szCs w:val="21"/>
                    </w:rPr>
                    <w:t>污染物</w:t>
                  </w:r>
                </w:p>
                <w:p w14:paraId="40BB2585">
                  <w:pPr>
                    <w:spacing w:line="276" w:lineRule="auto"/>
                    <w:jc w:val="center"/>
                    <w:rPr>
                      <w:b/>
                      <w:spacing w:val="-2"/>
                      <w:szCs w:val="21"/>
                    </w:rPr>
                  </w:pPr>
                  <w:r>
                    <w:rPr>
                      <w:rFonts w:hint="eastAsia" w:hAnsi="宋体"/>
                      <w:b/>
                      <w:szCs w:val="21"/>
                    </w:rPr>
                    <w:t>种类</w:t>
                  </w:r>
                </w:p>
              </w:tc>
              <w:tc>
                <w:tcPr>
                  <w:tcW w:w="415" w:type="pct"/>
                  <w:vMerge w:val="restart"/>
                  <w:vAlign w:val="center"/>
                </w:tcPr>
                <w:p w14:paraId="43812702">
                  <w:pPr>
                    <w:spacing w:line="276" w:lineRule="auto"/>
                    <w:jc w:val="center"/>
                    <w:rPr>
                      <w:b/>
                      <w:spacing w:val="-2"/>
                      <w:szCs w:val="21"/>
                    </w:rPr>
                  </w:pPr>
                  <w:r>
                    <w:rPr>
                      <w:rFonts w:hint="eastAsia" w:hAnsi="宋体"/>
                      <w:b/>
                      <w:szCs w:val="21"/>
                    </w:rPr>
                    <w:t>排放</w:t>
                  </w:r>
                </w:p>
                <w:p w14:paraId="452A393F">
                  <w:pPr>
                    <w:spacing w:line="276" w:lineRule="auto"/>
                    <w:jc w:val="center"/>
                    <w:rPr>
                      <w:b/>
                      <w:spacing w:val="-2"/>
                      <w:szCs w:val="21"/>
                    </w:rPr>
                  </w:pPr>
                  <w:r>
                    <w:rPr>
                      <w:rFonts w:hint="eastAsia" w:hAnsi="宋体"/>
                      <w:b/>
                      <w:szCs w:val="21"/>
                    </w:rPr>
                    <w:t>去向</w:t>
                  </w:r>
                </w:p>
              </w:tc>
              <w:tc>
                <w:tcPr>
                  <w:tcW w:w="647" w:type="pct"/>
                  <w:vMerge w:val="restart"/>
                  <w:vAlign w:val="center"/>
                </w:tcPr>
                <w:p w14:paraId="4E129339">
                  <w:pPr>
                    <w:spacing w:line="276" w:lineRule="auto"/>
                    <w:jc w:val="center"/>
                    <w:rPr>
                      <w:b/>
                      <w:spacing w:val="-2"/>
                      <w:szCs w:val="21"/>
                    </w:rPr>
                  </w:pPr>
                  <w:r>
                    <w:rPr>
                      <w:rFonts w:hint="eastAsia" w:hAnsi="宋体"/>
                      <w:b/>
                      <w:szCs w:val="21"/>
                    </w:rPr>
                    <w:t>排放规律</w:t>
                  </w:r>
                </w:p>
              </w:tc>
              <w:tc>
                <w:tcPr>
                  <w:tcW w:w="1484" w:type="pct"/>
                  <w:gridSpan w:val="3"/>
                  <w:vAlign w:val="center"/>
                </w:tcPr>
                <w:p w14:paraId="5D0278EF">
                  <w:pPr>
                    <w:spacing w:line="276" w:lineRule="auto"/>
                    <w:jc w:val="center"/>
                    <w:rPr>
                      <w:b/>
                      <w:spacing w:val="-2"/>
                      <w:szCs w:val="21"/>
                    </w:rPr>
                  </w:pPr>
                  <w:r>
                    <w:rPr>
                      <w:rFonts w:hint="eastAsia" w:hAnsi="宋体"/>
                      <w:b/>
                      <w:szCs w:val="21"/>
                    </w:rPr>
                    <w:t>污染治理设施</w:t>
                  </w:r>
                </w:p>
              </w:tc>
              <w:tc>
                <w:tcPr>
                  <w:tcW w:w="534" w:type="pct"/>
                  <w:vMerge w:val="restart"/>
                  <w:vAlign w:val="center"/>
                </w:tcPr>
                <w:p w14:paraId="58152D30">
                  <w:pPr>
                    <w:spacing w:line="276" w:lineRule="auto"/>
                    <w:jc w:val="center"/>
                    <w:rPr>
                      <w:b/>
                      <w:spacing w:val="-2"/>
                      <w:szCs w:val="21"/>
                    </w:rPr>
                  </w:pPr>
                  <w:r>
                    <w:rPr>
                      <w:rFonts w:hint="eastAsia" w:hAnsi="宋体"/>
                      <w:b/>
                      <w:szCs w:val="21"/>
                    </w:rPr>
                    <w:t>排放口编号</w:t>
                  </w:r>
                </w:p>
              </w:tc>
              <w:tc>
                <w:tcPr>
                  <w:tcW w:w="474" w:type="pct"/>
                  <w:vMerge w:val="restart"/>
                  <w:vAlign w:val="center"/>
                </w:tcPr>
                <w:p w14:paraId="0BCF16E8">
                  <w:pPr>
                    <w:spacing w:line="276" w:lineRule="auto"/>
                    <w:jc w:val="center"/>
                    <w:rPr>
                      <w:b/>
                      <w:spacing w:val="-2"/>
                      <w:szCs w:val="21"/>
                    </w:rPr>
                  </w:pPr>
                  <w:r>
                    <w:rPr>
                      <w:rFonts w:hint="eastAsia" w:hAnsi="宋体"/>
                      <w:b/>
                      <w:szCs w:val="21"/>
                    </w:rPr>
                    <w:t>排放口设置是否符合要求</w:t>
                  </w:r>
                </w:p>
              </w:tc>
              <w:tc>
                <w:tcPr>
                  <w:tcW w:w="262" w:type="pct"/>
                  <w:vMerge w:val="restart"/>
                  <w:vAlign w:val="center"/>
                </w:tcPr>
                <w:p w14:paraId="4FC4B17C">
                  <w:pPr>
                    <w:spacing w:line="276" w:lineRule="auto"/>
                    <w:jc w:val="center"/>
                    <w:rPr>
                      <w:b/>
                      <w:spacing w:val="-2"/>
                      <w:szCs w:val="21"/>
                    </w:rPr>
                  </w:pPr>
                  <w:r>
                    <w:rPr>
                      <w:rFonts w:hint="eastAsia" w:hAnsi="宋体"/>
                      <w:b/>
                      <w:szCs w:val="21"/>
                    </w:rPr>
                    <w:t>排放口类型</w:t>
                  </w:r>
                </w:p>
              </w:tc>
            </w:tr>
            <w:tr w14:paraId="3DF20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6" w:type="pct"/>
                  <w:vMerge w:val="continue"/>
                  <w:vAlign w:val="center"/>
                </w:tcPr>
                <w:p w14:paraId="79185557">
                  <w:pPr>
                    <w:widowControl/>
                    <w:spacing w:line="276" w:lineRule="auto"/>
                    <w:jc w:val="left"/>
                    <w:rPr>
                      <w:b/>
                      <w:spacing w:val="-2"/>
                      <w:szCs w:val="21"/>
                    </w:rPr>
                  </w:pPr>
                </w:p>
              </w:tc>
              <w:tc>
                <w:tcPr>
                  <w:tcW w:w="262" w:type="pct"/>
                  <w:vMerge w:val="continue"/>
                  <w:vAlign w:val="center"/>
                </w:tcPr>
                <w:p w14:paraId="72B68B23">
                  <w:pPr>
                    <w:widowControl/>
                    <w:spacing w:line="276" w:lineRule="auto"/>
                    <w:jc w:val="left"/>
                    <w:rPr>
                      <w:b/>
                      <w:spacing w:val="-2"/>
                      <w:szCs w:val="21"/>
                    </w:rPr>
                  </w:pPr>
                </w:p>
              </w:tc>
              <w:tc>
                <w:tcPr>
                  <w:tcW w:w="626" w:type="pct"/>
                  <w:vMerge w:val="continue"/>
                  <w:vAlign w:val="center"/>
                </w:tcPr>
                <w:p w14:paraId="2A095870">
                  <w:pPr>
                    <w:widowControl/>
                    <w:spacing w:line="276" w:lineRule="auto"/>
                    <w:jc w:val="left"/>
                    <w:rPr>
                      <w:b/>
                      <w:spacing w:val="-2"/>
                      <w:szCs w:val="21"/>
                    </w:rPr>
                  </w:pPr>
                </w:p>
              </w:tc>
              <w:tc>
                <w:tcPr>
                  <w:tcW w:w="415" w:type="pct"/>
                  <w:vMerge w:val="continue"/>
                  <w:vAlign w:val="center"/>
                </w:tcPr>
                <w:p w14:paraId="1253DA03">
                  <w:pPr>
                    <w:widowControl/>
                    <w:spacing w:line="276" w:lineRule="auto"/>
                    <w:jc w:val="left"/>
                    <w:rPr>
                      <w:b/>
                      <w:spacing w:val="-2"/>
                      <w:szCs w:val="21"/>
                    </w:rPr>
                  </w:pPr>
                </w:p>
              </w:tc>
              <w:tc>
                <w:tcPr>
                  <w:tcW w:w="647" w:type="pct"/>
                  <w:vMerge w:val="continue"/>
                  <w:vAlign w:val="center"/>
                </w:tcPr>
                <w:p w14:paraId="39354C91">
                  <w:pPr>
                    <w:widowControl/>
                    <w:spacing w:line="276" w:lineRule="auto"/>
                    <w:jc w:val="left"/>
                    <w:rPr>
                      <w:b/>
                      <w:spacing w:val="-2"/>
                      <w:szCs w:val="21"/>
                    </w:rPr>
                  </w:pPr>
                </w:p>
              </w:tc>
              <w:tc>
                <w:tcPr>
                  <w:tcW w:w="419" w:type="pct"/>
                  <w:vAlign w:val="center"/>
                </w:tcPr>
                <w:p w14:paraId="65662894">
                  <w:pPr>
                    <w:spacing w:line="276" w:lineRule="auto"/>
                    <w:jc w:val="center"/>
                    <w:rPr>
                      <w:b/>
                      <w:spacing w:val="-2"/>
                      <w:szCs w:val="21"/>
                    </w:rPr>
                  </w:pPr>
                  <w:r>
                    <w:rPr>
                      <w:rFonts w:hint="eastAsia" w:hAnsi="宋体"/>
                      <w:b/>
                      <w:szCs w:val="21"/>
                    </w:rPr>
                    <w:t>污染治理设施编号</w:t>
                  </w:r>
                </w:p>
              </w:tc>
              <w:tc>
                <w:tcPr>
                  <w:tcW w:w="609" w:type="pct"/>
                  <w:vAlign w:val="center"/>
                </w:tcPr>
                <w:p w14:paraId="3325EAFA">
                  <w:pPr>
                    <w:spacing w:line="276" w:lineRule="auto"/>
                    <w:jc w:val="center"/>
                    <w:rPr>
                      <w:b/>
                      <w:spacing w:val="-2"/>
                      <w:szCs w:val="21"/>
                    </w:rPr>
                  </w:pPr>
                  <w:r>
                    <w:rPr>
                      <w:rFonts w:hint="eastAsia" w:hAnsi="宋体"/>
                      <w:b/>
                      <w:szCs w:val="21"/>
                    </w:rPr>
                    <w:t>污染治理设施名称</w:t>
                  </w:r>
                </w:p>
              </w:tc>
              <w:tc>
                <w:tcPr>
                  <w:tcW w:w="456" w:type="pct"/>
                  <w:vAlign w:val="center"/>
                </w:tcPr>
                <w:p w14:paraId="3F3C9DCA">
                  <w:pPr>
                    <w:spacing w:line="276" w:lineRule="auto"/>
                    <w:jc w:val="center"/>
                    <w:rPr>
                      <w:b/>
                      <w:spacing w:val="-2"/>
                      <w:szCs w:val="21"/>
                    </w:rPr>
                  </w:pPr>
                  <w:r>
                    <w:rPr>
                      <w:rFonts w:hint="eastAsia" w:hAnsi="宋体"/>
                      <w:b/>
                      <w:szCs w:val="21"/>
                    </w:rPr>
                    <w:t>污染治理设施工艺</w:t>
                  </w:r>
                </w:p>
              </w:tc>
              <w:tc>
                <w:tcPr>
                  <w:tcW w:w="534" w:type="pct"/>
                  <w:vMerge w:val="continue"/>
                  <w:vAlign w:val="center"/>
                </w:tcPr>
                <w:p w14:paraId="35637F63">
                  <w:pPr>
                    <w:widowControl/>
                    <w:spacing w:line="276" w:lineRule="auto"/>
                    <w:jc w:val="left"/>
                    <w:rPr>
                      <w:b/>
                      <w:spacing w:val="-2"/>
                      <w:szCs w:val="21"/>
                    </w:rPr>
                  </w:pPr>
                </w:p>
              </w:tc>
              <w:tc>
                <w:tcPr>
                  <w:tcW w:w="474" w:type="pct"/>
                  <w:vMerge w:val="continue"/>
                  <w:vAlign w:val="center"/>
                </w:tcPr>
                <w:p w14:paraId="5A42BA02">
                  <w:pPr>
                    <w:widowControl/>
                    <w:spacing w:line="276" w:lineRule="auto"/>
                    <w:jc w:val="left"/>
                    <w:rPr>
                      <w:b/>
                      <w:spacing w:val="-2"/>
                      <w:szCs w:val="21"/>
                    </w:rPr>
                  </w:pPr>
                </w:p>
              </w:tc>
              <w:tc>
                <w:tcPr>
                  <w:tcW w:w="0" w:type="auto"/>
                  <w:vMerge w:val="continue"/>
                  <w:vAlign w:val="center"/>
                </w:tcPr>
                <w:p w14:paraId="38F9328D">
                  <w:pPr>
                    <w:widowControl/>
                    <w:spacing w:line="276" w:lineRule="auto"/>
                    <w:jc w:val="left"/>
                    <w:rPr>
                      <w:b/>
                      <w:spacing w:val="-2"/>
                      <w:szCs w:val="21"/>
                    </w:rPr>
                  </w:pPr>
                </w:p>
              </w:tc>
            </w:tr>
            <w:tr w14:paraId="79FE7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4FF01488">
                  <w:pPr>
                    <w:spacing w:line="276" w:lineRule="auto"/>
                    <w:jc w:val="center"/>
                    <w:rPr>
                      <w:spacing w:val="-2"/>
                      <w:szCs w:val="21"/>
                    </w:rPr>
                  </w:pPr>
                  <w:r>
                    <w:rPr>
                      <w:szCs w:val="21"/>
                    </w:rPr>
                    <w:t>1</w:t>
                  </w:r>
                </w:p>
              </w:tc>
              <w:tc>
                <w:tcPr>
                  <w:tcW w:w="262" w:type="pct"/>
                  <w:vAlign w:val="center"/>
                </w:tcPr>
                <w:p w14:paraId="09C38887">
                  <w:pPr>
                    <w:spacing w:line="276" w:lineRule="auto"/>
                    <w:jc w:val="center"/>
                    <w:rPr>
                      <w:spacing w:val="-2"/>
                      <w:szCs w:val="21"/>
                    </w:rPr>
                  </w:pPr>
                  <w:r>
                    <w:rPr>
                      <w:rFonts w:hint="eastAsia" w:hAnsi="宋体"/>
                      <w:szCs w:val="21"/>
                    </w:rPr>
                    <w:t>生活污水</w:t>
                  </w:r>
                </w:p>
              </w:tc>
              <w:tc>
                <w:tcPr>
                  <w:tcW w:w="626" w:type="pct"/>
                  <w:vAlign w:val="center"/>
                </w:tcPr>
                <w:p w14:paraId="41B27EF4">
                  <w:pPr>
                    <w:spacing w:line="276" w:lineRule="auto"/>
                    <w:jc w:val="center"/>
                    <w:rPr>
                      <w:spacing w:val="-2"/>
                      <w:szCs w:val="21"/>
                    </w:rPr>
                  </w:pPr>
                  <w:r>
                    <w:rPr>
                      <w:szCs w:val="21"/>
                    </w:rPr>
                    <w:t>COD</w:t>
                  </w:r>
                  <w:r>
                    <w:rPr>
                      <w:rFonts w:hint="eastAsia" w:hAnsi="宋体"/>
                      <w:szCs w:val="21"/>
                    </w:rPr>
                    <w:t>、</w:t>
                  </w:r>
                  <w:r>
                    <w:rPr>
                      <w:szCs w:val="21"/>
                    </w:rPr>
                    <w:t>NH</w:t>
                  </w:r>
                  <w:r>
                    <w:rPr>
                      <w:szCs w:val="21"/>
                      <w:vertAlign w:val="subscript"/>
                    </w:rPr>
                    <w:t>3</w:t>
                  </w:r>
                  <w:r>
                    <w:rPr>
                      <w:szCs w:val="21"/>
                    </w:rPr>
                    <w:t>-N</w:t>
                  </w:r>
                  <w:r>
                    <w:rPr>
                      <w:rFonts w:hint="eastAsia"/>
                      <w:szCs w:val="21"/>
                    </w:rPr>
                    <w:t>、</w:t>
                  </w:r>
                  <w:r>
                    <w:rPr>
                      <w:szCs w:val="21"/>
                    </w:rPr>
                    <w:t>BOD</w:t>
                  </w:r>
                  <w:r>
                    <w:rPr>
                      <w:szCs w:val="21"/>
                      <w:vertAlign w:val="subscript"/>
                    </w:rPr>
                    <w:t>5</w:t>
                  </w:r>
                  <w:r>
                    <w:rPr>
                      <w:rFonts w:hint="eastAsia"/>
                      <w:szCs w:val="21"/>
                    </w:rPr>
                    <w:t>、</w:t>
                  </w:r>
                  <w:r>
                    <w:rPr>
                      <w:szCs w:val="21"/>
                    </w:rPr>
                    <w:t>SS</w:t>
                  </w:r>
                </w:p>
              </w:tc>
              <w:tc>
                <w:tcPr>
                  <w:tcW w:w="415" w:type="pct"/>
                  <w:vAlign w:val="center"/>
                </w:tcPr>
                <w:p w14:paraId="33072667">
                  <w:pPr>
                    <w:spacing w:line="276" w:lineRule="auto"/>
                    <w:jc w:val="center"/>
                    <w:rPr>
                      <w:spacing w:val="-2"/>
                      <w:szCs w:val="21"/>
                    </w:rPr>
                  </w:pPr>
                  <w:r>
                    <w:rPr>
                      <w:rFonts w:hint="eastAsia" w:hAnsi="宋体"/>
                      <w:szCs w:val="21"/>
                    </w:rPr>
                    <w:t>毛集实验区污水处理厂</w:t>
                  </w:r>
                </w:p>
              </w:tc>
              <w:tc>
                <w:tcPr>
                  <w:tcW w:w="647" w:type="pct"/>
                  <w:vAlign w:val="center"/>
                </w:tcPr>
                <w:p w14:paraId="1DE5181B">
                  <w:pPr>
                    <w:spacing w:line="276" w:lineRule="auto"/>
                    <w:jc w:val="center"/>
                    <w:rPr>
                      <w:spacing w:val="-2"/>
                      <w:szCs w:val="21"/>
                    </w:rPr>
                  </w:pPr>
                  <w:r>
                    <w:rPr>
                      <w:rFonts w:hint="eastAsia" w:hAnsi="宋体"/>
                      <w:szCs w:val="21"/>
                    </w:rPr>
                    <w:t>间歇</w:t>
                  </w:r>
                  <w:r>
                    <w:rPr>
                      <w:rFonts w:hint="eastAsia"/>
                      <w:spacing w:val="-2"/>
                      <w:szCs w:val="21"/>
                    </w:rPr>
                    <w:t>排放，排放期间流量不稳定且无规律，但不属于冲击型排放</w:t>
                  </w:r>
                </w:p>
              </w:tc>
              <w:tc>
                <w:tcPr>
                  <w:tcW w:w="419" w:type="pct"/>
                  <w:vAlign w:val="center"/>
                </w:tcPr>
                <w:p w14:paraId="4AA75D65">
                  <w:pPr>
                    <w:spacing w:line="276" w:lineRule="auto"/>
                    <w:jc w:val="center"/>
                    <w:rPr>
                      <w:spacing w:val="-2"/>
                      <w:szCs w:val="21"/>
                    </w:rPr>
                  </w:pPr>
                  <w:r>
                    <w:rPr>
                      <w:szCs w:val="21"/>
                    </w:rPr>
                    <w:t>TW001</w:t>
                  </w:r>
                </w:p>
              </w:tc>
              <w:tc>
                <w:tcPr>
                  <w:tcW w:w="609" w:type="pct"/>
                  <w:vAlign w:val="center"/>
                </w:tcPr>
                <w:p w14:paraId="019E75DC">
                  <w:pPr>
                    <w:spacing w:line="276" w:lineRule="auto"/>
                    <w:jc w:val="center"/>
                    <w:rPr>
                      <w:spacing w:val="-2"/>
                      <w:szCs w:val="21"/>
                    </w:rPr>
                  </w:pPr>
                  <w:r>
                    <w:rPr>
                      <w:rFonts w:hint="eastAsia" w:hAnsi="宋体"/>
                      <w:szCs w:val="21"/>
                    </w:rPr>
                    <w:t>化粪池</w:t>
                  </w:r>
                </w:p>
              </w:tc>
              <w:tc>
                <w:tcPr>
                  <w:tcW w:w="456" w:type="pct"/>
                  <w:vAlign w:val="center"/>
                </w:tcPr>
                <w:p w14:paraId="618DB55F">
                  <w:pPr>
                    <w:spacing w:line="276" w:lineRule="auto"/>
                    <w:jc w:val="center"/>
                    <w:rPr>
                      <w:spacing w:val="-2"/>
                      <w:szCs w:val="21"/>
                    </w:rPr>
                  </w:pPr>
                  <w:r>
                    <w:rPr>
                      <w:rFonts w:hint="eastAsia"/>
                      <w:spacing w:val="-2"/>
                      <w:kern w:val="0"/>
                      <w:szCs w:val="21"/>
                    </w:rPr>
                    <w:t>沉淀</w:t>
                  </w:r>
                </w:p>
              </w:tc>
              <w:tc>
                <w:tcPr>
                  <w:tcW w:w="534" w:type="pct"/>
                  <w:vAlign w:val="center"/>
                </w:tcPr>
                <w:p w14:paraId="2B24F458">
                  <w:pPr>
                    <w:spacing w:line="276" w:lineRule="auto"/>
                    <w:jc w:val="center"/>
                    <w:rPr>
                      <w:spacing w:val="-2"/>
                      <w:szCs w:val="21"/>
                    </w:rPr>
                  </w:pPr>
                  <w:r>
                    <w:rPr>
                      <w:spacing w:val="-2"/>
                      <w:szCs w:val="21"/>
                    </w:rPr>
                    <w:t>DW001</w:t>
                  </w:r>
                </w:p>
              </w:tc>
              <w:tc>
                <w:tcPr>
                  <w:tcW w:w="474" w:type="pct"/>
                  <w:vAlign w:val="center"/>
                </w:tcPr>
                <w:p w14:paraId="44F667F7">
                  <w:pPr>
                    <w:spacing w:line="276" w:lineRule="auto"/>
                    <w:jc w:val="center"/>
                    <w:rPr>
                      <w:spacing w:val="-2"/>
                      <w:szCs w:val="21"/>
                    </w:rPr>
                  </w:pPr>
                  <w:r>
                    <w:rPr>
                      <w:rFonts w:hint="eastAsia"/>
                      <w:szCs w:val="21"/>
                    </w:rPr>
                    <w:t>是</w:t>
                  </w:r>
                </w:p>
              </w:tc>
              <w:tc>
                <w:tcPr>
                  <w:tcW w:w="262" w:type="pct"/>
                  <w:vAlign w:val="center"/>
                </w:tcPr>
                <w:p w14:paraId="126FD9EB">
                  <w:pPr>
                    <w:spacing w:line="276" w:lineRule="auto"/>
                    <w:jc w:val="center"/>
                    <w:rPr>
                      <w:spacing w:val="-2"/>
                      <w:szCs w:val="21"/>
                    </w:rPr>
                  </w:pPr>
                  <w:r>
                    <w:rPr>
                      <w:rFonts w:hint="eastAsia"/>
                      <w:spacing w:val="-2"/>
                      <w:szCs w:val="21"/>
                    </w:rPr>
                    <w:t>一般排放口</w:t>
                  </w:r>
                </w:p>
              </w:tc>
            </w:tr>
          </w:tbl>
          <w:p w14:paraId="0B21310E">
            <w:pPr>
              <w:spacing w:line="360" w:lineRule="auto"/>
              <w:ind w:firstLine="422" w:firstLineChars="200"/>
              <w:rPr>
                <w:b/>
                <w:szCs w:val="21"/>
              </w:rPr>
            </w:pPr>
            <w:r>
              <w:rPr>
                <w:b/>
                <w:szCs w:val="21"/>
              </w:rPr>
              <w:t>注</w:t>
            </w:r>
            <w:r>
              <w:rPr>
                <w:rFonts w:hint="eastAsia"/>
                <w:b/>
                <w:szCs w:val="21"/>
              </w:rPr>
              <w:t>：本项目不单独设置废水排放口，依托厂区内废水总排口</w:t>
            </w:r>
          </w:p>
          <w:p w14:paraId="4D1736D5">
            <w:pPr>
              <w:pStyle w:val="108"/>
              <w:adjustRightInd/>
              <w:spacing w:line="360" w:lineRule="auto"/>
              <w:ind w:firstLine="482" w:firstLineChars="200"/>
              <w:rPr>
                <w:rFonts w:hAnsi="宋体"/>
                <w:color w:val="auto"/>
              </w:rPr>
            </w:pPr>
            <w:r>
              <w:rPr>
                <w:rFonts w:hint="eastAsia"/>
                <w:b/>
                <w:color w:val="auto"/>
              </w:rPr>
              <w:t>4、接管可行性分析</w:t>
            </w:r>
          </w:p>
          <w:p w14:paraId="48EEDA4B">
            <w:pPr>
              <w:pStyle w:val="108"/>
              <w:adjustRightInd/>
              <w:spacing w:line="360" w:lineRule="auto"/>
              <w:ind w:firstLine="480" w:firstLineChars="200"/>
              <w:rPr>
                <w:rFonts w:hAnsi="宋体"/>
                <w:color w:val="auto"/>
              </w:rPr>
            </w:pPr>
            <w:r>
              <w:rPr>
                <w:rFonts w:hint="eastAsia" w:hAnsi="宋体"/>
                <w:color w:val="auto"/>
              </w:rPr>
              <w:t>①接管水质可行性分析</w:t>
            </w:r>
          </w:p>
          <w:p w14:paraId="31D963D5">
            <w:pPr>
              <w:pStyle w:val="108"/>
              <w:adjustRightInd/>
              <w:spacing w:line="360" w:lineRule="auto"/>
              <w:ind w:firstLine="480" w:firstLineChars="200"/>
              <w:rPr>
                <w:rFonts w:hAnsi="宋体"/>
                <w:color w:val="auto"/>
              </w:rPr>
            </w:pPr>
            <w:r>
              <w:rPr>
                <w:rFonts w:hint="eastAsia" w:hAnsi="宋体"/>
                <w:color w:val="auto"/>
              </w:rPr>
              <w:t>项目生活污水经化粪池处理后满足毛集实验区污水处理厂接管水质要求。接管水质可行。</w:t>
            </w:r>
          </w:p>
          <w:p w14:paraId="3305F945">
            <w:pPr>
              <w:pStyle w:val="108"/>
              <w:adjustRightInd/>
              <w:spacing w:line="360" w:lineRule="auto"/>
              <w:ind w:firstLine="480" w:firstLineChars="200"/>
              <w:rPr>
                <w:rFonts w:hAnsi="宋体"/>
                <w:color w:val="auto"/>
              </w:rPr>
            </w:pPr>
            <w:r>
              <w:rPr>
                <w:rFonts w:hint="eastAsia" w:hAnsi="宋体"/>
                <w:color w:val="auto"/>
              </w:rPr>
              <w:t>②接管水量可行</w:t>
            </w:r>
          </w:p>
          <w:p w14:paraId="3AF49197">
            <w:pPr>
              <w:pStyle w:val="108"/>
              <w:adjustRightInd/>
              <w:spacing w:line="360" w:lineRule="auto"/>
              <w:ind w:firstLine="480" w:firstLineChars="200"/>
              <w:rPr>
                <w:rFonts w:hAnsi="宋体"/>
                <w:color w:val="auto"/>
              </w:rPr>
            </w:pPr>
            <w:r>
              <w:rPr>
                <w:rFonts w:hint="eastAsia"/>
                <w:color w:val="auto"/>
              </w:rPr>
              <w:t>毛集实验区污水处理厂现状</w:t>
            </w:r>
            <w:r>
              <w:rPr>
                <w:rFonts w:hint="eastAsia"/>
                <w:snapToGrid w:val="0"/>
                <w:color w:val="auto"/>
              </w:rPr>
              <w:t>污水处理规模能够达到1.5万m</w:t>
            </w:r>
            <w:r>
              <w:rPr>
                <w:rFonts w:hint="eastAsia"/>
                <w:snapToGrid w:val="0"/>
                <w:color w:val="auto"/>
                <w:vertAlign w:val="superscript"/>
              </w:rPr>
              <w:t>3</w:t>
            </w:r>
            <w:r>
              <w:rPr>
                <w:rFonts w:hint="eastAsia"/>
                <w:snapToGrid w:val="0"/>
                <w:color w:val="auto"/>
              </w:rPr>
              <w:t>/d，本项目建成后废水排放量为1.44m</w:t>
            </w:r>
            <w:r>
              <w:rPr>
                <w:rFonts w:hint="eastAsia"/>
                <w:snapToGrid w:val="0"/>
                <w:color w:val="auto"/>
                <w:vertAlign w:val="superscript"/>
              </w:rPr>
              <w:t>3</w:t>
            </w:r>
            <w:r>
              <w:rPr>
                <w:rFonts w:hint="eastAsia"/>
                <w:snapToGrid w:val="0"/>
                <w:color w:val="auto"/>
              </w:rPr>
              <w:t>/d，占设计总处理能力的0.0096%，水量较小，不会对污水处理厂产生较大冲击。</w:t>
            </w:r>
          </w:p>
          <w:p w14:paraId="2CCF432E">
            <w:pPr>
              <w:pStyle w:val="108"/>
              <w:adjustRightInd/>
              <w:spacing w:line="360" w:lineRule="auto"/>
              <w:ind w:firstLine="480" w:firstLineChars="200"/>
              <w:rPr>
                <w:rFonts w:hAnsi="宋体"/>
                <w:color w:val="auto"/>
              </w:rPr>
            </w:pPr>
            <w:r>
              <w:rPr>
                <w:rFonts w:hint="eastAsia" w:hAnsi="宋体"/>
                <w:color w:val="auto"/>
              </w:rPr>
              <w:t>③收水范围可行性分析</w:t>
            </w:r>
          </w:p>
          <w:p w14:paraId="4D08F226">
            <w:pPr>
              <w:pStyle w:val="108"/>
              <w:adjustRightInd/>
              <w:spacing w:line="360" w:lineRule="auto"/>
              <w:ind w:firstLine="480" w:firstLineChars="200"/>
              <w:rPr>
                <w:color w:val="auto"/>
              </w:rPr>
            </w:pPr>
            <w:r>
              <w:rPr>
                <w:rFonts w:hAnsi="宋体"/>
                <w:color w:val="auto"/>
              </w:rPr>
              <w:t>项目所在地位于</w:t>
            </w:r>
            <w:r>
              <w:rPr>
                <w:rFonts w:hint="eastAsia"/>
                <w:color w:val="auto"/>
              </w:rPr>
              <w:t>安徽省毛集经济开发区工业城2号楼1层和3层</w:t>
            </w:r>
            <w:r>
              <w:rPr>
                <w:rFonts w:hAnsi="宋体"/>
                <w:color w:val="auto"/>
              </w:rPr>
              <w:t>。项目所在区域在毛集实验区污水处理厂收水范围内，且毛集实验区污水处理厂现已投产运行，项目区域管网已铺设到位。建设项目废水可接管进入市政污水管网</w:t>
            </w:r>
            <w:r>
              <w:rPr>
                <w:rFonts w:hint="eastAsia" w:hAnsi="宋体"/>
                <w:color w:val="auto"/>
              </w:rPr>
              <w:t>。</w:t>
            </w:r>
          </w:p>
          <w:p w14:paraId="1C9B81EC">
            <w:pPr>
              <w:spacing w:line="360" w:lineRule="auto"/>
              <w:ind w:firstLine="482" w:firstLineChars="200"/>
              <w:rPr>
                <w:b/>
                <w:sz w:val="24"/>
              </w:rPr>
            </w:pPr>
            <w:r>
              <w:rPr>
                <w:rFonts w:hint="eastAsia"/>
                <w:b/>
                <w:sz w:val="24"/>
              </w:rPr>
              <w:t>5、环境监测计划</w:t>
            </w:r>
          </w:p>
          <w:p w14:paraId="5B0BD50A">
            <w:pPr>
              <w:pStyle w:val="108"/>
              <w:adjustRightInd/>
              <w:spacing w:line="360" w:lineRule="auto"/>
              <w:ind w:firstLine="480" w:firstLineChars="200"/>
              <w:jc w:val="both"/>
              <w:rPr>
                <w:color w:val="auto"/>
              </w:rPr>
            </w:pPr>
            <w:r>
              <w:rPr>
                <w:rFonts w:hint="eastAsia"/>
                <w:color w:val="auto"/>
              </w:rPr>
              <w:t>参照《排污单位自行监测技术指南 橡胶和塑料制品》（HJ1207-2021）、《排污单位自行监测技术指南 总则》（HJ819-2017）。项目生活污水间接排放无需进行现状监测。</w:t>
            </w:r>
          </w:p>
          <w:p w14:paraId="2705BF4F">
            <w:pPr>
              <w:spacing w:line="360" w:lineRule="auto"/>
              <w:ind w:firstLine="482" w:firstLineChars="200"/>
              <w:jc w:val="left"/>
              <w:rPr>
                <w:b/>
                <w:snapToGrid w:val="0"/>
                <w:kern w:val="0"/>
                <w:sz w:val="24"/>
              </w:rPr>
            </w:pPr>
            <w:r>
              <w:rPr>
                <w:rFonts w:hint="eastAsia"/>
                <w:b/>
                <w:snapToGrid w:val="0"/>
                <w:kern w:val="0"/>
                <w:sz w:val="24"/>
              </w:rPr>
              <w:t>三、</w:t>
            </w:r>
            <w:r>
              <w:rPr>
                <w:rFonts w:hAnsi="宋体"/>
                <w:b/>
                <w:snapToGrid w:val="0"/>
                <w:kern w:val="0"/>
                <w:sz w:val="24"/>
              </w:rPr>
              <w:t>噪声源强</w:t>
            </w:r>
            <w:r>
              <w:rPr>
                <w:rFonts w:hint="eastAsia"/>
                <w:b/>
                <w:bCs/>
                <w:sz w:val="24"/>
                <w:szCs w:val="28"/>
              </w:rPr>
              <w:t>及环境影响和污染防治措施</w:t>
            </w:r>
          </w:p>
          <w:p w14:paraId="0E484A71">
            <w:pPr>
              <w:spacing w:line="360" w:lineRule="auto"/>
              <w:ind w:firstLine="482" w:firstLineChars="200"/>
              <w:rPr>
                <w:b/>
                <w:sz w:val="24"/>
              </w:rPr>
            </w:pPr>
            <w:r>
              <w:rPr>
                <w:rFonts w:hint="eastAsia"/>
                <w:b/>
                <w:sz w:val="24"/>
              </w:rPr>
              <w:t>1、噪声源强</w:t>
            </w:r>
          </w:p>
          <w:p w14:paraId="0CAFD430">
            <w:pPr>
              <w:spacing w:line="360" w:lineRule="auto"/>
              <w:ind w:firstLine="480" w:firstLineChars="200"/>
              <w:rPr>
                <w:sz w:val="24"/>
              </w:rPr>
            </w:pPr>
            <w:r>
              <w:rPr>
                <w:rFonts w:hint="eastAsia"/>
                <w:sz w:val="24"/>
              </w:rPr>
              <w:t>本项目营运期噪声源主要为生产设备等运行时产生的噪声，项目的设备噪声强度见下表。</w:t>
            </w:r>
          </w:p>
          <w:p w14:paraId="76670962">
            <w:pPr>
              <w:spacing w:line="360" w:lineRule="auto"/>
              <w:jc w:val="center"/>
              <w:rPr>
                <w:rFonts w:eastAsia="黑体"/>
                <w:szCs w:val="21"/>
              </w:rPr>
            </w:pPr>
            <w:r>
              <w:rPr>
                <w:rFonts w:hint="eastAsia" w:hAnsi="黑体" w:eastAsia="黑体"/>
                <w:sz w:val="24"/>
                <w:szCs w:val="24"/>
              </w:rPr>
              <w:t>表45  工业企业噪声源强调查清单（室外声源）</w:t>
            </w:r>
          </w:p>
          <w:tbl>
            <w:tblPr>
              <w:tblStyle w:val="34"/>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60"/>
              <w:gridCol w:w="709"/>
              <w:gridCol w:w="763"/>
              <w:gridCol w:w="636"/>
              <w:gridCol w:w="737"/>
              <w:gridCol w:w="1982"/>
              <w:gridCol w:w="1982"/>
              <w:gridCol w:w="880"/>
            </w:tblGrid>
            <w:tr w14:paraId="5A2E41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83" w:type="pct"/>
                  <w:vMerge w:val="restart"/>
                  <w:vAlign w:val="center"/>
                </w:tcPr>
                <w:p w14:paraId="2B09179A">
                  <w:pPr>
                    <w:spacing w:before="100" w:beforeAutospacing="1" w:after="100" w:afterAutospacing="1" w:line="276" w:lineRule="auto"/>
                    <w:jc w:val="center"/>
                    <w:rPr>
                      <w:b/>
                      <w:szCs w:val="21"/>
                    </w:rPr>
                  </w:pPr>
                  <w:r>
                    <w:rPr>
                      <w:rFonts w:hint="eastAsia"/>
                      <w:b/>
                      <w:szCs w:val="21"/>
                    </w:rPr>
                    <w:t>序号</w:t>
                  </w:r>
                </w:p>
              </w:tc>
              <w:tc>
                <w:tcPr>
                  <w:tcW w:w="435" w:type="pct"/>
                  <w:vMerge w:val="restart"/>
                  <w:vAlign w:val="center"/>
                </w:tcPr>
                <w:p w14:paraId="16D676A0">
                  <w:pPr>
                    <w:spacing w:before="100" w:beforeAutospacing="1" w:after="100" w:afterAutospacing="1" w:line="276" w:lineRule="auto"/>
                    <w:jc w:val="center"/>
                    <w:rPr>
                      <w:b/>
                      <w:szCs w:val="21"/>
                    </w:rPr>
                  </w:pPr>
                  <w:r>
                    <w:rPr>
                      <w:rFonts w:hint="eastAsia"/>
                      <w:b/>
                      <w:szCs w:val="21"/>
                    </w:rPr>
                    <w:t>声源名称</w:t>
                  </w:r>
                </w:p>
              </w:tc>
              <w:tc>
                <w:tcPr>
                  <w:tcW w:w="1310" w:type="pct"/>
                  <w:gridSpan w:val="3"/>
                  <w:vAlign w:val="center"/>
                </w:tcPr>
                <w:p w14:paraId="203299F8">
                  <w:pPr>
                    <w:spacing w:before="100" w:beforeAutospacing="1" w:after="100" w:afterAutospacing="1" w:line="276" w:lineRule="auto"/>
                    <w:jc w:val="center"/>
                    <w:rPr>
                      <w:b/>
                      <w:szCs w:val="21"/>
                    </w:rPr>
                  </w:pPr>
                  <w:r>
                    <w:rPr>
                      <w:rFonts w:hint="eastAsia"/>
                      <w:b/>
                      <w:szCs w:val="21"/>
                    </w:rPr>
                    <w:t>空间相对位置</w:t>
                  </w:r>
                  <w:r>
                    <w:rPr>
                      <w:b/>
                      <w:szCs w:val="21"/>
                    </w:rPr>
                    <w:t>/m</w:t>
                  </w:r>
                </w:p>
              </w:tc>
              <w:tc>
                <w:tcPr>
                  <w:tcW w:w="1216" w:type="pct"/>
                  <w:vAlign w:val="center"/>
                </w:tcPr>
                <w:p w14:paraId="550186E1">
                  <w:pPr>
                    <w:spacing w:before="100" w:beforeAutospacing="1" w:after="100" w:afterAutospacing="1" w:line="276" w:lineRule="auto"/>
                    <w:jc w:val="center"/>
                    <w:rPr>
                      <w:b/>
                      <w:szCs w:val="21"/>
                    </w:rPr>
                  </w:pPr>
                  <w:r>
                    <w:rPr>
                      <w:rFonts w:hint="eastAsia"/>
                      <w:b/>
                      <w:szCs w:val="21"/>
                    </w:rPr>
                    <w:t>声源源强</w:t>
                  </w:r>
                </w:p>
              </w:tc>
              <w:tc>
                <w:tcPr>
                  <w:tcW w:w="1216" w:type="pct"/>
                  <w:vMerge w:val="restart"/>
                  <w:vAlign w:val="center"/>
                </w:tcPr>
                <w:p w14:paraId="3028213A">
                  <w:pPr>
                    <w:spacing w:before="100" w:beforeAutospacing="1" w:after="100" w:afterAutospacing="1" w:line="276" w:lineRule="auto"/>
                    <w:jc w:val="center"/>
                    <w:rPr>
                      <w:b/>
                      <w:szCs w:val="21"/>
                    </w:rPr>
                  </w:pPr>
                  <w:r>
                    <w:rPr>
                      <w:rFonts w:hint="eastAsia"/>
                      <w:b/>
                      <w:szCs w:val="21"/>
                    </w:rPr>
                    <w:t>声源控制措施</w:t>
                  </w:r>
                </w:p>
              </w:tc>
              <w:tc>
                <w:tcPr>
                  <w:tcW w:w="540" w:type="pct"/>
                  <w:vMerge w:val="restart"/>
                  <w:vAlign w:val="center"/>
                </w:tcPr>
                <w:p w14:paraId="0BDEA021">
                  <w:pPr>
                    <w:spacing w:before="100" w:beforeAutospacing="1" w:after="100" w:afterAutospacing="1" w:line="276" w:lineRule="auto"/>
                    <w:jc w:val="center"/>
                    <w:rPr>
                      <w:b/>
                      <w:szCs w:val="21"/>
                    </w:rPr>
                  </w:pPr>
                  <w:r>
                    <w:rPr>
                      <w:rFonts w:hint="eastAsia"/>
                      <w:b/>
                      <w:szCs w:val="21"/>
                    </w:rPr>
                    <w:t>运行时段</w:t>
                  </w:r>
                </w:p>
              </w:tc>
            </w:tr>
            <w:tr w14:paraId="3C1229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0" w:type="auto"/>
                  <w:vMerge w:val="continue"/>
                  <w:vAlign w:val="center"/>
                </w:tcPr>
                <w:p w14:paraId="41E8B6B4">
                  <w:pPr>
                    <w:widowControl/>
                    <w:spacing w:line="276" w:lineRule="auto"/>
                    <w:jc w:val="left"/>
                    <w:rPr>
                      <w:b/>
                      <w:szCs w:val="21"/>
                    </w:rPr>
                  </w:pPr>
                </w:p>
              </w:tc>
              <w:tc>
                <w:tcPr>
                  <w:tcW w:w="0" w:type="auto"/>
                  <w:vMerge w:val="continue"/>
                  <w:vAlign w:val="center"/>
                </w:tcPr>
                <w:p w14:paraId="470EC77C">
                  <w:pPr>
                    <w:widowControl/>
                    <w:spacing w:line="276" w:lineRule="auto"/>
                    <w:jc w:val="left"/>
                    <w:rPr>
                      <w:b/>
                      <w:szCs w:val="21"/>
                    </w:rPr>
                  </w:pPr>
                </w:p>
              </w:tc>
              <w:tc>
                <w:tcPr>
                  <w:tcW w:w="468" w:type="pct"/>
                  <w:vAlign w:val="center"/>
                </w:tcPr>
                <w:p w14:paraId="50247C35">
                  <w:pPr>
                    <w:spacing w:before="100" w:beforeAutospacing="1" w:after="100" w:afterAutospacing="1" w:line="276" w:lineRule="auto"/>
                    <w:jc w:val="center"/>
                    <w:rPr>
                      <w:b/>
                      <w:szCs w:val="21"/>
                    </w:rPr>
                  </w:pPr>
                  <w:r>
                    <w:rPr>
                      <w:b/>
                      <w:szCs w:val="21"/>
                    </w:rPr>
                    <w:t>X</w:t>
                  </w:r>
                </w:p>
              </w:tc>
              <w:tc>
                <w:tcPr>
                  <w:tcW w:w="390" w:type="pct"/>
                  <w:vAlign w:val="center"/>
                </w:tcPr>
                <w:p w14:paraId="0C1C12FE">
                  <w:pPr>
                    <w:spacing w:before="100" w:beforeAutospacing="1" w:after="100" w:afterAutospacing="1" w:line="276" w:lineRule="auto"/>
                    <w:jc w:val="center"/>
                    <w:rPr>
                      <w:b/>
                      <w:szCs w:val="21"/>
                    </w:rPr>
                  </w:pPr>
                  <w:r>
                    <w:rPr>
                      <w:b/>
                      <w:szCs w:val="21"/>
                    </w:rPr>
                    <w:t>Y</w:t>
                  </w:r>
                </w:p>
              </w:tc>
              <w:tc>
                <w:tcPr>
                  <w:tcW w:w="452" w:type="pct"/>
                  <w:vAlign w:val="center"/>
                </w:tcPr>
                <w:p w14:paraId="49809552">
                  <w:pPr>
                    <w:spacing w:before="100" w:beforeAutospacing="1" w:after="100" w:afterAutospacing="1" w:line="276" w:lineRule="auto"/>
                    <w:jc w:val="center"/>
                    <w:rPr>
                      <w:b/>
                      <w:szCs w:val="21"/>
                    </w:rPr>
                  </w:pPr>
                  <w:r>
                    <w:rPr>
                      <w:b/>
                      <w:szCs w:val="21"/>
                    </w:rPr>
                    <w:t>Z</w:t>
                  </w:r>
                </w:p>
              </w:tc>
              <w:tc>
                <w:tcPr>
                  <w:tcW w:w="1216" w:type="pct"/>
                  <w:vAlign w:val="center"/>
                </w:tcPr>
                <w:p w14:paraId="0440A435">
                  <w:pPr>
                    <w:spacing w:before="100" w:beforeAutospacing="1" w:after="100" w:afterAutospacing="1" w:line="276" w:lineRule="auto"/>
                    <w:jc w:val="center"/>
                    <w:rPr>
                      <w:b/>
                      <w:szCs w:val="21"/>
                    </w:rPr>
                  </w:pPr>
                  <w:r>
                    <w:rPr>
                      <w:rFonts w:hint="eastAsia"/>
                      <w:b/>
                      <w:szCs w:val="21"/>
                    </w:rPr>
                    <w:t>声压级</w:t>
                  </w:r>
                  <w:r>
                    <w:rPr>
                      <w:b/>
                      <w:szCs w:val="21"/>
                    </w:rPr>
                    <w:t>/dB</w:t>
                  </w:r>
                  <w:r>
                    <w:rPr>
                      <w:rFonts w:hint="eastAsia"/>
                      <w:b/>
                      <w:szCs w:val="21"/>
                    </w:rPr>
                    <w:t>（</w:t>
                  </w:r>
                  <w:r>
                    <w:rPr>
                      <w:b/>
                      <w:szCs w:val="21"/>
                    </w:rPr>
                    <w:t>A</w:t>
                  </w:r>
                  <w:r>
                    <w:rPr>
                      <w:rFonts w:hint="eastAsia"/>
                      <w:b/>
                      <w:szCs w:val="21"/>
                    </w:rPr>
                    <w:t>）</w:t>
                  </w:r>
                </w:p>
              </w:tc>
              <w:tc>
                <w:tcPr>
                  <w:tcW w:w="0" w:type="auto"/>
                  <w:vMerge w:val="continue"/>
                  <w:vAlign w:val="center"/>
                </w:tcPr>
                <w:p w14:paraId="231FD36B">
                  <w:pPr>
                    <w:widowControl/>
                    <w:spacing w:line="276" w:lineRule="auto"/>
                    <w:jc w:val="left"/>
                    <w:rPr>
                      <w:b/>
                      <w:szCs w:val="21"/>
                    </w:rPr>
                  </w:pPr>
                </w:p>
              </w:tc>
              <w:tc>
                <w:tcPr>
                  <w:tcW w:w="0" w:type="auto"/>
                  <w:vMerge w:val="continue"/>
                  <w:vAlign w:val="center"/>
                </w:tcPr>
                <w:p w14:paraId="47FAA2A9">
                  <w:pPr>
                    <w:widowControl/>
                    <w:spacing w:line="276" w:lineRule="auto"/>
                    <w:jc w:val="left"/>
                    <w:rPr>
                      <w:b/>
                      <w:szCs w:val="21"/>
                    </w:rPr>
                  </w:pPr>
                </w:p>
              </w:tc>
            </w:tr>
            <w:tr w14:paraId="184C04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283" w:type="pct"/>
                  <w:vAlign w:val="center"/>
                </w:tcPr>
                <w:p w14:paraId="46CECBC9">
                  <w:pPr>
                    <w:spacing w:before="100" w:beforeAutospacing="1" w:after="100" w:afterAutospacing="1" w:line="276" w:lineRule="auto"/>
                    <w:jc w:val="center"/>
                    <w:rPr>
                      <w:szCs w:val="21"/>
                    </w:rPr>
                  </w:pPr>
                  <w:r>
                    <w:rPr>
                      <w:szCs w:val="21"/>
                    </w:rPr>
                    <w:t>1</w:t>
                  </w:r>
                </w:p>
              </w:tc>
              <w:tc>
                <w:tcPr>
                  <w:tcW w:w="435" w:type="pct"/>
                  <w:vAlign w:val="center"/>
                </w:tcPr>
                <w:p w14:paraId="73F1FCAB">
                  <w:pPr>
                    <w:spacing w:before="100" w:beforeAutospacing="1" w:after="100" w:afterAutospacing="1" w:line="276" w:lineRule="auto"/>
                    <w:jc w:val="center"/>
                    <w:rPr>
                      <w:szCs w:val="21"/>
                    </w:rPr>
                  </w:pPr>
                  <w:r>
                    <w:rPr>
                      <w:rFonts w:hint="eastAsia"/>
                      <w:szCs w:val="21"/>
                    </w:rPr>
                    <w:t>风机</w:t>
                  </w:r>
                </w:p>
              </w:tc>
              <w:tc>
                <w:tcPr>
                  <w:tcW w:w="468" w:type="pct"/>
                  <w:vAlign w:val="center"/>
                </w:tcPr>
                <w:p w14:paraId="6ED9F45D">
                  <w:pPr>
                    <w:spacing w:before="100" w:beforeAutospacing="1" w:after="100" w:afterAutospacing="1" w:line="276" w:lineRule="auto"/>
                    <w:jc w:val="center"/>
                    <w:rPr>
                      <w:szCs w:val="21"/>
                    </w:rPr>
                  </w:pPr>
                  <w:r>
                    <w:rPr>
                      <w:rFonts w:hint="eastAsia"/>
                      <w:szCs w:val="21"/>
                    </w:rPr>
                    <w:t>3</w:t>
                  </w:r>
                </w:p>
              </w:tc>
              <w:tc>
                <w:tcPr>
                  <w:tcW w:w="390" w:type="pct"/>
                  <w:vAlign w:val="center"/>
                </w:tcPr>
                <w:p w14:paraId="676CE5FC">
                  <w:pPr>
                    <w:spacing w:before="100" w:beforeAutospacing="1" w:after="100" w:afterAutospacing="1" w:line="276" w:lineRule="auto"/>
                    <w:jc w:val="center"/>
                    <w:rPr>
                      <w:szCs w:val="21"/>
                    </w:rPr>
                  </w:pPr>
                  <w:r>
                    <w:rPr>
                      <w:rFonts w:hint="eastAsia"/>
                      <w:szCs w:val="21"/>
                    </w:rPr>
                    <w:t>35</w:t>
                  </w:r>
                </w:p>
              </w:tc>
              <w:tc>
                <w:tcPr>
                  <w:tcW w:w="452" w:type="pct"/>
                  <w:vAlign w:val="center"/>
                </w:tcPr>
                <w:p w14:paraId="16654383">
                  <w:pPr>
                    <w:spacing w:before="100" w:beforeAutospacing="1" w:after="100" w:afterAutospacing="1" w:line="276" w:lineRule="auto"/>
                    <w:jc w:val="center"/>
                    <w:rPr>
                      <w:szCs w:val="21"/>
                    </w:rPr>
                  </w:pPr>
                  <w:r>
                    <w:rPr>
                      <w:rFonts w:hint="eastAsia"/>
                      <w:szCs w:val="21"/>
                    </w:rPr>
                    <w:t>15</w:t>
                  </w:r>
                </w:p>
              </w:tc>
              <w:tc>
                <w:tcPr>
                  <w:tcW w:w="1216" w:type="pct"/>
                  <w:vAlign w:val="center"/>
                </w:tcPr>
                <w:p w14:paraId="4ED87CBF">
                  <w:pPr>
                    <w:spacing w:before="100" w:beforeAutospacing="1" w:after="100" w:afterAutospacing="1" w:line="276" w:lineRule="auto"/>
                    <w:jc w:val="center"/>
                    <w:rPr>
                      <w:szCs w:val="21"/>
                    </w:rPr>
                  </w:pPr>
                  <w:r>
                    <w:rPr>
                      <w:rFonts w:hint="eastAsia"/>
                      <w:szCs w:val="21"/>
                    </w:rPr>
                    <w:t>85</w:t>
                  </w:r>
                </w:p>
              </w:tc>
              <w:tc>
                <w:tcPr>
                  <w:tcW w:w="1216" w:type="pct"/>
                  <w:vAlign w:val="center"/>
                </w:tcPr>
                <w:p w14:paraId="33999543">
                  <w:pPr>
                    <w:spacing w:before="100" w:beforeAutospacing="1" w:after="100" w:afterAutospacing="1" w:line="276" w:lineRule="auto"/>
                    <w:jc w:val="center"/>
                    <w:rPr>
                      <w:szCs w:val="21"/>
                    </w:rPr>
                  </w:pPr>
                  <w:r>
                    <w:rPr>
                      <w:rFonts w:hint="eastAsia"/>
                      <w:szCs w:val="21"/>
                    </w:rPr>
                    <w:t>减振、消声</w:t>
                  </w:r>
                </w:p>
              </w:tc>
              <w:tc>
                <w:tcPr>
                  <w:tcW w:w="540" w:type="pct"/>
                  <w:vAlign w:val="center"/>
                </w:tcPr>
                <w:p w14:paraId="04799369">
                  <w:pPr>
                    <w:spacing w:before="100" w:beforeAutospacing="1" w:after="100" w:afterAutospacing="1" w:line="276" w:lineRule="auto"/>
                    <w:jc w:val="center"/>
                    <w:rPr>
                      <w:szCs w:val="21"/>
                    </w:rPr>
                  </w:pPr>
                  <w:r>
                    <w:rPr>
                      <w:rFonts w:hint="eastAsia"/>
                      <w:szCs w:val="21"/>
                    </w:rPr>
                    <w:t>10</w:t>
                  </w:r>
                  <w:r>
                    <w:rPr>
                      <w:szCs w:val="21"/>
                    </w:rPr>
                    <w:t>h</w:t>
                  </w:r>
                </w:p>
              </w:tc>
            </w:tr>
          </w:tbl>
          <w:p w14:paraId="2590AD53">
            <w:pPr>
              <w:spacing w:line="360" w:lineRule="auto"/>
              <w:jc w:val="center"/>
              <w:rPr>
                <w:rFonts w:eastAsia="黑体"/>
                <w:szCs w:val="21"/>
              </w:rPr>
            </w:pPr>
            <w:r>
              <w:rPr>
                <w:rFonts w:hint="eastAsia" w:hAnsi="黑体" w:eastAsia="黑体"/>
                <w:sz w:val="24"/>
                <w:szCs w:val="24"/>
              </w:rPr>
              <w:t>表46  工业企业噪声源强调查清单（室内声源）</w:t>
            </w:r>
          </w:p>
          <w:tbl>
            <w:tblPr>
              <w:tblStyle w:val="3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30"/>
              <w:gridCol w:w="859"/>
              <w:gridCol w:w="1433"/>
              <w:gridCol w:w="1130"/>
              <w:gridCol w:w="957"/>
              <w:gridCol w:w="884"/>
              <w:gridCol w:w="708"/>
              <w:gridCol w:w="1007"/>
              <w:gridCol w:w="641"/>
            </w:tblGrid>
            <w:tr w14:paraId="58112A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6" w:type="pct"/>
                  <w:vMerge w:val="restart"/>
                  <w:vAlign w:val="center"/>
                </w:tcPr>
                <w:p w14:paraId="55B71796">
                  <w:pPr>
                    <w:spacing w:line="276" w:lineRule="auto"/>
                    <w:jc w:val="center"/>
                    <w:rPr>
                      <w:b/>
                      <w:szCs w:val="21"/>
                    </w:rPr>
                  </w:pPr>
                  <w:r>
                    <w:rPr>
                      <w:rFonts w:hint="eastAsia" w:hAnsi="宋体"/>
                      <w:b/>
                      <w:szCs w:val="21"/>
                    </w:rPr>
                    <w:t>序号</w:t>
                  </w:r>
                </w:p>
              </w:tc>
              <w:tc>
                <w:tcPr>
                  <w:tcW w:w="527" w:type="pct"/>
                  <w:vMerge w:val="restart"/>
                  <w:vAlign w:val="center"/>
                </w:tcPr>
                <w:p w14:paraId="106978AD">
                  <w:pPr>
                    <w:spacing w:line="276" w:lineRule="auto"/>
                    <w:jc w:val="center"/>
                    <w:rPr>
                      <w:rFonts w:hAnsi="宋体"/>
                      <w:b/>
                      <w:szCs w:val="21"/>
                    </w:rPr>
                  </w:pPr>
                  <w:r>
                    <w:rPr>
                      <w:rFonts w:hint="eastAsia" w:hAnsi="宋体"/>
                      <w:b/>
                      <w:szCs w:val="21"/>
                    </w:rPr>
                    <w:t>建筑物名称</w:t>
                  </w:r>
                </w:p>
              </w:tc>
              <w:tc>
                <w:tcPr>
                  <w:tcW w:w="879" w:type="pct"/>
                  <w:vMerge w:val="restart"/>
                  <w:vAlign w:val="center"/>
                </w:tcPr>
                <w:p w14:paraId="1ED06C46">
                  <w:pPr>
                    <w:spacing w:line="276" w:lineRule="auto"/>
                    <w:jc w:val="center"/>
                    <w:rPr>
                      <w:b/>
                      <w:szCs w:val="21"/>
                    </w:rPr>
                  </w:pPr>
                  <w:r>
                    <w:rPr>
                      <w:rFonts w:hint="eastAsia" w:hAnsi="宋体"/>
                      <w:b/>
                      <w:szCs w:val="21"/>
                    </w:rPr>
                    <w:t>声源名称</w:t>
                  </w:r>
                </w:p>
              </w:tc>
              <w:tc>
                <w:tcPr>
                  <w:tcW w:w="693" w:type="pct"/>
                  <w:vAlign w:val="center"/>
                </w:tcPr>
                <w:p w14:paraId="6E146B6B">
                  <w:pPr>
                    <w:spacing w:line="276" w:lineRule="auto"/>
                    <w:jc w:val="center"/>
                    <w:rPr>
                      <w:b/>
                      <w:szCs w:val="21"/>
                    </w:rPr>
                  </w:pPr>
                  <w:r>
                    <w:rPr>
                      <w:rFonts w:hint="eastAsia"/>
                      <w:b/>
                      <w:szCs w:val="21"/>
                    </w:rPr>
                    <w:t>声源源强</w:t>
                  </w:r>
                </w:p>
              </w:tc>
              <w:tc>
                <w:tcPr>
                  <w:tcW w:w="587" w:type="pct"/>
                  <w:vMerge w:val="restart"/>
                  <w:vAlign w:val="center"/>
                </w:tcPr>
                <w:p w14:paraId="0D3103A1">
                  <w:pPr>
                    <w:spacing w:line="276" w:lineRule="auto"/>
                    <w:jc w:val="center"/>
                    <w:rPr>
                      <w:rFonts w:hAnsi="宋体"/>
                      <w:b/>
                      <w:szCs w:val="21"/>
                    </w:rPr>
                  </w:pPr>
                  <w:r>
                    <w:rPr>
                      <w:rFonts w:hint="eastAsia" w:hAnsi="宋体"/>
                      <w:b/>
                      <w:szCs w:val="21"/>
                    </w:rPr>
                    <w:t>声源控制措施</w:t>
                  </w:r>
                </w:p>
              </w:tc>
              <w:tc>
                <w:tcPr>
                  <w:tcW w:w="1594" w:type="pct"/>
                  <w:gridSpan w:val="3"/>
                  <w:vAlign w:val="center"/>
                </w:tcPr>
                <w:p w14:paraId="78505719">
                  <w:pPr>
                    <w:spacing w:line="276" w:lineRule="auto"/>
                    <w:jc w:val="center"/>
                    <w:rPr>
                      <w:b/>
                      <w:szCs w:val="21"/>
                    </w:rPr>
                  </w:pPr>
                  <w:r>
                    <w:rPr>
                      <w:rFonts w:hint="eastAsia" w:hAnsi="宋体"/>
                      <w:b/>
                      <w:szCs w:val="21"/>
                    </w:rPr>
                    <w:t>空间相对位置</w:t>
                  </w:r>
                  <w:r>
                    <w:rPr>
                      <w:rFonts w:hAnsi="宋体"/>
                      <w:b/>
                      <w:szCs w:val="21"/>
                    </w:rPr>
                    <w:t>/m</w:t>
                  </w:r>
                </w:p>
              </w:tc>
              <w:tc>
                <w:tcPr>
                  <w:tcW w:w="393" w:type="pct"/>
                  <w:vMerge w:val="restart"/>
                  <w:vAlign w:val="center"/>
                </w:tcPr>
                <w:p w14:paraId="01A30FAA">
                  <w:pPr>
                    <w:spacing w:line="276" w:lineRule="auto"/>
                    <w:jc w:val="center"/>
                    <w:rPr>
                      <w:b/>
                      <w:szCs w:val="21"/>
                    </w:rPr>
                  </w:pPr>
                  <w:r>
                    <w:rPr>
                      <w:rFonts w:hint="eastAsia"/>
                      <w:b/>
                      <w:szCs w:val="21"/>
                    </w:rPr>
                    <w:t>运行时段</w:t>
                  </w:r>
                </w:p>
              </w:tc>
            </w:tr>
            <w:tr w14:paraId="64583D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 w:hRule="atLeast"/>
                <w:jc w:val="center"/>
              </w:trPr>
              <w:tc>
                <w:tcPr>
                  <w:tcW w:w="0" w:type="auto"/>
                  <w:vMerge w:val="continue"/>
                  <w:vAlign w:val="center"/>
                </w:tcPr>
                <w:p w14:paraId="02761B8B">
                  <w:pPr>
                    <w:widowControl/>
                    <w:spacing w:line="276" w:lineRule="auto"/>
                    <w:jc w:val="left"/>
                    <w:rPr>
                      <w:b/>
                      <w:szCs w:val="21"/>
                    </w:rPr>
                  </w:pPr>
                </w:p>
              </w:tc>
              <w:tc>
                <w:tcPr>
                  <w:tcW w:w="527" w:type="pct"/>
                  <w:vMerge w:val="continue"/>
                  <w:vAlign w:val="center"/>
                </w:tcPr>
                <w:p w14:paraId="2EB18777">
                  <w:pPr>
                    <w:widowControl/>
                    <w:spacing w:line="276" w:lineRule="auto"/>
                    <w:jc w:val="left"/>
                    <w:rPr>
                      <w:rFonts w:hAnsi="宋体"/>
                      <w:b/>
                      <w:szCs w:val="21"/>
                    </w:rPr>
                  </w:pPr>
                </w:p>
              </w:tc>
              <w:tc>
                <w:tcPr>
                  <w:tcW w:w="879" w:type="pct"/>
                  <w:vMerge w:val="continue"/>
                  <w:vAlign w:val="center"/>
                </w:tcPr>
                <w:p w14:paraId="78DE1310">
                  <w:pPr>
                    <w:widowControl/>
                    <w:spacing w:line="276" w:lineRule="auto"/>
                    <w:jc w:val="left"/>
                    <w:rPr>
                      <w:b/>
                      <w:szCs w:val="21"/>
                    </w:rPr>
                  </w:pPr>
                </w:p>
              </w:tc>
              <w:tc>
                <w:tcPr>
                  <w:tcW w:w="693" w:type="pct"/>
                  <w:vAlign w:val="center"/>
                </w:tcPr>
                <w:p w14:paraId="06F52FC0">
                  <w:pPr>
                    <w:spacing w:line="276" w:lineRule="auto"/>
                    <w:jc w:val="center"/>
                    <w:rPr>
                      <w:b/>
                      <w:szCs w:val="21"/>
                    </w:rPr>
                  </w:pPr>
                  <w:r>
                    <w:rPr>
                      <w:rFonts w:hint="eastAsia"/>
                      <w:b/>
                      <w:szCs w:val="21"/>
                    </w:rPr>
                    <w:t>声功率级</w:t>
                  </w:r>
                  <w:r>
                    <w:rPr>
                      <w:b/>
                      <w:szCs w:val="21"/>
                    </w:rPr>
                    <w:t>/dB</w:t>
                  </w:r>
                  <w:r>
                    <w:rPr>
                      <w:rFonts w:hint="eastAsia"/>
                      <w:b/>
                      <w:szCs w:val="21"/>
                    </w:rPr>
                    <w:t>（</w:t>
                  </w:r>
                  <w:r>
                    <w:rPr>
                      <w:b/>
                      <w:szCs w:val="21"/>
                    </w:rPr>
                    <w:t>A</w:t>
                  </w:r>
                  <w:r>
                    <w:rPr>
                      <w:rFonts w:hint="eastAsia"/>
                      <w:b/>
                      <w:szCs w:val="21"/>
                    </w:rPr>
                    <w:t>）</w:t>
                  </w:r>
                </w:p>
              </w:tc>
              <w:tc>
                <w:tcPr>
                  <w:tcW w:w="587" w:type="pct"/>
                  <w:vMerge w:val="continue"/>
                  <w:vAlign w:val="center"/>
                </w:tcPr>
                <w:p w14:paraId="4C1726B4">
                  <w:pPr>
                    <w:widowControl/>
                    <w:spacing w:line="276" w:lineRule="auto"/>
                    <w:jc w:val="left"/>
                    <w:rPr>
                      <w:rFonts w:hAnsi="宋体"/>
                      <w:b/>
                      <w:szCs w:val="21"/>
                    </w:rPr>
                  </w:pPr>
                </w:p>
              </w:tc>
              <w:tc>
                <w:tcPr>
                  <w:tcW w:w="542" w:type="pct"/>
                  <w:vAlign w:val="center"/>
                </w:tcPr>
                <w:p w14:paraId="049919FE">
                  <w:pPr>
                    <w:spacing w:line="276" w:lineRule="auto"/>
                    <w:jc w:val="center"/>
                    <w:rPr>
                      <w:szCs w:val="21"/>
                    </w:rPr>
                  </w:pPr>
                  <w:r>
                    <w:rPr>
                      <w:szCs w:val="21"/>
                    </w:rPr>
                    <w:t>X</w:t>
                  </w:r>
                </w:p>
              </w:tc>
              <w:tc>
                <w:tcPr>
                  <w:tcW w:w="434" w:type="pct"/>
                  <w:vAlign w:val="center"/>
                </w:tcPr>
                <w:p w14:paraId="71F338D4">
                  <w:pPr>
                    <w:spacing w:line="276" w:lineRule="auto"/>
                    <w:jc w:val="center"/>
                    <w:rPr>
                      <w:szCs w:val="21"/>
                    </w:rPr>
                  </w:pPr>
                  <w:r>
                    <w:rPr>
                      <w:szCs w:val="21"/>
                    </w:rPr>
                    <w:t>Y</w:t>
                  </w:r>
                </w:p>
              </w:tc>
              <w:tc>
                <w:tcPr>
                  <w:tcW w:w="618" w:type="pct"/>
                  <w:vAlign w:val="center"/>
                </w:tcPr>
                <w:p w14:paraId="4703567A">
                  <w:pPr>
                    <w:spacing w:line="276" w:lineRule="auto"/>
                    <w:jc w:val="center"/>
                    <w:rPr>
                      <w:szCs w:val="21"/>
                    </w:rPr>
                  </w:pPr>
                  <w:r>
                    <w:rPr>
                      <w:szCs w:val="21"/>
                    </w:rPr>
                    <w:t>Z</w:t>
                  </w:r>
                </w:p>
              </w:tc>
              <w:tc>
                <w:tcPr>
                  <w:tcW w:w="393" w:type="pct"/>
                  <w:vMerge w:val="continue"/>
                  <w:vAlign w:val="center"/>
                </w:tcPr>
                <w:p w14:paraId="05DDFC48">
                  <w:pPr>
                    <w:widowControl/>
                    <w:spacing w:line="276" w:lineRule="auto"/>
                    <w:jc w:val="left"/>
                    <w:rPr>
                      <w:b/>
                      <w:szCs w:val="21"/>
                    </w:rPr>
                  </w:pPr>
                </w:p>
              </w:tc>
            </w:tr>
            <w:tr w14:paraId="4B1183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 w:hRule="atLeast"/>
                <w:jc w:val="center"/>
              </w:trPr>
              <w:tc>
                <w:tcPr>
                  <w:tcW w:w="326" w:type="pct"/>
                  <w:vAlign w:val="center"/>
                </w:tcPr>
                <w:p w14:paraId="05BB8B89">
                  <w:pPr>
                    <w:spacing w:line="276" w:lineRule="auto"/>
                    <w:jc w:val="center"/>
                    <w:rPr>
                      <w:szCs w:val="21"/>
                    </w:rPr>
                  </w:pPr>
                  <w:r>
                    <w:rPr>
                      <w:rFonts w:hint="eastAsia"/>
                      <w:szCs w:val="21"/>
                    </w:rPr>
                    <w:t>1</w:t>
                  </w:r>
                </w:p>
              </w:tc>
              <w:tc>
                <w:tcPr>
                  <w:tcW w:w="527" w:type="pct"/>
                  <w:vMerge w:val="restart"/>
                  <w:vAlign w:val="center"/>
                </w:tcPr>
                <w:p w14:paraId="78EBBD93">
                  <w:pPr>
                    <w:spacing w:line="276" w:lineRule="auto"/>
                    <w:jc w:val="center"/>
                    <w:rPr>
                      <w:szCs w:val="21"/>
                    </w:rPr>
                  </w:pPr>
                  <w:r>
                    <w:rPr>
                      <w:rFonts w:hint="eastAsia"/>
                      <w:szCs w:val="21"/>
                    </w:rPr>
                    <w:t>生产</w:t>
                  </w:r>
                </w:p>
                <w:p w14:paraId="0A88DFA8">
                  <w:pPr>
                    <w:spacing w:line="276" w:lineRule="auto"/>
                    <w:jc w:val="center"/>
                    <w:rPr>
                      <w:szCs w:val="21"/>
                    </w:rPr>
                  </w:pPr>
                  <w:r>
                    <w:rPr>
                      <w:rFonts w:hint="eastAsia"/>
                      <w:szCs w:val="21"/>
                    </w:rPr>
                    <w:t>厂房</w:t>
                  </w:r>
                </w:p>
              </w:tc>
              <w:tc>
                <w:tcPr>
                  <w:tcW w:w="879" w:type="pct"/>
                  <w:vAlign w:val="center"/>
                </w:tcPr>
                <w:p w14:paraId="2100BA88">
                  <w:pPr>
                    <w:spacing w:line="276" w:lineRule="auto"/>
                    <w:jc w:val="center"/>
                    <w:rPr>
                      <w:kern w:val="0"/>
                      <w:szCs w:val="21"/>
                    </w:rPr>
                  </w:pPr>
                  <w:r>
                    <w:rPr>
                      <w:rFonts w:hint="eastAsia"/>
                      <w:kern w:val="0"/>
                      <w:szCs w:val="21"/>
                    </w:rPr>
                    <w:t>原料抽液泵2</w:t>
                  </w:r>
                </w:p>
              </w:tc>
              <w:tc>
                <w:tcPr>
                  <w:tcW w:w="693" w:type="pct"/>
                  <w:vAlign w:val="center"/>
                </w:tcPr>
                <w:p w14:paraId="51FA959E">
                  <w:pPr>
                    <w:spacing w:line="276" w:lineRule="auto"/>
                    <w:jc w:val="center"/>
                    <w:rPr>
                      <w:szCs w:val="21"/>
                    </w:rPr>
                  </w:pPr>
                  <w:r>
                    <w:rPr>
                      <w:rFonts w:hint="eastAsia"/>
                      <w:szCs w:val="21"/>
                    </w:rPr>
                    <w:t>85</w:t>
                  </w:r>
                </w:p>
              </w:tc>
              <w:tc>
                <w:tcPr>
                  <w:tcW w:w="587" w:type="pct"/>
                  <w:vMerge w:val="restart"/>
                  <w:vAlign w:val="center"/>
                </w:tcPr>
                <w:p w14:paraId="1A01E1A4">
                  <w:pPr>
                    <w:spacing w:line="276" w:lineRule="auto"/>
                    <w:jc w:val="center"/>
                    <w:rPr>
                      <w:szCs w:val="21"/>
                    </w:rPr>
                  </w:pPr>
                  <w:r>
                    <w:rPr>
                      <w:rFonts w:hint="eastAsia"/>
                      <w:szCs w:val="21"/>
                    </w:rPr>
                    <w:t>选用低噪声设备、减振、隔声</w:t>
                  </w:r>
                </w:p>
              </w:tc>
              <w:tc>
                <w:tcPr>
                  <w:tcW w:w="542" w:type="pct"/>
                  <w:vAlign w:val="center"/>
                </w:tcPr>
                <w:p w14:paraId="0B3CD42A">
                  <w:pPr>
                    <w:spacing w:line="276" w:lineRule="auto"/>
                    <w:jc w:val="center"/>
                    <w:rPr>
                      <w:szCs w:val="21"/>
                    </w:rPr>
                  </w:pPr>
                  <w:r>
                    <w:rPr>
                      <w:rFonts w:hint="eastAsia"/>
                      <w:szCs w:val="21"/>
                    </w:rPr>
                    <w:t>1.5</w:t>
                  </w:r>
                </w:p>
              </w:tc>
              <w:tc>
                <w:tcPr>
                  <w:tcW w:w="434" w:type="pct"/>
                  <w:vAlign w:val="center"/>
                </w:tcPr>
                <w:p w14:paraId="6FCC0204">
                  <w:pPr>
                    <w:spacing w:line="276" w:lineRule="auto"/>
                    <w:jc w:val="center"/>
                    <w:rPr>
                      <w:szCs w:val="21"/>
                    </w:rPr>
                  </w:pPr>
                  <w:r>
                    <w:rPr>
                      <w:rFonts w:hint="eastAsia"/>
                      <w:szCs w:val="21"/>
                    </w:rPr>
                    <w:t>50.0</w:t>
                  </w:r>
                </w:p>
              </w:tc>
              <w:tc>
                <w:tcPr>
                  <w:tcW w:w="618" w:type="pct"/>
                  <w:vAlign w:val="center"/>
                </w:tcPr>
                <w:p w14:paraId="4CF3B6B4">
                  <w:pPr>
                    <w:spacing w:line="276" w:lineRule="auto"/>
                    <w:jc w:val="center"/>
                    <w:rPr>
                      <w:szCs w:val="21"/>
                    </w:rPr>
                  </w:pPr>
                  <w:r>
                    <w:rPr>
                      <w:rFonts w:hint="eastAsia"/>
                      <w:szCs w:val="21"/>
                    </w:rPr>
                    <w:t>10.0</w:t>
                  </w:r>
                </w:p>
              </w:tc>
              <w:tc>
                <w:tcPr>
                  <w:tcW w:w="393" w:type="pct"/>
                  <w:vAlign w:val="center"/>
                </w:tcPr>
                <w:p w14:paraId="25245FCF">
                  <w:pPr>
                    <w:spacing w:line="276" w:lineRule="auto"/>
                    <w:jc w:val="center"/>
                    <w:rPr>
                      <w:szCs w:val="21"/>
                    </w:rPr>
                  </w:pPr>
                  <w:r>
                    <w:rPr>
                      <w:rFonts w:hint="eastAsia"/>
                      <w:szCs w:val="21"/>
                    </w:rPr>
                    <w:t>10h</w:t>
                  </w:r>
                </w:p>
              </w:tc>
            </w:tr>
            <w:tr w14:paraId="099DA1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 w:hRule="atLeast"/>
                <w:jc w:val="center"/>
              </w:trPr>
              <w:tc>
                <w:tcPr>
                  <w:tcW w:w="326" w:type="pct"/>
                  <w:vAlign w:val="center"/>
                </w:tcPr>
                <w:p w14:paraId="64ADC0FA">
                  <w:pPr>
                    <w:spacing w:line="276" w:lineRule="auto"/>
                    <w:jc w:val="center"/>
                    <w:rPr>
                      <w:szCs w:val="21"/>
                    </w:rPr>
                  </w:pPr>
                  <w:r>
                    <w:rPr>
                      <w:rFonts w:hint="eastAsia"/>
                      <w:szCs w:val="21"/>
                    </w:rPr>
                    <w:t>2</w:t>
                  </w:r>
                </w:p>
              </w:tc>
              <w:tc>
                <w:tcPr>
                  <w:tcW w:w="527" w:type="pct"/>
                  <w:vMerge w:val="continue"/>
                  <w:vAlign w:val="center"/>
                </w:tcPr>
                <w:p w14:paraId="3FC1C009">
                  <w:pPr>
                    <w:spacing w:line="276" w:lineRule="auto"/>
                    <w:jc w:val="center"/>
                    <w:rPr>
                      <w:szCs w:val="21"/>
                    </w:rPr>
                  </w:pPr>
                </w:p>
              </w:tc>
              <w:tc>
                <w:tcPr>
                  <w:tcW w:w="879" w:type="pct"/>
                  <w:vAlign w:val="center"/>
                </w:tcPr>
                <w:p w14:paraId="50323BA4">
                  <w:pPr>
                    <w:spacing w:line="276" w:lineRule="auto"/>
                    <w:jc w:val="center"/>
                    <w:rPr>
                      <w:kern w:val="0"/>
                      <w:szCs w:val="21"/>
                    </w:rPr>
                  </w:pPr>
                  <w:r>
                    <w:rPr>
                      <w:rFonts w:hint="eastAsia"/>
                      <w:kern w:val="0"/>
                      <w:szCs w:val="21"/>
                    </w:rPr>
                    <w:t>液体搅拌机1</w:t>
                  </w:r>
                </w:p>
              </w:tc>
              <w:tc>
                <w:tcPr>
                  <w:tcW w:w="693" w:type="pct"/>
                  <w:vAlign w:val="center"/>
                </w:tcPr>
                <w:p w14:paraId="4F433723">
                  <w:pPr>
                    <w:spacing w:line="276" w:lineRule="auto"/>
                    <w:jc w:val="center"/>
                    <w:rPr>
                      <w:szCs w:val="21"/>
                    </w:rPr>
                  </w:pPr>
                  <w:r>
                    <w:rPr>
                      <w:rFonts w:hint="eastAsia"/>
                      <w:szCs w:val="21"/>
                    </w:rPr>
                    <w:t>80</w:t>
                  </w:r>
                </w:p>
              </w:tc>
              <w:tc>
                <w:tcPr>
                  <w:tcW w:w="587" w:type="pct"/>
                  <w:vMerge w:val="continue"/>
                  <w:vAlign w:val="center"/>
                </w:tcPr>
                <w:p w14:paraId="30390A09">
                  <w:pPr>
                    <w:spacing w:line="276" w:lineRule="auto"/>
                    <w:jc w:val="center"/>
                    <w:rPr>
                      <w:szCs w:val="21"/>
                    </w:rPr>
                  </w:pPr>
                </w:p>
              </w:tc>
              <w:tc>
                <w:tcPr>
                  <w:tcW w:w="542" w:type="pct"/>
                  <w:vAlign w:val="center"/>
                </w:tcPr>
                <w:p w14:paraId="23259DF4">
                  <w:pPr>
                    <w:spacing w:line="276" w:lineRule="auto"/>
                    <w:jc w:val="center"/>
                    <w:rPr>
                      <w:szCs w:val="21"/>
                    </w:rPr>
                  </w:pPr>
                  <w:r>
                    <w:rPr>
                      <w:rFonts w:hint="eastAsia"/>
                      <w:szCs w:val="21"/>
                    </w:rPr>
                    <w:t>1.5</w:t>
                  </w:r>
                </w:p>
              </w:tc>
              <w:tc>
                <w:tcPr>
                  <w:tcW w:w="434" w:type="pct"/>
                  <w:vAlign w:val="center"/>
                </w:tcPr>
                <w:p w14:paraId="58E11606">
                  <w:pPr>
                    <w:spacing w:line="276" w:lineRule="auto"/>
                    <w:jc w:val="center"/>
                    <w:rPr>
                      <w:szCs w:val="21"/>
                    </w:rPr>
                  </w:pPr>
                  <w:r>
                    <w:rPr>
                      <w:rFonts w:hint="eastAsia"/>
                      <w:szCs w:val="21"/>
                    </w:rPr>
                    <w:t>50.0</w:t>
                  </w:r>
                </w:p>
              </w:tc>
              <w:tc>
                <w:tcPr>
                  <w:tcW w:w="618" w:type="pct"/>
                  <w:vAlign w:val="center"/>
                </w:tcPr>
                <w:p w14:paraId="5D8440C9">
                  <w:pPr>
                    <w:spacing w:line="276" w:lineRule="auto"/>
                    <w:jc w:val="center"/>
                    <w:rPr>
                      <w:szCs w:val="21"/>
                    </w:rPr>
                  </w:pPr>
                  <w:r>
                    <w:rPr>
                      <w:rFonts w:hint="eastAsia"/>
                      <w:szCs w:val="21"/>
                    </w:rPr>
                    <w:t>10.5</w:t>
                  </w:r>
                </w:p>
              </w:tc>
              <w:tc>
                <w:tcPr>
                  <w:tcW w:w="393" w:type="pct"/>
                  <w:vAlign w:val="center"/>
                </w:tcPr>
                <w:p w14:paraId="05642736">
                  <w:pPr>
                    <w:spacing w:line="276" w:lineRule="auto"/>
                    <w:jc w:val="center"/>
                    <w:rPr>
                      <w:szCs w:val="21"/>
                    </w:rPr>
                  </w:pPr>
                  <w:r>
                    <w:rPr>
                      <w:rFonts w:hint="eastAsia"/>
                      <w:szCs w:val="21"/>
                    </w:rPr>
                    <w:t>10h</w:t>
                  </w:r>
                </w:p>
              </w:tc>
            </w:tr>
            <w:tr w14:paraId="50CE20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326" w:type="pct"/>
                  <w:vAlign w:val="center"/>
                </w:tcPr>
                <w:p w14:paraId="08624156">
                  <w:pPr>
                    <w:spacing w:line="276" w:lineRule="auto"/>
                    <w:jc w:val="center"/>
                    <w:rPr>
                      <w:szCs w:val="21"/>
                    </w:rPr>
                  </w:pPr>
                  <w:r>
                    <w:rPr>
                      <w:rFonts w:hint="eastAsia"/>
                      <w:szCs w:val="21"/>
                    </w:rPr>
                    <w:t>3</w:t>
                  </w:r>
                </w:p>
              </w:tc>
              <w:tc>
                <w:tcPr>
                  <w:tcW w:w="527" w:type="pct"/>
                  <w:vMerge w:val="continue"/>
                  <w:vAlign w:val="center"/>
                </w:tcPr>
                <w:p w14:paraId="07ADA3AE">
                  <w:pPr>
                    <w:spacing w:line="276" w:lineRule="auto"/>
                    <w:jc w:val="center"/>
                    <w:rPr>
                      <w:szCs w:val="21"/>
                    </w:rPr>
                  </w:pPr>
                </w:p>
              </w:tc>
              <w:tc>
                <w:tcPr>
                  <w:tcW w:w="879" w:type="pct"/>
                  <w:vAlign w:val="center"/>
                </w:tcPr>
                <w:p w14:paraId="2BDA6B61">
                  <w:pPr>
                    <w:spacing w:line="276" w:lineRule="auto"/>
                    <w:jc w:val="center"/>
                    <w:rPr>
                      <w:kern w:val="0"/>
                      <w:szCs w:val="21"/>
                    </w:rPr>
                  </w:pPr>
                  <w:r>
                    <w:rPr>
                      <w:kern w:val="0"/>
                      <w:szCs w:val="21"/>
                    </w:rPr>
                    <w:t>真空抽液机</w:t>
                  </w:r>
                  <w:r>
                    <w:rPr>
                      <w:rFonts w:hint="eastAsia"/>
                      <w:kern w:val="0"/>
                      <w:szCs w:val="21"/>
                    </w:rPr>
                    <w:t>1</w:t>
                  </w:r>
                </w:p>
              </w:tc>
              <w:tc>
                <w:tcPr>
                  <w:tcW w:w="693" w:type="pct"/>
                  <w:vAlign w:val="center"/>
                </w:tcPr>
                <w:p w14:paraId="5D5F7A42">
                  <w:pPr>
                    <w:spacing w:line="276" w:lineRule="auto"/>
                    <w:jc w:val="center"/>
                    <w:rPr>
                      <w:szCs w:val="21"/>
                    </w:rPr>
                  </w:pPr>
                  <w:r>
                    <w:rPr>
                      <w:rFonts w:hint="eastAsia"/>
                      <w:szCs w:val="21"/>
                    </w:rPr>
                    <w:t>85</w:t>
                  </w:r>
                </w:p>
              </w:tc>
              <w:tc>
                <w:tcPr>
                  <w:tcW w:w="587" w:type="pct"/>
                  <w:vMerge w:val="continue"/>
                  <w:vAlign w:val="center"/>
                </w:tcPr>
                <w:p w14:paraId="5563F244">
                  <w:pPr>
                    <w:spacing w:line="276" w:lineRule="auto"/>
                    <w:jc w:val="center"/>
                    <w:rPr>
                      <w:szCs w:val="21"/>
                    </w:rPr>
                  </w:pPr>
                </w:p>
              </w:tc>
              <w:tc>
                <w:tcPr>
                  <w:tcW w:w="542" w:type="pct"/>
                  <w:vAlign w:val="center"/>
                </w:tcPr>
                <w:p w14:paraId="15CAEF26">
                  <w:pPr>
                    <w:spacing w:line="276" w:lineRule="auto"/>
                    <w:jc w:val="center"/>
                    <w:rPr>
                      <w:szCs w:val="21"/>
                    </w:rPr>
                  </w:pPr>
                  <w:r>
                    <w:rPr>
                      <w:rFonts w:hint="eastAsia"/>
                      <w:szCs w:val="21"/>
                    </w:rPr>
                    <w:t>1.5</w:t>
                  </w:r>
                </w:p>
              </w:tc>
              <w:tc>
                <w:tcPr>
                  <w:tcW w:w="434" w:type="pct"/>
                  <w:vAlign w:val="center"/>
                </w:tcPr>
                <w:p w14:paraId="1DAAB8F1">
                  <w:pPr>
                    <w:spacing w:line="276" w:lineRule="auto"/>
                    <w:jc w:val="center"/>
                    <w:rPr>
                      <w:szCs w:val="21"/>
                    </w:rPr>
                  </w:pPr>
                  <w:r>
                    <w:rPr>
                      <w:rFonts w:hint="eastAsia"/>
                      <w:szCs w:val="21"/>
                    </w:rPr>
                    <w:t>42.5</w:t>
                  </w:r>
                </w:p>
              </w:tc>
              <w:tc>
                <w:tcPr>
                  <w:tcW w:w="618" w:type="pct"/>
                  <w:vAlign w:val="center"/>
                </w:tcPr>
                <w:p w14:paraId="79F4B774">
                  <w:pPr>
                    <w:spacing w:line="276" w:lineRule="auto"/>
                    <w:jc w:val="center"/>
                    <w:rPr>
                      <w:szCs w:val="21"/>
                    </w:rPr>
                  </w:pPr>
                  <w:r>
                    <w:rPr>
                      <w:rFonts w:hint="eastAsia"/>
                      <w:szCs w:val="21"/>
                    </w:rPr>
                    <w:t>10.5</w:t>
                  </w:r>
                </w:p>
              </w:tc>
              <w:tc>
                <w:tcPr>
                  <w:tcW w:w="393" w:type="pct"/>
                  <w:vAlign w:val="center"/>
                </w:tcPr>
                <w:p w14:paraId="36EDE872">
                  <w:pPr>
                    <w:spacing w:line="276" w:lineRule="auto"/>
                    <w:jc w:val="center"/>
                  </w:pPr>
                  <w:r>
                    <w:rPr>
                      <w:rFonts w:hint="eastAsia"/>
                      <w:szCs w:val="21"/>
                    </w:rPr>
                    <w:t>10</w:t>
                  </w:r>
                  <w:r>
                    <w:rPr>
                      <w:szCs w:val="21"/>
                    </w:rPr>
                    <w:t>h</w:t>
                  </w:r>
                </w:p>
              </w:tc>
            </w:tr>
            <w:tr w14:paraId="41FDD5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326" w:type="pct"/>
                  <w:vAlign w:val="center"/>
                </w:tcPr>
                <w:p w14:paraId="3B28D372">
                  <w:pPr>
                    <w:spacing w:line="276" w:lineRule="auto"/>
                    <w:jc w:val="center"/>
                    <w:rPr>
                      <w:szCs w:val="21"/>
                    </w:rPr>
                  </w:pPr>
                  <w:r>
                    <w:rPr>
                      <w:rFonts w:hint="eastAsia"/>
                      <w:szCs w:val="21"/>
                    </w:rPr>
                    <w:t>4</w:t>
                  </w:r>
                </w:p>
              </w:tc>
              <w:tc>
                <w:tcPr>
                  <w:tcW w:w="527" w:type="pct"/>
                  <w:vMerge w:val="continue"/>
                  <w:vAlign w:val="center"/>
                </w:tcPr>
                <w:p w14:paraId="7DD4AC24">
                  <w:pPr>
                    <w:spacing w:line="276" w:lineRule="auto"/>
                    <w:jc w:val="center"/>
                    <w:rPr>
                      <w:szCs w:val="21"/>
                    </w:rPr>
                  </w:pPr>
                </w:p>
              </w:tc>
              <w:tc>
                <w:tcPr>
                  <w:tcW w:w="879" w:type="pct"/>
                  <w:vAlign w:val="center"/>
                </w:tcPr>
                <w:p w14:paraId="0ED18A48">
                  <w:pPr>
                    <w:spacing w:line="276" w:lineRule="auto"/>
                    <w:jc w:val="center"/>
                    <w:rPr>
                      <w:szCs w:val="21"/>
                    </w:rPr>
                  </w:pPr>
                  <w:r>
                    <w:rPr>
                      <w:rFonts w:hint="eastAsia"/>
                      <w:kern w:val="0"/>
                      <w:szCs w:val="21"/>
                    </w:rPr>
                    <w:t>离心机1</w:t>
                  </w:r>
                </w:p>
              </w:tc>
              <w:tc>
                <w:tcPr>
                  <w:tcW w:w="693" w:type="pct"/>
                  <w:vAlign w:val="center"/>
                </w:tcPr>
                <w:p w14:paraId="6436A5A4">
                  <w:pPr>
                    <w:spacing w:line="276" w:lineRule="auto"/>
                    <w:jc w:val="center"/>
                    <w:rPr>
                      <w:szCs w:val="21"/>
                    </w:rPr>
                  </w:pPr>
                  <w:r>
                    <w:rPr>
                      <w:rFonts w:hint="eastAsia"/>
                      <w:szCs w:val="21"/>
                    </w:rPr>
                    <w:t>85</w:t>
                  </w:r>
                </w:p>
              </w:tc>
              <w:tc>
                <w:tcPr>
                  <w:tcW w:w="587" w:type="pct"/>
                  <w:vMerge w:val="continue"/>
                  <w:vAlign w:val="center"/>
                </w:tcPr>
                <w:p w14:paraId="4646FF4E">
                  <w:pPr>
                    <w:spacing w:line="276" w:lineRule="auto"/>
                    <w:jc w:val="center"/>
                    <w:rPr>
                      <w:szCs w:val="21"/>
                    </w:rPr>
                  </w:pPr>
                </w:p>
              </w:tc>
              <w:tc>
                <w:tcPr>
                  <w:tcW w:w="542" w:type="pct"/>
                  <w:vAlign w:val="center"/>
                </w:tcPr>
                <w:p w14:paraId="151D700B">
                  <w:pPr>
                    <w:spacing w:line="276" w:lineRule="auto"/>
                    <w:jc w:val="center"/>
                    <w:rPr>
                      <w:szCs w:val="21"/>
                    </w:rPr>
                  </w:pPr>
                  <w:r>
                    <w:rPr>
                      <w:rFonts w:hint="eastAsia"/>
                      <w:szCs w:val="21"/>
                    </w:rPr>
                    <w:t>2.0</w:t>
                  </w:r>
                </w:p>
              </w:tc>
              <w:tc>
                <w:tcPr>
                  <w:tcW w:w="434" w:type="pct"/>
                  <w:vAlign w:val="center"/>
                </w:tcPr>
                <w:p w14:paraId="1908ACAB">
                  <w:pPr>
                    <w:spacing w:line="276" w:lineRule="auto"/>
                    <w:jc w:val="center"/>
                    <w:rPr>
                      <w:szCs w:val="21"/>
                    </w:rPr>
                  </w:pPr>
                  <w:r>
                    <w:rPr>
                      <w:rFonts w:hint="eastAsia"/>
                      <w:szCs w:val="21"/>
                    </w:rPr>
                    <w:t>38.5</w:t>
                  </w:r>
                </w:p>
              </w:tc>
              <w:tc>
                <w:tcPr>
                  <w:tcW w:w="618" w:type="pct"/>
                  <w:vAlign w:val="center"/>
                </w:tcPr>
                <w:p w14:paraId="2BF6FA3B">
                  <w:pPr>
                    <w:spacing w:line="276" w:lineRule="auto"/>
                    <w:jc w:val="center"/>
                    <w:rPr>
                      <w:szCs w:val="21"/>
                    </w:rPr>
                  </w:pPr>
                  <w:r>
                    <w:rPr>
                      <w:rFonts w:hint="eastAsia"/>
                      <w:szCs w:val="21"/>
                    </w:rPr>
                    <w:t>10.5</w:t>
                  </w:r>
                </w:p>
              </w:tc>
              <w:tc>
                <w:tcPr>
                  <w:tcW w:w="393" w:type="pct"/>
                  <w:vAlign w:val="center"/>
                </w:tcPr>
                <w:p w14:paraId="57102AF0">
                  <w:pPr>
                    <w:spacing w:line="276" w:lineRule="auto"/>
                    <w:jc w:val="center"/>
                  </w:pPr>
                  <w:r>
                    <w:rPr>
                      <w:rFonts w:hint="eastAsia"/>
                      <w:szCs w:val="21"/>
                    </w:rPr>
                    <w:t>10</w:t>
                  </w:r>
                  <w:r>
                    <w:rPr>
                      <w:szCs w:val="21"/>
                    </w:rPr>
                    <w:t>h</w:t>
                  </w:r>
                </w:p>
              </w:tc>
            </w:tr>
            <w:tr w14:paraId="3A56C7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326" w:type="pct"/>
                  <w:vAlign w:val="center"/>
                </w:tcPr>
                <w:p w14:paraId="10EF4215">
                  <w:pPr>
                    <w:spacing w:line="276" w:lineRule="auto"/>
                    <w:jc w:val="center"/>
                    <w:rPr>
                      <w:szCs w:val="21"/>
                    </w:rPr>
                  </w:pPr>
                  <w:r>
                    <w:rPr>
                      <w:rFonts w:hint="eastAsia"/>
                      <w:szCs w:val="21"/>
                    </w:rPr>
                    <w:t>5</w:t>
                  </w:r>
                </w:p>
              </w:tc>
              <w:tc>
                <w:tcPr>
                  <w:tcW w:w="527" w:type="pct"/>
                  <w:vMerge w:val="continue"/>
                  <w:vAlign w:val="center"/>
                </w:tcPr>
                <w:p w14:paraId="40913888">
                  <w:pPr>
                    <w:spacing w:line="276" w:lineRule="auto"/>
                    <w:jc w:val="center"/>
                    <w:rPr>
                      <w:szCs w:val="21"/>
                    </w:rPr>
                  </w:pPr>
                </w:p>
              </w:tc>
              <w:tc>
                <w:tcPr>
                  <w:tcW w:w="879" w:type="pct"/>
                  <w:vAlign w:val="center"/>
                </w:tcPr>
                <w:p w14:paraId="588894C5">
                  <w:pPr>
                    <w:spacing w:line="276" w:lineRule="auto"/>
                    <w:jc w:val="center"/>
                    <w:rPr>
                      <w:kern w:val="0"/>
                      <w:szCs w:val="21"/>
                    </w:rPr>
                  </w:pPr>
                  <w:r>
                    <w:rPr>
                      <w:rFonts w:hint="eastAsia"/>
                      <w:kern w:val="0"/>
                      <w:szCs w:val="21"/>
                    </w:rPr>
                    <w:t>玻璃热熔封口机6</w:t>
                  </w:r>
                </w:p>
              </w:tc>
              <w:tc>
                <w:tcPr>
                  <w:tcW w:w="693" w:type="pct"/>
                  <w:vAlign w:val="center"/>
                </w:tcPr>
                <w:p w14:paraId="7BAB387C">
                  <w:pPr>
                    <w:spacing w:line="276" w:lineRule="auto"/>
                    <w:jc w:val="center"/>
                    <w:rPr>
                      <w:szCs w:val="21"/>
                    </w:rPr>
                  </w:pPr>
                  <w:r>
                    <w:rPr>
                      <w:rFonts w:hint="eastAsia"/>
                      <w:szCs w:val="21"/>
                    </w:rPr>
                    <w:t>87</w:t>
                  </w:r>
                </w:p>
              </w:tc>
              <w:tc>
                <w:tcPr>
                  <w:tcW w:w="587" w:type="pct"/>
                  <w:vMerge w:val="continue"/>
                  <w:vAlign w:val="center"/>
                </w:tcPr>
                <w:p w14:paraId="0D049D3F">
                  <w:pPr>
                    <w:spacing w:line="276" w:lineRule="auto"/>
                    <w:jc w:val="center"/>
                    <w:rPr>
                      <w:szCs w:val="21"/>
                    </w:rPr>
                  </w:pPr>
                </w:p>
              </w:tc>
              <w:tc>
                <w:tcPr>
                  <w:tcW w:w="542" w:type="pct"/>
                  <w:vAlign w:val="center"/>
                </w:tcPr>
                <w:p w14:paraId="70D76729">
                  <w:pPr>
                    <w:spacing w:line="276" w:lineRule="auto"/>
                    <w:jc w:val="center"/>
                    <w:rPr>
                      <w:szCs w:val="21"/>
                    </w:rPr>
                  </w:pPr>
                  <w:r>
                    <w:rPr>
                      <w:rFonts w:hint="eastAsia"/>
                      <w:szCs w:val="21"/>
                    </w:rPr>
                    <w:t>6</w:t>
                  </w:r>
                </w:p>
              </w:tc>
              <w:tc>
                <w:tcPr>
                  <w:tcW w:w="434" w:type="pct"/>
                  <w:vAlign w:val="center"/>
                </w:tcPr>
                <w:p w14:paraId="5EA2C2D4">
                  <w:pPr>
                    <w:spacing w:line="276" w:lineRule="auto"/>
                    <w:jc w:val="center"/>
                    <w:rPr>
                      <w:szCs w:val="21"/>
                    </w:rPr>
                  </w:pPr>
                  <w:r>
                    <w:rPr>
                      <w:rFonts w:hint="eastAsia"/>
                      <w:szCs w:val="21"/>
                    </w:rPr>
                    <w:t>48.5</w:t>
                  </w:r>
                </w:p>
              </w:tc>
              <w:tc>
                <w:tcPr>
                  <w:tcW w:w="618" w:type="pct"/>
                  <w:vAlign w:val="center"/>
                </w:tcPr>
                <w:p w14:paraId="6AB1C7D6">
                  <w:pPr>
                    <w:spacing w:line="276" w:lineRule="auto"/>
                    <w:jc w:val="center"/>
                    <w:rPr>
                      <w:szCs w:val="21"/>
                    </w:rPr>
                  </w:pPr>
                  <w:r>
                    <w:rPr>
                      <w:rFonts w:hint="eastAsia"/>
                      <w:szCs w:val="21"/>
                    </w:rPr>
                    <w:t>10.5</w:t>
                  </w:r>
                </w:p>
              </w:tc>
              <w:tc>
                <w:tcPr>
                  <w:tcW w:w="393" w:type="pct"/>
                  <w:vAlign w:val="center"/>
                </w:tcPr>
                <w:p w14:paraId="409B3E5B">
                  <w:pPr>
                    <w:spacing w:line="276" w:lineRule="auto"/>
                    <w:jc w:val="center"/>
                    <w:rPr>
                      <w:szCs w:val="21"/>
                    </w:rPr>
                  </w:pPr>
                  <w:r>
                    <w:rPr>
                      <w:rFonts w:hint="eastAsia"/>
                      <w:szCs w:val="21"/>
                    </w:rPr>
                    <w:t>10h</w:t>
                  </w:r>
                </w:p>
              </w:tc>
            </w:tr>
            <w:tr w14:paraId="664F7E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326" w:type="pct"/>
                  <w:vAlign w:val="center"/>
                </w:tcPr>
                <w:p w14:paraId="74506D32">
                  <w:pPr>
                    <w:spacing w:line="276" w:lineRule="auto"/>
                    <w:jc w:val="center"/>
                    <w:rPr>
                      <w:szCs w:val="21"/>
                    </w:rPr>
                  </w:pPr>
                  <w:r>
                    <w:rPr>
                      <w:rFonts w:hint="eastAsia"/>
                      <w:szCs w:val="21"/>
                    </w:rPr>
                    <w:t>6</w:t>
                  </w:r>
                </w:p>
              </w:tc>
              <w:tc>
                <w:tcPr>
                  <w:tcW w:w="527" w:type="pct"/>
                  <w:vMerge w:val="continue"/>
                  <w:vAlign w:val="center"/>
                </w:tcPr>
                <w:p w14:paraId="596DA773">
                  <w:pPr>
                    <w:spacing w:line="276" w:lineRule="auto"/>
                    <w:jc w:val="center"/>
                    <w:rPr>
                      <w:szCs w:val="21"/>
                    </w:rPr>
                  </w:pPr>
                </w:p>
              </w:tc>
              <w:tc>
                <w:tcPr>
                  <w:tcW w:w="879" w:type="pct"/>
                  <w:vAlign w:val="center"/>
                </w:tcPr>
                <w:p w14:paraId="2C883237">
                  <w:pPr>
                    <w:spacing w:line="276" w:lineRule="auto"/>
                    <w:jc w:val="center"/>
                    <w:rPr>
                      <w:szCs w:val="21"/>
                    </w:rPr>
                  </w:pPr>
                  <w:r>
                    <w:rPr>
                      <w:szCs w:val="21"/>
                    </w:rPr>
                    <w:t>塑料压封机</w:t>
                  </w:r>
                  <w:r>
                    <w:rPr>
                      <w:rFonts w:hint="eastAsia"/>
                      <w:szCs w:val="21"/>
                    </w:rPr>
                    <w:t>7</w:t>
                  </w:r>
                </w:p>
              </w:tc>
              <w:tc>
                <w:tcPr>
                  <w:tcW w:w="693" w:type="pct"/>
                  <w:vAlign w:val="center"/>
                </w:tcPr>
                <w:p w14:paraId="1410453B">
                  <w:pPr>
                    <w:spacing w:line="276" w:lineRule="auto"/>
                    <w:jc w:val="center"/>
                    <w:rPr>
                      <w:szCs w:val="21"/>
                    </w:rPr>
                  </w:pPr>
                  <w:r>
                    <w:rPr>
                      <w:rFonts w:hint="eastAsia"/>
                      <w:szCs w:val="21"/>
                    </w:rPr>
                    <w:t>78</w:t>
                  </w:r>
                </w:p>
              </w:tc>
              <w:tc>
                <w:tcPr>
                  <w:tcW w:w="587" w:type="pct"/>
                  <w:vMerge w:val="continue"/>
                  <w:vAlign w:val="center"/>
                </w:tcPr>
                <w:p w14:paraId="44AF0A42">
                  <w:pPr>
                    <w:spacing w:line="276" w:lineRule="auto"/>
                    <w:jc w:val="center"/>
                    <w:rPr>
                      <w:szCs w:val="21"/>
                    </w:rPr>
                  </w:pPr>
                </w:p>
              </w:tc>
              <w:tc>
                <w:tcPr>
                  <w:tcW w:w="542" w:type="pct"/>
                  <w:vAlign w:val="center"/>
                </w:tcPr>
                <w:p w14:paraId="4BA8F297">
                  <w:pPr>
                    <w:spacing w:line="276" w:lineRule="auto"/>
                    <w:jc w:val="center"/>
                    <w:rPr>
                      <w:szCs w:val="21"/>
                    </w:rPr>
                  </w:pPr>
                  <w:r>
                    <w:rPr>
                      <w:rFonts w:hint="eastAsia"/>
                      <w:szCs w:val="21"/>
                    </w:rPr>
                    <w:t>8</w:t>
                  </w:r>
                </w:p>
              </w:tc>
              <w:tc>
                <w:tcPr>
                  <w:tcW w:w="434" w:type="pct"/>
                  <w:vAlign w:val="center"/>
                </w:tcPr>
                <w:p w14:paraId="6102FEE6">
                  <w:pPr>
                    <w:spacing w:line="276" w:lineRule="auto"/>
                    <w:jc w:val="center"/>
                    <w:rPr>
                      <w:szCs w:val="21"/>
                    </w:rPr>
                  </w:pPr>
                  <w:r>
                    <w:rPr>
                      <w:rFonts w:hint="eastAsia"/>
                      <w:szCs w:val="21"/>
                    </w:rPr>
                    <w:t>38</w:t>
                  </w:r>
                </w:p>
              </w:tc>
              <w:tc>
                <w:tcPr>
                  <w:tcW w:w="618" w:type="pct"/>
                  <w:vAlign w:val="center"/>
                </w:tcPr>
                <w:p w14:paraId="2072F707">
                  <w:pPr>
                    <w:spacing w:line="276" w:lineRule="auto"/>
                    <w:jc w:val="center"/>
                    <w:rPr>
                      <w:szCs w:val="21"/>
                    </w:rPr>
                  </w:pPr>
                  <w:r>
                    <w:rPr>
                      <w:rFonts w:hint="eastAsia"/>
                      <w:szCs w:val="21"/>
                    </w:rPr>
                    <w:t>10.5</w:t>
                  </w:r>
                </w:p>
              </w:tc>
              <w:tc>
                <w:tcPr>
                  <w:tcW w:w="393" w:type="pct"/>
                  <w:vAlign w:val="center"/>
                </w:tcPr>
                <w:p w14:paraId="480FAF52">
                  <w:pPr>
                    <w:spacing w:line="276" w:lineRule="auto"/>
                    <w:jc w:val="center"/>
                  </w:pPr>
                  <w:r>
                    <w:rPr>
                      <w:rFonts w:hint="eastAsia"/>
                      <w:szCs w:val="21"/>
                    </w:rPr>
                    <w:t>10</w:t>
                  </w:r>
                  <w:r>
                    <w:rPr>
                      <w:szCs w:val="21"/>
                    </w:rPr>
                    <w:t>h</w:t>
                  </w:r>
                </w:p>
              </w:tc>
            </w:tr>
            <w:tr w14:paraId="459CA5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9" w:hRule="atLeast"/>
                <w:jc w:val="center"/>
              </w:trPr>
              <w:tc>
                <w:tcPr>
                  <w:tcW w:w="326" w:type="pct"/>
                  <w:vAlign w:val="center"/>
                </w:tcPr>
                <w:p w14:paraId="6CC5A322">
                  <w:pPr>
                    <w:spacing w:line="276" w:lineRule="auto"/>
                    <w:jc w:val="center"/>
                    <w:rPr>
                      <w:szCs w:val="21"/>
                    </w:rPr>
                  </w:pPr>
                  <w:r>
                    <w:rPr>
                      <w:rFonts w:hint="eastAsia"/>
                      <w:szCs w:val="21"/>
                    </w:rPr>
                    <w:t>7</w:t>
                  </w:r>
                </w:p>
              </w:tc>
              <w:tc>
                <w:tcPr>
                  <w:tcW w:w="527" w:type="pct"/>
                  <w:vMerge w:val="continue"/>
                  <w:vAlign w:val="center"/>
                </w:tcPr>
                <w:p w14:paraId="23296B50">
                  <w:pPr>
                    <w:spacing w:line="276" w:lineRule="auto"/>
                    <w:jc w:val="center"/>
                    <w:rPr>
                      <w:szCs w:val="21"/>
                    </w:rPr>
                  </w:pPr>
                </w:p>
              </w:tc>
              <w:tc>
                <w:tcPr>
                  <w:tcW w:w="879" w:type="pct"/>
                  <w:vAlign w:val="center"/>
                </w:tcPr>
                <w:p w14:paraId="52AB9330">
                  <w:pPr>
                    <w:spacing w:line="276" w:lineRule="auto"/>
                    <w:jc w:val="center"/>
                    <w:rPr>
                      <w:szCs w:val="21"/>
                    </w:rPr>
                  </w:pPr>
                  <w:r>
                    <w:rPr>
                      <w:rFonts w:hint="eastAsia"/>
                      <w:kern w:val="0"/>
                      <w:szCs w:val="21"/>
                    </w:rPr>
                    <w:t>离心机1</w:t>
                  </w:r>
                </w:p>
              </w:tc>
              <w:tc>
                <w:tcPr>
                  <w:tcW w:w="693" w:type="pct"/>
                  <w:vAlign w:val="center"/>
                </w:tcPr>
                <w:p w14:paraId="24FF315E">
                  <w:pPr>
                    <w:spacing w:line="276" w:lineRule="auto"/>
                    <w:jc w:val="center"/>
                    <w:rPr>
                      <w:szCs w:val="21"/>
                    </w:rPr>
                  </w:pPr>
                  <w:r>
                    <w:rPr>
                      <w:rFonts w:hint="eastAsia"/>
                      <w:szCs w:val="21"/>
                    </w:rPr>
                    <w:t>85</w:t>
                  </w:r>
                </w:p>
              </w:tc>
              <w:tc>
                <w:tcPr>
                  <w:tcW w:w="587" w:type="pct"/>
                  <w:vMerge w:val="continue"/>
                  <w:vAlign w:val="center"/>
                </w:tcPr>
                <w:p w14:paraId="05D626BA">
                  <w:pPr>
                    <w:spacing w:line="276" w:lineRule="auto"/>
                    <w:jc w:val="center"/>
                    <w:rPr>
                      <w:szCs w:val="21"/>
                    </w:rPr>
                  </w:pPr>
                </w:p>
              </w:tc>
              <w:tc>
                <w:tcPr>
                  <w:tcW w:w="542" w:type="pct"/>
                  <w:vAlign w:val="center"/>
                </w:tcPr>
                <w:p w14:paraId="1D5CE201">
                  <w:pPr>
                    <w:spacing w:line="276" w:lineRule="auto"/>
                    <w:jc w:val="center"/>
                    <w:rPr>
                      <w:szCs w:val="21"/>
                    </w:rPr>
                  </w:pPr>
                  <w:r>
                    <w:rPr>
                      <w:rFonts w:hint="eastAsia"/>
                      <w:szCs w:val="21"/>
                    </w:rPr>
                    <w:t>3</w:t>
                  </w:r>
                </w:p>
              </w:tc>
              <w:tc>
                <w:tcPr>
                  <w:tcW w:w="434" w:type="pct"/>
                  <w:vAlign w:val="center"/>
                </w:tcPr>
                <w:p w14:paraId="6BA13FA1">
                  <w:pPr>
                    <w:spacing w:line="276" w:lineRule="auto"/>
                    <w:jc w:val="center"/>
                    <w:rPr>
                      <w:szCs w:val="21"/>
                    </w:rPr>
                  </w:pPr>
                  <w:r>
                    <w:rPr>
                      <w:rFonts w:hint="eastAsia"/>
                      <w:szCs w:val="21"/>
                    </w:rPr>
                    <w:t>26</w:t>
                  </w:r>
                </w:p>
              </w:tc>
              <w:tc>
                <w:tcPr>
                  <w:tcW w:w="618" w:type="pct"/>
                  <w:vAlign w:val="center"/>
                </w:tcPr>
                <w:p w14:paraId="75AA0414">
                  <w:pPr>
                    <w:spacing w:line="276" w:lineRule="auto"/>
                    <w:jc w:val="center"/>
                    <w:rPr>
                      <w:szCs w:val="21"/>
                    </w:rPr>
                  </w:pPr>
                  <w:r>
                    <w:rPr>
                      <w:rFonts w:hint="eastAsia"/>
                      <w:szCs w:val="21"/>
                    </w:rPr>
                    <w:t>10.5</w:t>
                  </w:r>
                </w:p>
              </w:tc>
              <w:tc>
                <w:tcPr>
                  <w:tcW w:w="393" w:type="pct"/>
                  <w:vAlign w:val="center"/>
                </w:tcPr>
                <w:p w14:paraId="0F0B98C7">
                  <w:pPr>
                    <w:spacing w:line="276" w:lineRule="auto"/>
                    <w:jc w:val="center"/>
                  </w:pPr>
                  <w:r>
                    <w:rPr>
                      <w:rFonts w:hint="eastAsia"/>
                      <w:szCs w:val="21"/>
                    </w:rPr>
                    <w:t>10</w:t>
                  </w:r>
                  <w:r>
                    <w:rPr>
                      <w:szCs w:val="21"/>
                    </w:rPr>
                    <w:t>h</w:t>
                  </w:r>
                </w:p>
              </w:tc>
            </w:tr>
            <w:tr w14:paraId="0ECB12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326" w:type="pct"/>
                  <w:vAlign w:val="center"/>
                </w:tcPr>
                <w:p w14:paraId="195782F7">
                  <w:pPr>
                    <w:spacing w:line="276" w:lineRule="auto"/>
                    <w:jc w:val="center"/>
                    <w:rPr>
                      <w:szCs w:val="21"/>
                    </w:rPr>
                  </w:pPr>
                  <w:r>
                    <w:rPr>
                      <w:rFonts w:hint="eastAsia"/>
                      <w:szCs w:val="21"/>
                    </w:rPr>
                    <w:t>8</w:t>
                  </w:r>
                </w:p>
              </w:tc>
              <w:tc>
                <w:tcPr>
                  <w:tcW w:w="527" w:type="pct"/>
                  <w:vMerge w:val="continue"/>
                  <w:vAlign w:val="center"/>
                </w:tcPr>
                <w:p w14:paraId="09F8CA39">
                  <w:pPr>
                    <w:spacing w:line="276" w:lineRule="auto"/>
                    <w:jc w:val="center"/>
                    <w:rPr>
                      <w:szCs w:val="21"/>
                    </w:rPr>
                  </w:pPr>
                </w:p>
              </w:tc>
              <w:tc>
                <w:tcPr>
                  <w:tcW w:w="879" w:type="pct"/>
                  <w:vAlign w:val="center"/>
                </w:tcPr>
                <w:p w14:paraId="47C2D59D">
                  <w:pPr>
                    <w:spacing w:line="276" w:lineRule="auto"/>
                    <w:jc w:val="center"/>
                    <w:rPr>
                      <w:kern w:val="0"/>
                      <w:szCs w:val="21"/>
                    </w:rPr>
                  </w:pPr>
                  <w:r>
                    <w:rPr>
                      <w:rFonts w:hint="eastAsia"/>
                      <w:kern w:val="0"/>
                      <w:szCs w:val="21"/>
                    </w:rPr>
                    <w:t>原料抽液泵2</w:t>
                  </w:r>
                </w:p>
              </w:tc>
              <w:tc>
                <w:tcPr>
                  <w:tcW w:w="693" w:type="pct"/>
                  <w:vAlign w:val="center"/>
                </w:tcPr>
                <w:p w14:paraId="5C306FB0">
                  <w:pPr>
                    <w:spacing w:line="276" w:lineRule="auto"/>
                    <w:jc w:val="center"/>
                    <w:rPr>
                      <w:szCs w:val="21"/>
                    </w:rPr>
                  </w:pPr>
                  <w:r>
                    <w:rPr>
                      <w:rFonts w:hint="eastAsia"/>
                      <w:szCs w:val="21"/>
                    </w:rPr>
                    <w:t>85</w:t>
                  </w:r>
                </w:p>
              </w:tc>
              <w:tc>
                <w:tcPr>
                  <w:tcW w:w="587" w:type="pct"/>
                  <w:vMerge w:val="continue"/>
                  <w:vAlign w:val="center"/>
                </w:tcPr>
                <w:p w14:paraId="41A5D1EF">
                  <w:pPr>
                    <w:spacing w:line="276" w:lineRule="auto"/>
                    <w:jc w:val="center"/>
                    <w:rPr>
                      <w:szCs w:val="21"/>
                    </w:rPr>
                  </w:pPr>
                </w:p>
              </w:tc>
              <w:tc>
                <w:tcPr>
                  <w:tcW w:w="542" w:type="pct"/>
                  <w:vAlign w:val="center"/>
                </w:tcPr>
                <w:p w14:paraId="63205C94">
                  <w:pPr>
                    <w:spacing w:line="276" w:lineRule="auto"/>
                    <w:jc w:val="center"/>
                    <w:rPr>
                      <w:szCs w:val="21"/>
                    </w:rPr>
                  </w:pPr>
                  <w:r>
                    <w:rPr>
                      <w:rFonts w:hint="eastAsia"/>
                      <w:szCs w:val="21"/>
                    </w:rPr>
                    <w:t>3.5</w:t>
                  </w:r>
                </w:p>
              </w:tc>
              <w:tc>
                <w:tcPr>
                  <w:tcW w:w="434" w:type="pct"/>
                  <w:vAlign w:val="center"/>
                </w:tcPr>
                <w:p w14:paraId="5919E1B0">
                  <w:pPr>
                    <w:spacing w:line="276" w:lineRule="auto"/>
                    <w:jc w:val="center"/>
                    <w:rPr>
                      <w:szCs w:val="21"/>
                    </w:rPr>
                  </w:pPr>
                  <w:r>
                    <w:rPr>
                      <w:rFonts w:hint="eastAsia"/>
                      <w:szCs w:val="21"/>
                    </w:rPr>
                    <w:t>24</w:t>
                  </w:r>
                </w:p>
              </w:tc>
              <w:tc>
                <w:tcPr>
                  <w:tcW w:w="618" w:type="pct"/>
                  <w:vAlign w:val="center"/>
                </w:tcPr>
                <w:p w14:paraId="2C4CF4E6">
                  <w:pPr>
                    <w:spacing w:line="276" w:lineRule="auto"/>
                    <w:jc w:val="center"/>
                    <w:rPr>
                      <w:szCs w:val="21"/>
                    </w:rPr>
                  </w:pPr>
                  <w:r>
                    <w:rPr>
                      <w:rFonts w:hint="eastAsia"/>
                      <w:szCs w:val="21"/>
                    </w:rPr>
                    <w:t>10.0</w:t>
                  </w:r>
                </w:p>
              </w:tc>
              <w:tc>
                <w:tcPr>
                  <w:tcW w:w="393" w:type="pct"/>
                  <w:vAlign w:val="center"/>
                </w:tcPr>
                <w:p w14:paraId="575824E5">
                  <w:pPr>
                    <w:spacing w:line="276" w:lineRule="auto"/>
                    <w:jc w:val="center"/>
                    <w:rPr>
                      <w:szCs w:val="21"/>
                    </w:rPr>
                  </w:pPr>
                  <w:r>
                    <w:rPr>
                      <w:rFonts w:hint="eastAsia"/>
                      <w:szCs w:val="21"/>
                    </w:rPr>
                    <w:t>10h</w:t>
                  </w:r>
                </w:p>
              </w:tc>
            </w:tr>
            <w:tr w14:paraId="59E63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29" w:hRule="atLeast"/>
                <w:jc w:val="center"/>
              </w:trPr>
              <w:tc>
                <w:tcPr>
                  <w:tcW w:w="326" w:type="pct"/>
                  <w:vAlign w:val="center"/>
                </w:tcPr>
                <w:p w14:paraId="01FBFC15">
                  <w:pPr>
                    <w:spacing w:line="276" w:lineRule="auto"/>
                    <w:jc w:val="center"/>
                    <w:rPr>
                      <w:szCs w:val="21"/>
                    </w:rPr>
                  </w:pPr>
                  <w:r>
                    <w:rPr>
                      <w:rFonts w:hint="eastAsia"/>
                      <w:szCs w:val="21"/>
                    </w:rPr>
                    <w:t>9</w:t>
                  </w:r>
                </w:p>
              </w:tc>
              <w:tc>
                <w:tcPr>
                  <w:tcW w:w="527" w:type="pct"/>
                  <w:vMerge w:val="continue"/>
                  <w:vAlign w:val="center"/>
                </w:tcPr>
                <w:p w14:paraId="52215CAE">
                  <w:pPr>
                    <w:spacing w:line="276" w:lineRule="auto"/>
                    <w:jc w:val="center"/>
                    <w:rPr>
                      <w:szCs w:val="21"/>
                    </w:rPr>
                  </w:pPr>
                </w:p>
              </w:tc>
              <w:tc>
                <w:tcPr>
                  <w:tcW w:w="879" w:type="pct"/>
                  <w:vAlign w:val="center"/>
                </w:tcPr>
                <w:p w14:paraId="16FF86AC">
                  <w:pPr>
                    <w:spacing w:line="276" w:lineRule="auto"/>
                    <w:jc w:val="center"/>
                    <w:rPr>
                      <w:kern w:val="0"/>
                      <w:szCs w:val="21"/>
                    </w:rPr>
                  </w:pPr>
                  <w:r>
                    <w:rPr>
                      <w:rFonts w:hint="eastAsia"/>
                      <w:kern w:val="0"/>
                      <w:szCs w:val="21"/>
                    </w:rPr>
                    <w:t>液体搅拌机1</w:t>
                  </w:r>
                </w:p>
              </w:tc>
              <w:tc>
                <w:tcPr>
                  <w:tcW w:w="693" w:type="pct"/>
                  <w:vAlign w:val="center"/>
                </w:tcPr>
                <w:p w14:paraId="2F402211">
                  <w:pPr>
                    <w:spacing w:line="276" w:lineRule="auto"/>
                    <w:jc w:val="center"/>
                    <w:rPr>
                      <w:szCs w:val="21"/>
                    </w:rPr>
                  </w:pPr>
                  <w:r>
                    <w:rPr>
                      <w:rFonts w:hint="eastAsia"/>
                      <w:szCs w:val="21"/>
                    </w:rPr>
                    <w:t>80</w:t>
                  </w:r>
                </w:p>
              </w:tc>
              <w:tc>
                <w:tcPr>
                  <w:tcW w:w="587" w:type="pct"/>
                  <w:vMerge w:val="continue"/>
                  <w:vAlign w:val="center"/>
                </w:tcPr>
                <w:p w14:paraId="3314F3DA">
                  <w:pPr>
                    <w:spacing w:line="276" w:lineRule="auto"/>
                    <w:jc w:val="center"/>
                    <w:rPr>
                      <w:szCs w:val="21"/>
                    </w:rPr>
                  </w:pPr>
                </w:p>
              </w:tc>
              <w:tc>
                <w:tcPr>
                  <w:tcW w:w="542" w:type="pct"/>
                  <w:vAlign w:val="center"/>
                </w:tcPr>
                <w:p w14:paraId="46CE9EBA">
                  <w:pPr>
                    <w:spacing w:line="276" w:lineRule="auto"/>
                    <w:jc w:val="center"/>
                    <w:rPr>
                      <w:szCs w:val="21"/>
                    </w:rPr>
                  </w:pPr>
                  <w:r>
                    <w:rPr>
                      <w:rFonts w:hint="eastAsia"/>
                      <w:szCs w:val="21"/>
                    </w:rPr>
                    <w:t>3.5</w:t>
                  </w:r>
                </w:p>
              </w:tc>
              <w:tc>
                <w:tcPr>
                  <w:tcW w:w="434" w:type="pct"/>
                  <w:vAlign w:val="center"/>
                </w:tcPr>
                <w:p w14:paraId="5282BAEF">
                  <w:pPr>
                    <w:spacing w:line="276" w:lineRule="auto"/>
                    <w:jc w:val="center"/>
                    <w:rPr>
                      <w:szCs w:val="21"/>
                    </w:rPr>
                  </w:pPr>
                  <w:r>
                    <w:rPr>
                      <w:rFonts w:hint="eastAsia"/>
                      <w:szCs w:val="21"/>
                    </w:rPr>
                    <w:t>24</w:t>
                  </w:r>
                </w:p>
              </w:tc>
              <w:tc>
                <w:tcPr>
                  <w:tcW w:w="618" w:type="pct"/>
                  <w:vAlign w:val="center"/>
                </w:tcPr>
                <w:p w14:paraId="2F101B03">
                  <w:pPr>
                    <w:spacing w:line="276" w:lineRule="auto"/>
                    <w:jc w:val="center"/>
                    <w:rPr>
                      <w:szCs w:val="21"/>
                    </w:rPr>
                  </w:pPr>
                  <w:r>
                    <w:rPr>
                      <w:rFonts w:hint="eastAsia"/>
                      <w:szCs w:val="21"/>
                    </w:rPr>
                    <w:t>10.5</w:t>
                  </w:r>
                </w:p>
              </w:tc>
              <w:tc>
                <w:tcPr>
                  <w:tcW w:w="393" w:type="pct"/>
                  <w:vAlign w:val="center"/>
                </w:tcPr>
                <w:p w14:paraId="49ECA02E">
                  <w:pPr>
                    <w:spacing w:line="276" w:lineRule="auto"/>
                    <w:jc w:val="center"/>
                    <w:rPr>
                      <w:szCs w:val="21"/>
                    </w:rPr>
                  </w:pPr>
                  <w:r>
                    <w:rPr>
                      <w:rFonts w:hint="eastAsia"/>
                      <w:szCs w:val="21"/>
                    </w:rPr>
                    <w:t>10h</w:t>
                  </w:r>
                </w:p>
              </w:tc>
            </w:tr>
            <w:tr w14:paraId="68BC99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326" w:type="pct"/>
                  <w:vAlign w:val="center"/>
                </w:tcPr>
                <w:p w14:paraId="1D1323BF">
                  <w:pPr>
                    <w:spacing w:line="276" w:lineRule="auto"/>
                    <w:jc w:val="center"/>
                    <w:rPr>
                      <w:szCs w:val="21"/>
                    </w:rPr>
                  </w:pPr>
                  <w:r>
                    <w:rPr>
                      <w:rFonts w:hint="eastAsia"/>
                      <w:szCs w:val="21"/>
                    </w:rPr>
                    <w:t>10</w:t>
                  </w:r>
                </w:p>
              </w:tc>
              <w:tc>
                <w:tcPr>
                  <w:tcW w:w="527" w:type="pct"/>
                  <w:vMerge w:val="continue"/>
                  <w:vAlign w:val="center"/>
                </w:tcPr>
                <w:p w14:paraId="53AB6494">
                  <w:pPr>
                    <w:spacing w:line="276" w:lineRule="auto"/>
                    <w:jc w:val="center"/>
                    <w:rPr>
                      <w:szCs w:val="21"/>
                    </w:rPr>
                  </w:pPr>
                </w:p>
              </w:tc>
              <w:tc>
                <w:tcPr>
                  <w:tcW w:w="879" w:type="pct"/>
                  <w:vAlign w:val="center"/>
                </w:tcPr>
                <w:p w14:paraId="2408D861">
                  <w:pPr>
                    <w:spacing w:line="276" w:lineRule="auto"/>
                    <w:jc w:val="center"/>
                    <w:rPr>
                      <w:kern w:val="0"/>
                      <w:szCs w:val="21"/>
                    </w:rPr>
                  </w:pPr>
                  <w:r>
                    <w:rPr>
                      <w:kern w:val="0"/>
                      <w:szCs w:val="21"/>
                    </w:rPr>
                    <w:t>真空抽液机</w:t>
                  </w:r>
                  <w:r>
                    <w:rPr>
                      <w:rFonts w:hint="eastAsia"/>
                      <w:kern w:val="0"/>
                      <w:szCs w:val="21"/>
                    </w:rPr>
                    <w:t>1</w:t>
                  </w:r>
                </w:p>
              </w:tc>
              <w:tc>
                <w:tcPr>
                  <w:tcW w:w="693" w:type="pct"/>
                  <w:vAlign w:val="center"/>
                </w:tcPr>
                <w:p w14:paraId="0E50C8E0">
                  <w:pPr>
                    <w:spacing w:line="276" w:lineRule="auto"/>
                    <w:jc w:val="center"/>
                    <w:rPr>
                      <w:szCs w:val="21"/>
                    </w:rPr>
                  </w:pPr>
                  <w:r>
                    <w:rPr>
                      <w:rFonts w:hint="eastAsia"/>
                      <w:szCs w:val="21"/>
                    </w:rPr>
                    <w:t>85</w:t>
                  </w:r>
                </w:p>
              </w:tc>
              <w:tc>
                <w:tcPr>
                  <w:tcW w:w="587" w:type="pct"/>
                  <w:vMerge w:val="continue"/>
                  <w:vAlign w:val="center"/>
                </w:tcPr>
                <w:p w14:paraId="555382B3">
                  <w:pPr>
                    <w:spacing w:line="276" w:lineRule="auto"/>
                    <w:jc w:val="center"/>
                    <w:rPr>
                      <w:szCs w:val="21"/>
                    </w:rPr>
                  </w:pPr>
                </w:p>
              </w:tc>
              <w:tc>
                <w:tcPr>
                  <w:tcW w:w="542" w:type="pct"/>
                  <w:vAlign w:val="center"/>
                </w:tcPr>
                <w:p w14:paraId="59782B9B">
                  <w:pPr>
                    <w:spacing w:line="276" w:lineRule="auto"/>
                    <w:jc w:val="center"/>
                    <w:rPr>
                      <w:szCs w:val="21"/>
                    </w:rPr>
                  </w:pPr>
                  <w:r>
                    <w:rPr>
                      <w:rFonts w:hint="eastAsia"/>
                      <w:szCs w:val="21"/>
                    </w:rPr>
                    <w:t>2.5</w:t>
                  </w:r>
                </w:p>
              </w:tc>
              <w:tc>
                <w:tcPr>
                  <w:tcW w:w="434" w:type="pct"/>
                  <w:vAlign w:val="center"/>
                </w:tcPr>
                <w:p w14:paraId="2DC49DA7">
                  <w:pPr>
                    <w:spacing w:line="276" w:lineRule="auto"/>
                    <w:jc w:val="center"/>
                    <w:rPr>
                      <w:szCs w:val="21"/>
                    </w:rPr>
                  </w:pPr>
                  <w:r>
                    <w:rPr>
                      <w:rFonts w:hint="eastAsia"/>
                      <w:szCs w:val="21"/>
                    </w:rPr>
                    <w:t>19</w:t>
                  </w:r>
                </w:p>
              </w:tc>
              <w:tc>
                <w:tcPr>
                  <w:tcW w:w="618" w:type="pct"/>
                  <w:vAlign w:val="center"/>
                </w:tcPr>
                <w:p w14:paraId="24D51299">
                  <w:pPr>
                    <w:spacing w:line="276" w:lineRule="auto"/>
                    <w:jc w:val="center"/>
                    <w:rPr>
                      <w:szCs w:val="21"/>
                    </w:rPr>
                  </w:pPr>
                  <w:r>
                    <w:rPr>
                      <w:rFonts w:hint="eastAsia"/>
                      <w:szCs w:val="21"/>
                    </w:rPr>
                    <w:t>10.5</w:t>
                  </w:r>
                </w:p>
              </w:tc>
              <w:tc>
                <w:tcPr>
                  <w:tcW w:w="393" w:type="pct"/>
                  <w:vAlign w:val="center"/>
                </w:tcPr>
                <w:p w14:paraId="017D35EF">
                  <w:pPr>
                    <w:spacing w:line="276" w:lineRule="auto"/>
                    <w:jc w:val="center"/>
                  </w:pPr>
                  <w:r>
                    <w:rPr>
                      <w:rFonts w:hint="eastAsia"/>
                      <w:szCs w:val="21"/>
                    </w:rPr>
                    <w:t>10</w:t>
                  </w:r>
                  <w:r>
                    <w:rPr>
                      <w:szCs w:val="21"/>
                    </w:rPr>
                    <w:t>h</w:t>
                  </w:r>
                </w:p>
              </w:tc>
            </w:tr>
            <w:tr w14:paraId="2A4B92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326" w:type="pct"/>
                  <w:vAlign w:val="center"/>
                </w:tcPr>
                <w:p w14:paraId="537722B7">
                  <w:pPr>
                    <w:spacing w:line="276" w:lineRule="auto"/>
                    <w:jc w:val="center"/>
                    <w:rPr>
                      <w:szCs w:val="21"/>
                    </w:rPr>
                  </w:pPr>
                  <w:r>
                    <w:rPr>
                      <w:rFonts w:hint="eastAsia"/>
                      <w:szCs w:val="21"/>
                    </w:rPr>
                    <w:t>11</w:t>
                  </w:r>
                </w:p>
              </w:tc>
              <w:tc>
                <w:tcPr>
                  <w:tcW w:w="527" w:type="pct"/>
                  <w:vMerge w:val="continue"/>
                  <w:vAlign w:val="center"/>
                </w:tcPr>
                <w:p w14:paraId="27BE9807">
                  <w:pPr>
                    <w:spacing w:line="276" w:lineRule="auto"/>
                    <w:jc w:val="center"/>
                    <w:rPr>
                      <w:szCs w:val="21"/>
                    </w:rPr>
                  </w:pPr>
                </w:p>
              </w:tc>
              <w:tc>
                <w:tcPr>
                  <w:tcW w:w="879" w:type="pct"/>
                  <w:vAlign w:val="center"/>
                </w:tcPr>
                <w:p w14:paraId="13897C05">
                  <w:pPr>
                    <w:spacing w:line="276" w:lineRule="auto"/>
                    <w:jc w:val="center"/>
                    <w:rPr>
                      <w:szCs w:val="21"/>
                    </w:rPr>
                  </w:pPr>
                  <w:r>
                    <w:rPr>
                      <w:rFonts w:hint="eastAsia"/>
                      <w:kern w:val="0"/>
                      <w:szCs w:val="21"/>
                    </w:rPr>
                    <w:t>离心机1</w:t>
                  </w:r>
                </w:p>
              </w:tc>
              <w:tc>
                <w:tcPr>
                  <w:tcW w:w="693" w:type="pct"/>
                  <w:vAlign w:val="center"/>
                </w:tcPr>
                <w:p w14:paraId="7E9A7F60">
                  <w:pPr>
                    <w:spacing w:line="276" w:lineRule="auto"/>
                    <w:jc w:val="center"/>
                    <w:rPr>
                      <w:szCs w:val="21"/>
                    </w:rPr>
                  </w:pPr>
                  <w:r>
                    <w:rPr>
                      <w:rFonts w:hint="eastAsia"/>
                      <w:szCs w:val="21"/>
                    </w:rPr>
                    <w:t>85</w:t>
                  </w:r>
                </w:p>
              </w:tc>
              <w:tc>
                <w:tcPr>
                  <w:tcW w:w="587" w:type="pct"/>
                  <w:vMerge w:val="continue"/>
                  <w:vAlign w:val="center"/>
                </w:tcPr>
                <w:p w14:paraId="21962F70">
                  <w:pPr>
                    <w:spacing w:line="276" w:lineRule="auto"/>
                    <w:jc w:val="center"/>
                    <w:rPr>
                      <w:szCs w:val="21"/>
                    </w:rPr>
                  </w:pPr>
                </w:p>
              </w:tc>
              <w:tc>
                <w:tcPr>
                  <w:tcW w:w="542" w:type="pct"/>
                  <w:vAlign w:val="center"/>
                </w:tcPr>
                <w:p w14:paraId="1AC359AC">
                  <w:pPr>
                    <w:spacing w:line="276" w:lineRule="auto"/>
                    <w:jc w:val="center"/>
                    <w:rPr>
                      <w:szCs w:val="21"/>
                    </w:rPr>
                  </w:pPr>
                  <w:r>
                    <w:rPr>
                      <w:rFonts w:hint="eastAsia"/>
                      <w:szCs w:val="21"/>
                    </w:rPr>
                    <w:t>3.0</w:t>
                  </w:r>
                </w:p>
              </w:tc>
              <w:tc>
                <w:tcPr>
                  <w:tcW w:w="434" w:type="pct"/>
                  <w:vAlign w:val="center"/>
                </w:tcPr>
                <w:p w14:paraId="0F7CAA9F">
                  <w:pPr>
                    <w:spacing w:line="276" w:lineRule="auto"/>
                    <w:jc w:val="center"/>
                    <w:rPr>
                      <w:szCs w:val="21"/>
                    </w:rPr>
                  </w:pPr>
                  <w:r>
                    <w:rPr>
                      <w:rFonts w:hint="eastAsia"/>
                      <w:szCs w:val="21"/>
                    </w:rPr>
                    <w:t>16</w:t>
                  </w:r>
                </w:p>
              </w:tc>
              <w:tc>
                <w:tcPr>
                  <w:tcW w:w="618" w:type="pct"/>
                  <w:vAlign w:val="center"/>
                </w:tcPr>
                <w:p w14:paraId="02B74248">
                  <w:pPr>
                    <w:spacing w:line="276" w:lineRule="auto"/>
                    <w:jc w:val="center"/>
                    <w:rPr>
                      <w:szCs w:val="21"/>
                    </w:rPr>
                  </w:pPr>
                  <w:r>
                    <w:rPr>
                      <w:rFonts w:hint="eastAsia"/>
                      <w:szCs w:val="21"/>
                    </w:rPr>
                    <w:t>10.5</w:t>
                  </w:r>
                </w:p>
              </w:tc>
              <w:tc>
                <w:tcPr>
                  <w:tcW w:w="393" w:type="pct"/>
                  <w:vAlign w:val="center"/>
                </w:tcPr>
                <w:p w14:paraId="5F6F9918">
                  <w:pPr>
                    <w:spacing w:line="276" w:lineRule="auto"/>
                    <w:jc w:val="center"/>
                  </w:pPr>
                  <w:r>
                    <w:rPr>
                      <w:rFonts w:hint="eastAsia"/>
                      <w:szCs w:val="21"/>
                    </w:rPr>
                    <w:t>10</w:t>
                  </w:r>
                  <w:r>
                    <w:rPr>
                      <w:szCs w:val="21"/>
                    </w:rPr>
                    <w:t>h</w:t>
                  </w:r>
                </w:p>
              </w:tc>
            </w:tr>
            <w:tr w14:paraId="55A625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 w:hRule="atLeast"/>
                <w:jc w:val="center"/>
              </w:trPr>
              <w:tc>
                <w:tcPr>
                  <w:tcW w:w="326" w:type="pct"/>
                  <w:vAlign w:val="center"/>
                </w:tcPr>
                <w:p w14:paraId="7275671A">
                  <w:pPr>
                    <w:spacing w:line="276" w:lineRule="auto"/>
                    <w:jc w:val="center"/>
                    <w:rPr>
                      <w:szCs w:val="21"/>
                    </w:rPr>
                  </w:pPr>
                  <w:r>
                    <w:rPr>
                      <w:rFonts w:hint="eastAsia"/>
                      <w:szCs w:val="21"/>
                    </w:rPr>
                    <w:t>12</w:t>
                  </w:r>
                </w:p>
              </w:tc>
              <w:tc>
                <w:tcPr>
                  <w:tcW w:w="527" w:type="pct"/>
                  <w:vMerge w:val="continue"/>
                  <w:vAlign w:val="center"/>
                </w:tcPr>
                <w:p w14:paraId="56FD2967">
                  <w:pPr>
                    <w:spacing w:line="276" w:lineRule="auto"/>
                    <w:jc w:val="center"/>
                    <w:rPr>
                      <w:szCs w:val="21"/>
                    </w:rPr>
                  </w:pPr>
                </w:p>
              </w:tc>
              <w:tc>
                <w:tcPr>
                  <w:tcW w:w="879" w:type="pct"/>
                  <w:vAlign w:val="center"/>
                </w:tcPr>
                <w:p w14:paraId="5078E9D3">
                  <w:pPr>
                    <w:spacing w:line="276" w:lineRule="auto"/>
                    <w:jc w:val="center"/>
                    <w:rPr>
                      <w:kern w:val="0"/>
                      <w:szCs w:val="21"/>
                    </w:rPr>
                  </w:pPr>
                  <w:r>
                    <w:rPr>
                      <w:kern w:val="0"/>
                      <w:szCs w:val="21"/>
                    </w:rPr>
                    <w:t>空压机</w:t>
                  </w:r>
                  <w:r>
                    <w:rPr>
                      <w:rFonts w:hint="eastAsia"/>
                      <w:kern w:val="0"/>
                      <w:szCs w:val="21"/>
                    </w:rPr>
                    <w:t>1</w:t>
                  </w:r>
                </w:p>
              </w:tc>
              <w:tc>
                <w:tcPr>
                  <w:tcW w:w="693" w:type="pct"/>
                  <w:vAlign w:val="center"/>
                </w:tcPr>
                <w:p w14:paraId="7E4325B1">
                  <w:pPr>
                    <w:spacing w:line="276" w:lineRule="auto"/>
                    <w:jc w:val="center"/>
                    <w:rPr>
                      <w:szCs w:val="21"/>
                    </w:rPr>
                  </w:pPr>
                  <w:r>
                    <w:rPr>
                      <w:rFonts w:hint="eastAsia"/>
                      <w:szCs w:val="21"/>
                    </w:rPr>
                    <w:t>85</w:t>
                  </w:r>
                </w:p>
              </w:tc>
              <w:tc>
                <w:tcPr>
                  <w:tcW w:w="587" w:type="pct"/>
                  <w:vMerge w:val="continue"/>
                  <w:vAlign w:val="center"/>
                </w:tcPr>
                <w:p w14:paraId="7A7F1675">
                  <w:pPr>
                    <w:widowControl/>
                    <w:spacing w:line="276" w:lineRule="auto"/>
                    <w:jc w:val="left"/>
                    <w:rPr>
                      <w:szCs w:val="21"/>
                    </w:rPr>
                  </w:pPr>
                </w:p>
              </w:tc>
              <w:tc>
                <w:tcPr>
                  <w:tcW w:w="542" w:type="pct"/>
                  <w:vAlign w:val="center"/>
                </w:tcPr>
                <w:p w14:paraId="75ADB4DD">
                  <w:pPr>
                    <w:spacing w:line="276" w:lineRule="auto"/>
                    <w:jc w:val="center"/>
                    <w:rPr>
                      <w:szCs w:val="21"/>
                    </w:rPr>
                  </w:pPr>
                  <w:r>
                    <w:rPr>
                      <w:rFonts w:hint="eastAsia"/>
                      <w:szCs w:val="21"/>
                    </w:rPr>
                    <w:t>10</w:t>
                  </w:r>
                </w:p>
              </w:tc>
              <w:tc>
                <w:tcPr>
                  <w:tcW w:w="434" w:type="pct"/>
                  <w:vAlign w:val="center"/>
                </w:tcPr>
                <w:p w14:paraId="407DC013">
                  <w:pPr>
                    <w:spacing w:line="276" w:lineRule="auto"/>
                    <w:jc w:val="center"/>
                    <w:rPr>
                      <w:szCs w:val="21"/>
                    </w:rPr>
                  </w:pPr>
                  <w:r>
                    <w:rPr>
                      <w:rFonts w:hint="eastAsia"/>
                      <w:szCs w:val="21"/>
                    </w:rPr>
                    <w:t>23</w:t>
                  </w:r>
                </w:p>
              </w:tc>
              <w:tc>
                <w:tcPr>
                  <w:tcW w:w="618" w:type="pct"/>
                  <w:vAlign w:val="center"/>
                </w:tcPr>
                <w:p w14:paraId="6078A6A2">
                  <w:pPr>
                    <w:spacing w:line="276" w:lineRule="auto"/>
                    <w:jc w:val="center"/>
                    <w:rPr>
                      <w:szCs w:val="21"/>
                    </w:rPr>
                  </w:pPr>
                  <w:r>
                    <w:rPr>
                      <w:rFonts w:hint="eastAsia"/>
                      <w:szCs w:val="21"/>
                    </w:rPr>
                    <w:t>10.5</w:t>
                  </w:r>
                </w:p>
              </w:tc>
              <w:tc>
                <w:tcPr>
                  <w:tcW w:w="393" w:type="pct"/>
                  <w:vAlign w:val="center"/>
                </w:tcPr>
                <w:p w14:paraId="1CD64659">
                  <w:pPr>
                    <w:spacing w:line="276" w:lineRule="auto"/>
                    <w:jc w:val="center"/>
                  </w:pPr>
                  <w:r>
                    <w:rPr>
                      <w:rFonts w:hint="eastAsia"/>
                      <w:szCs w:val="21"/>
                    </w:rPr>
                    <w:t>10</w:t>
                  </w:r>
                  <w:r>
                    <w:rPr>
                      <w:szCs w:val="21"/>
                    </w:rPr>
                    <w:t>h</w:t>
                  </w:r>
                </w:p>
              </w:tc>
            </w:tr>
            <w:tr w14:paraId="5DD5D9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 w:hRule="atLeast"/>
                <w:jc w:val="center"/>
              </w:trPr>
              <w:tc>
                <w:tcPr>
                  <w:tcW w:w="326" w:type="pct"/>
                  <w:vAlign w:val="center"/>
                </w:tcPr>
                <w:p w14:paraId="5159751F">
                  <w:pPr>
                    <w:spacing w:line="276" w:lineRule="auto"/>
                    <w:jc w:val="center"/>
                    <w:rPr>
                      <w:szCs w:val="21"/>
                    </w:rPr>
                  </w:pPr>
                  <w:r>
                    <w:rPr>
                      <w:rFonts w:hint="eastAsia"/>
                      <w:szCs w:val="21"/>
                    </w:rPr>
                    <w:t>13</w:t>
                  </w:r>
                </w:p>
              </w:tc>
              <w:tc>
                <w:tcPr>
                  <w:tcW w:w="527" w:type="pct"/>
                  <w:vMerge w:val="continue"/>
                  <w:vAlign w:val="center"/>
                </w:tcPr>
                <w:p w14:paraId="4A0B9430">
                  <w:pPr>
                    <w:spacing w:line="276" w:lineRule="auto"/>
                    <w:jc w:val="center"/>
                    <w:rPr>
                      <w:szCs w:val="21"/>
                    </w:rPr>
                  </w:pPr>
                </w:p>
              </w:tc>
              <w:tc>
                <w:tcPr>
                  <w:tcW w:w="879" w:type="pct"/>
                  <w:vAlign w:val="center"/>
                </w:tcPr>
                <w:p w14:paraId="007F64B6">
                  <w:pPr>
                    <w:spacing w:line="276" w:lineRule="auto"/>
                    <w:jc w:val="center"/>
                    <w:rPr>
                      <w:kern w:val="0"/>
                      <w:szCs w:val="21"/>
                    </w:rPr>
                  </w:pPr>
                  <w:r>
                    <w:rPr>
                      <w:kern w:val="0"/>
                      <w:szCs w:val="21"/>
                    </w:rPr>
                    <w:t>收缩膜封口机</w:t>
                  </w:r>
                  <w:r>
                    <w:rPr>
                      <w:rFonts w:hint="eastAsia"/>
                      <w:kern w:val="0"/>
                      <w:szCs w:val="21"/>
                    </w:rPr>
                    <w:t>1</w:t>
                  </w:r>
                </w:p>
              </w:tc>
              <w:tc>
                <w:tcPr>
                  <w:tcW w:w="693" w:type="pct"/>
                  <w:vAlign w:val="center"/>
                </w:tcPr>
                <w:p w14:paraId="3A2DFA07">
                  <w:pPr>
                    <w:spacing w:line="276" w:lineRule="auto"/>
                    <w:jc w:val="center"/>
                    <w:rPr>
                      <w:szCs w:val="21"/>
                    </w:rPr>
                  </w:pPr>
                  <w:r>
                    <w:rPr>
                      <w:rFonts w:hint="eastAsia"/>
                      <w:szCs w:val="21"/>
                    </w:rPr>
                    <w:t>70</w:t>
                  </w:r>
                </w:p>
              </w:tc>
              <w:tc>
                <w:tcPr>
                  <w:tcW w:w="587" w:type="pct"/>
                  <w:vMerge w:val="continue"/>
                  <w:vAlign w:val="center"/>
                </w:tcPr>
                <w:p w14:paraId="507AF0FE">
                  <w:pPr>
                    <w:widowControl/>
                    <w:spacing w:line="276" w:lineRule="auto"/>
                    <w:jc w:val="left"/>
                    <w:rPr>
                      <w:szCs w:val="21"/>
                    </w:rPr>
                  </w:pPr>
                </w:p>
              </w:tc>
              <w:tc>
                <w:tcPr>
                  <w:tcW w:w="542" w:type="pct"/>
                  <w:vAlign w:val="center"/>
                </w:tcPr>
                <w:p w14:paraId="1D852D46">
                  <w:pPr>
                    <w:spacing w:line="276" w:lineRule="auto"/>
                    <w:jc w:val="center"/>
                    <w:rPr>
                      <w:szCs w:val="21"/>
                    </w:rPr>
                  </w:pPr>
                  <w:r>
                    <w:rPr>
                      <w:rFonts w:hint="eastAsia"/>
                      <w:szCs w:val="21"/>
                    </w:rPr>
                    <w:t>15</w:t>
                  </w:r>
                </w:p>
              </w:tc>
              <w:tc>
                <w:tcPr>
                  <w:tcW w:w="434" w:type="pct"/>
                  <w:vAlign w:val="center"/>
                </w:tcPr>
                <w:p w14:paraId="545A7B7A">
                  <w:pPr>
                    <w:spacing w:line="276" w:lineRule="auto"/>
                    <w:jc w:val="center"/>
                    <w:rPr>
                      <w:szCs w:val="21"/>
                    </w:rPr>
                  </w:pPr>
                  <w:r>
                    <w:rPr>
                      <w:rFonts w:hint="eastAsia"/>
                      <w:szCs w:val="21"/>
                    </w:rPr>
                    <w:t>42.5</w:t>
                  </w:r>
                </w:p>
              </w:tc>
              <w:tc>
                <w:tcPr>
                  <w:tcW w:w="618" w:type="pct"/>
                  <w:vAlign w:val="center"/>
                </w:tcPr>
                <w:p w14:paraId="1E1ADCD6">
                  <w:pPr>
                    <w:spacing w:line="276" w:lineRule="auto"/>
                    <w:jc w:val="center"/>
                    <w:rPr>
                      <w:szCs w:val="21"/>
                    </w:rPr>
                  </w:pPr>
                  <w:r>
                    <w:rPr>
                      <w:rFonts w:hint="eastAsia"/>
                      <w:szCs w:val="21"/>
                    </w:rPr>
                    <w:t>10.5</w:t>
                  </w:r>
                </w:p>
              </w:tc>
              <w:tc>
                <w:tcPr>
                  <w:tcW w:w="393" w:type="pct"/>
                  <w:vAlign w:val="center"/>
                </w:tcPr>
                <w:p w14:paraId="4A257A77">
                  <w:pPr>
                    <w:spacing w:line="276" w:lineRule="auto"/>
                    <w:jc w:val="center"/>
                  </w:pPr>
                  <w:r>
                    <w:rPr>
                      <w:rFonts w:hint="eastAsia"/>
                      <w:szCs w:val="21"/>
                    </w:rPr>
                    <w:t>10</w:t>
                  </w:r>
                  <w:r>
                    <w:rPr>
                      <w:szCs w:val="21"/>
                    </w:rPr>
                    <w:t>h</w:t>
                  </w:r>
                </w:p>
              </w:tc>
            </w:tr>
          </w:tbl>
          <w:p w14:paraId="0DE66999">
            <w:pPr>
              <w:ind w:firstLine="420" w:firstLineChars="200"/>
              <w:rPr>
                <w:szCs w:val="21"/>
              </w:rPr>
            </w:pPr>
            <w:r>
              <w:rPr>
                <w:rFonts w:hint="eastAsia"/>
                <w:szCs w:val="21"/>
              </w:rPr>
              <w:t>注：以厂区西南角为坐标原点</w:t>
            </w:r>
          </w:p>
          <w:p w14:paraId="1C129EDC">
            <w:pPr>
              <w:spacing w:line="360" w:lineRule="auto"/>
              <w:ind w:firstLine="482" w:firstLineChars="200"/>
              <w:rPr>
                <w:b/>
                <w:sz w:val="24"/>
              </w:rPr>
            </w:pPr>
            <w:r>
              <w:rPr>
                <w:rFonts w:hint="eastAsia"/>
                <w:b/>
                <w:sz w:val="24"/>
              </w:rPr>
              <w:t>2、噪声预测结果</w:t>
            </w:r>
          </w:p>
          <w:p w14:paraId="282FC9BC">
            <w:pPr>
              <w:spacing w:line="360" w:lineRule="auto"/>
              <w:ind w:firstLine="464" w:firstLineChars="200"/>
              <w:rPr>
                <w:spacing w:val="-4"/>
                <w:sz w:val="24"/>
                <w:szCs w:val="24"/>
              </w:rPr>
            </w:pPr>
            <w:r>
              <w:rPr>
                <w:rFonts w:hint="eastAsia"/>
                <w:spacing w:val="-4"/>
                <w:sz w:val="24"/>
                <w:szCs w:val="24"/>
              </w:rPr>
              <w:t>根据预测模式计算出噪声源传播至各厂界</w:t>
            </w:r>
            <w:r>
              <w:rPr>
                <w:spacing w:val="-4"/>
                <w:sz w:val="24"/>
                <w:szCs w:val="24"/>
              </w:rPr>
              <w:t>1m</w:t>
            </w:r>
            <w:r>
              <w:rPr>
                <w:rFonts w:hint="eastAsia"/>
                <w:spacing w:val="-4"/>
                <w:sz w:val="24"/>
                <w:szCs w:val="24"/>
              </w:rPr>
              <w:t>处及敏感点处噪声值，结果见下表：</w:t>
            </w:r>
          </w:p>
          <w:p w14:paraId="1497308C">
            <w:pPr>
              <w:spacing w:line="360" w:lineRule="auto"/>
              <w:jc w:val="center"/>
              <w:rPr>
                <w:rFonts w:eastAsia="黑体"/>
                <w:szCs w:val="21"/>
              </w:rPr>
            </w:pPr>
            <w:r>
              <w:rPr>
                <w:rFonts w:hint="eastAsia" w:hAnsi="黑体" w:eastAsia="黑体"/>
                <w:sz w:val="24"/>
                <w:szCs w:val="24"/>
              </w:rPr>
              <w:t>表47</w:t>
            </w:r>
            <w:r>
              <w:rPr>
                <w:rFonts w:hAnsi="黑体" w:eastAsia="黑体"/>
                <w:sz w:val="24"/>
                <w:szCs w:val="24"/>
              </w:rPr>
              <w:t xml:space="preserve">  </w:t>
            </w:r>
            <w:r>
              <w:rPr>
                <w:rFonts w:hint="eastAsia" w:hAnsi="黑体" w:eastAsia="黑体"/>
                <w:sz w:val="24"/>
                <w:szCs w:val="24"/>
              </w:rPr>
              <w:t>项目噪声预测结果单位</w:t>
            </w:r>
            <w:r>
              <w:rPr>
                <w:rFonts w:hAnsi="黑体" w:eastAsia="黑体"/>
                <w:sz w:val="24"/>
                <w:szCs w:val="24"/>
              </w:rPr>
              <w:t>dB</w:t>
            </w:r>
            <w:r>
              <w:rPr>
                <w:rFonts w:hint="eastAsia" w:hAnsi="黑体" w:eastAsia="黑体"/>
                <w:sz w:val="24"/>
                <w:szCs w:val="24"/>
              </w:rPr>
              <w:t>（</w:t>
            </w:r>
            <w:r>
              <w:rPr>
                <w:rFonts w:hAnsi="黑体" w:eastAsia="黑体"/>
                <w:sz w:val="24"/>
                <w:szCs w:val="24"/>
              </w:rPr>
              <w:t>A</w:t>
            </w:r>
            <w:r>
              <w:rPr>
                <w:rFonts w:hint="eastAsia" w:hAnsi="黑体" w:eastAsia="黑体"/>
                <w:sz w:val="24"/>
                <w:szCs w:val="24"/>
              </w:rPr>
              <w:t>）</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9"/>
              <w:gridCol w:w="3020"/>
              <w:gridCol w:w="3020"/>
            </w:tblGrid>
            <w:tr w14:paraId="3012C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vMerge w:val="restart"/>
                  <w:tcBorders>
                    <w:top w:val="single" w:color="auto" w:sz="12" w:space="0"/>
                    <w:left w:val="nil"/>
                    <w:bottom w:val="single" w:color="auto" w:sz="4" w:space="0"/>
                    <w:right w:val="single" w:color="auto" w:sz="4" w:space="0"/>
                  </w:tcBorders>
                  <w:vAlign w:val="center"/>
                </w:tcPr>
                <w:p w14:paraId="70A5C51A">
                  <w:pPr>
                    <w:pStyle w:val="10"/>
                    <w:spacing w:after="0" w:line="276" w:lineRule="auto"/>
                    <w:ind w:left="0" w:leftChars="0"/>
                    <w:jc w:val="center"/>
                    <w:rPr>
                      <w:b/>
                      <w:bCs/>
                      <w:szCs w:val="21"/>
                    </w:rPr>
                  </w:pPr>
                  <w:r>
                    <w:rPr>
                      <w:rFonts w:hint="eastAsia"/>
                      <w:b/>
                      <w:bCs/>
                      <w:szCs w:val="21"/>
                    </w:rPr>
                    <w:t>预测点</w:t>
                  </w:r>
                </w:p>
              </w:tc>
              <w:tc>
                <w:tcPr>
                  <w:tcW w:w="3706" w:type="pct"/>
                  <w:gridSpan w:val="2"/>
                  <w:tcBorders>
                    <w:top w:val="single" w:color="auto" w:sz="12" w:space="0"/>
                    <w:left w:val="single" w:color="auto" w:sz="4" w:space="0"/>
                    <w:bottom w:val="single" w:color="auto" w:sz="4" w:space="0"/>
                    <w:right w:val="nil"/>
                  </w:tcBorders>
                  <w:vAlign w:val="center"/>
                </w:tcPr>
                <w:p w14:paraId="65E9D073">
                  <w:pPr>
                    <w:pStyle w:val="10"/>
                    <w:spacing w:after="0" w:line="276" w:lineRule="auto"/>
                    <w:ind w:left="0" w:leftChars="0"/>
                    <w:jc w:val="center"/>
                    <w:rPr>
                      <w:b/>
                      <w:bCs/>
                      <w:szCs w:val="21"/>
                    </w:rPr>
                  </w:pPr>
                  <w:r>
                    <w:rPr>
                      <w:rFonts w:hint="eastAsia"/>
                      <w:b/>
                      <w:bCs/>
                      <w:szCs w:val="21"/>
                    </w:rPr>
                    <w:t>贡献值</w:t>
                  </w:r>
                </w:p>
              </w:tc>
            </w:tr>
            <w:tr w14:paraId="5AD40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vMerge w:val="continue"/>
                  <w:tcBorders>
                    <w:top w:val="single" w:color="auto" w:sz="12" w:space="0"/>
                    <w:left w:val="nil"/>
                    <w:bottom w:val="single" w:color="auto" w:sz="4" w:space="0"/>
                    <w:right w:val="single" w:color="auto" w:sz="4" w:space="0"/>
                  </w:tcBorders>
                  <w:vAlign w:val="center"/>
                </w:tcPr>
                <w:p w14:paraId="5336C3B0">
                  <w:pPr>
                    <w:widowControl/>
                    <w:spacing w:line="276" w:lineRule="auto"/>
                    <w:jc w:val="left"/>
                    <w:rPr>
                      <w:b/>
                      <w:bCs/>
                      <w:szCs w:val="21"/>
                    </w:rPr>
                  </w:pPr>
                </w:p>
              </w:tc>
              <w:tc>
                <w:tcPr>
                  <w:tcW w:w="1853" w:type="pct"/>
                  <w:tcBorders>
                    <w:top w:val="single" w:color="auto" w:sz="4" w:space="0"/>
                    <w:left w:val="single" w:color="auto" w:sz="4" w:space="0"/>
                    <w:bottom w:val="single" w:color="auto" w:sz="4" w:space="0"/>
                    <w:right w:val="nil"/>
                  </w:tcBorders>
                  <w:vAlign w:val="center"/>
                </w:tcPr>
                <w:p w14:paraId="33797B1F">
                  <w:pPr>
                    <w:pStyle w:val="10"/>
                    <w:spacing w:after="0" w:line="276" w:lineRule="auto"/>
                    <w:ind w:left="0" w:leftChars="0"/>
                    <w:jc w:val="center"/>
                    <w:rPr>
                      <w:b/>
                      <w:bCs/>
                      <w:szCs w:val="21"/>
                    </w:rPr>
                  </w:pPr>
                  <w:r>
                    <w:rPr>
                      <w:rFonts w:hint="eastAsia"/>
                      <w:b/>
                      <w:bCs/>
                      <w:szCs w:val="21"/>
                    </w:rPr>
                    <w:t>昼间</w:t>
                  </w:r>
                </w:p>
              </w:tc>
              <w:tc>
                <w:tcPr>
                  <w:tcW w:w="1853" w:type="pct"/>
                  <w:tcBorders>
                    <w:top w:val="single" w:color="auto" w:sz="4" w:space="0"/>
                    <w:left w:val="single" w:color="auto" w:sz="4" w:space="0"/>
                    <w:bottom w:val="single" w:color="auto" w:sz="4" w:space="0"/>
                    <w:right w:val="nil"/>
                  </w:tcBorders>
                </w:tcPr>
                <w:p w14:paraId="2FBF5182">
                  <w:pPr>
                    <w:pStyle w:val="10"/>
                    <w:spacing w:after="0" w:line="276" w:lineRule="auto"/>
                    <w:ind w:left="0" w:leftChars="0"/>
                    <w:jc w:val="center"/>
                    <w:rPr>
                      <w:b/>
                      <w:bCs/>
                      <w:szCs w:val="21"/>
                    </w:rPr>
                  </w:pPr>
                  <w:r>
                    <w:rPr>
                      <w:rFonts w:hint="eastAsia"/>
                      <w:b/>
                      <w:bCs/>
                      <w:szCs w:val="21"/>
                    </w:rPr>
                    <w:t>夜间</w:t>
                  </w:r>
                </w:p>
              </w:tc>
            </w:tr>
            <w:tr w14:paraId="0A39A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tcBorders>
                    <w:top w:val="single" w:color="auto" w:sz="4" w:space="0"/>
                    <w:left w:val="nil"/>
                    <w:bottom w:val="single" w:color="auto" w:sz="4" w:space="0"/>
                    <w:right w:val="single" w:color="auto" w:sz="4" w:space="0"/>
                  </w:tcBorders>
                  <w:vAlign w:val="center"/>
                </w:tcPr>
                <w:p w14:paraId="27669C68">
                  <w:pPr>
                    <w:pStyle w:val="10"/>
                    <w:spacing w:after="0" w:line="276" w:lineRule="auto"/>
                    <w:ind w:left="0" w:leftChars="0"/>
                    <w:jc w:val="center"/>
                    <w:rPr>
                      <w:szCs w:val="21"/>
                    </w:rPr>
                  </w:pPr>
                  <w:r>
                    <w:rPr>
                      <w:rFonts w:hint="eastAsia"/>
                      <w:szCs w:val="21"/>
                    </w:rPr>
                    <w:t>东厂界</w:t>
                  </w:r>
                </w:p>
              </w:tc>
              <w:tc>
                <w:tcPr>
                  <w:tcW w:w="1853" w:type="pct"/>
                  <w:tcBorders>
                    <w:top w:val="single" w:color="auto" w:sz="4" w:space="0"/>
                    <w:left w:val="single" w:color="auto" w:sz="4" w:space="0"/>
                    <w:bottom w:val="single" w:color="auto" w:sz="4" w:space="0"/>
                    <w:right w:val="nil"/>
                  </w:tcBorders>
                  <w:vAlign w:val="center"/>
                </w:tcPr>
                <w:p w14:paraId="036E2CEF">
                  <w:pPr>
                    <w:spacing w:line="276" w:lineRule="auto"/>
                    <w:jc w:val="center"/>
                    <w:rPr>
                      <w:szCs w:val="21"/>
                    </w:rPr>
                  </w:pPr>
                  <w:r>
                    <w:rPr>
                      <w:rFonts w:hint="eastAsia"/>
                      <w:szCs w:val="21"/>
                    </w:rPr>
                    <w:t>40.1</w:t>
                  </w:r>
                </w:p>
              </w:tc>
              <w:tc>
                <w:tcPr>
                  <w:tcW w:w="1853" w:type="pct"/>
                  <w:tcBorders>
                    <w:top w:val="single" w:color="auto" w:sz="4" w:space="0"/>
                    <w:left w:val="single" w:color="auto" w:sz="4" w:space="0"/>
                    <w:bottom w:val="single" w:color="auto" w:sz="4" w:space="0"/>
                    <w:right w:val="nil"/>
                  </w:tcBorders>
                  <w:vAlign w:val="center"/>
                </w:tcPr>
                <w:p w14:paraId="23D16088">
                  <w:pPr>
                    <w:spacing w:line="276" w:lineRule="auto"/>
                    <w:jc w:val="center"/>
                    <w:rPr>
                      <w:szCs w:val="21"/>
                    </w:rPr>
                  </w:pPr>
                  <w:r>
                    <w:rPr>
                      <w:rFonts w:hint="eastAsia"/>
                      <w:szCs w:val="21"/>
                    </w:rPr>
                    <w:t>40.1</w:t>
                  </w:r>
                </w:p>
              </w:tc>
            </w:tr>
            <w:tr w14:paraId="6EA2C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tcBorders>
                    <w:top w:val="single" w:color="auto" w:sz="4" w:space="0"/>
                    <w:left w:val="nil"/>
                    <w:bottom w:val="single" w:color="auto" w:sz="4" w:space="0"/>
                    <w:right w:val="single" w:color="auto" w:sz="4" w:space="0"/>
                  </w:tcBorders>
                  <w:vAlign w:val="center"/>
                </w:tcPr>
                <w:p w14:paraId="3EA3A92E">
                  <w:pPr>
                    <w:pStyle w:val="10"/>
                    <w:spacing w:after="0" w:line="276" w:lineRule="auto"/>
                    <w:ind w:left="0" w:leftChars="0"/>
                    <w:jc w:val="center"/>
                    <w:rPr>
                      <w:szCs w:val="21"/>
                    </w:rPr>
                  </w:pPr>
                  <w:r>
                    <w:rPr>
                      <w:rFonts w:hint="eastAsia"/>
                      <w:szCs w:val="21"/>
                    </w:rPr>
                    <w:t>南厂界</w:t>
                  </w:r>
                </w:p>
              </w:tc>
              <w:tc>
                <w:tcPr>
                  <w:tcW w:w="1853" w:type="pct"/>
                  <w:tcBorders>
                    <w:top w:val="single" w:color="auto" w:sz="4" w:space="0"/>
                    <w:left w:val="single" w:color="auto" w:sz="4" w:space="0"/>
                    <w:bottom w:val="single" w:color="auto" w:sz="4" w:space="0"/>
                    <w:right w:val="nil"/>
                  </w:tcBorders>
                  <w:vAlign w:val="center"/>
                </w:tcPr>
                <w:p w14:paraId="74D8AA8E">
                  <w:pPr>
                    <w:spacing w:line="276" w:lineRule="auto"/>
                    <w:jc w:val="center"/>
                    <w:rPr>
                      <w:szCs w:val="21"/>
                    </w:rPr>
                  </w:pPr>
                  <w:r>
                    <w:rPr>
                      <w:rFonts w:hint="eastAsia"/>
                      <w:szCs w:val="21"/>
                    </w:rPr>
                    <w:t>40.6</w:t>
                  </w:r>
                </w:p>
              </w:tc>
              <w:tc>
                <w:tcPr>
                  <w:tcW w:w="1853" w:type="pct"/>
                  <w:tcBorders>
                    <w:top w:val="single" w:color="auto" w:sz="4" w:space="0"/>
                    <w:left w:val="single" w:color="auto" w:sz="4" w:space="0"/>
                    <w:bottom w:val="single" w:color="auto" w:sz="4" w:space="0"/>
                    <w:right w:val="nil"/>
                  </w:tcBorders>
                  <w:vAlign w:val="center"/>
                </w:tcPr>
                <w:p w14:paraId="399C9F51">
                  <w:pPr>
                    <w:spacing w:line="276" w:lineRule="auto"/>
                    <w:jc w:val="center"/>
                    <w:rPr>
                      <w:szCs w:val="21"/>
                    </w:rPr>
                  </w:pPr>
                  <w:r>
                    <w:rPr>
                      <w:rFonts w:hint="eastAsia"/>
                      <w:szCs w:val="21"/>
                    </w:rPr>
                    <w:t>40.6</w:t>
                  </w:r>
                </w:p>
              </w:tc>
            </w:tr>
            <w:tr w14:paraId="73BAF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tcBorders>
                    <w:top w:val="single" w:color="auto" w:sz="4" w:space="0"/>
                    <w:left w:val="nil"/>
                    <w:bottom w:val="single" w:color="auto" w:sz="4" w:space="0"/>
                    <w:right w:val="single" w:color="auto" w:sz="4" w:space="0"/>
                  </w:tcBorders>
                  <w:vAlign w:val="center"/>
                </w:tcPr>
                <w:p w14:paraId="479B7E6A">
                  <w:pPr>
                    <w:pStyle w:val="10"/>
                    <w:spacing w:after="0" w:line="276" w:lineRule="auto"/>
                    <w:ind w:left="0" w:leftChars="0"/>
                    <w:jc w:val="center"/>
                    <w:rPr>
                      <w:szCs w:val="21"/>
                    </w:rPr>
                  </w:pPr>
                  <w:r>
                    <w:rPr>
                      <w:rFonts w:hint="eastAsia"/>
                      <w:szCs w:val="21"/>
                    </w:rPr>
                    <w:t>西厂界</w:t>
                  </w:r>
                </w:p>
              </w:tc>
              <w:tc>
                <w:tcPr>
                  <w:tcW w:w="1853" w:type="pct"/>
                  <w:tcBorders>
                    <w:top w:val="single" w:color="auto" w:sz="4" w:space="0"/>
                    <w:left w:val="single" w:color="auto" w:sz="4" w:space="0"/>
                    <w:bottom w:val="single" w:color="auto" w:sz="4" w:space="0"/>
                    <w:right w:val="nil"/>
                  </w:tcBorders>
                  <w:vAlign w:val="center"/>
                </w:tcPr>
                <w:p w14:paraId="14D7D913">
                  <w:pPr>
                    <w:spacing w:line="276" w:lineRule="auto"/>
                    <w:jc w:val="center"/>
                    <w:rPr>
                      <w:szCs w:val="21"/>
                    </w:rPr>
                  </w:pPr>
                  <w:r>
                    <w:rPr>
                      <w:rFonts w:hint="eastAsia"/>
                      <w:szCs w:val="21"/>
                    </w:rPr>
                    <w:t>46.1</w:t>
                  </w:r>
                </w:p>
              </w:tc>
              <w:tc>
                <w:tcPr>
                  <w:tcW w:w="1853" w:type="pct"/>
                  <w:tcBorders>
                    <w:top w:val="single" w:color="auto" w:sz="4" w:space="0"/>
                    <w:left w:val="single" w:color="auto" w:sz="4" w:space="0"/>
                    <w:bottom w:val="single" w:color="auto" w:sz="4" w:space="0"/>
                    <w:right w:val="nil"/>
                  </w:tcBorders>
                  <w:vAlign w:val="center"/>
                </w:tcPr>
                <w:p w14:paraId="240981D7">
                  <w:pPr>
                    <w:spacing w:line="276" w:lineRule="auto"/>
                    <w:jc w:val="center"/>
                    <w:rPr>
                      <w:szCs w:val="21"/>
                    </w:rPr>
                  </w:pPr>
                  <w:r>
                    <w:rPr>
                      <w:rFonts w:hint="eastAsia"/>
                      <w:szCs w:val="21"/>
                    </w:rPr>
                    <w:t>46.1</w:t>
                  </w:r>
                </w:p>
              </w:tc>
            </w:tr>
            <w:tr w14:paraId="26783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94" w:type="pct"/>
                  <w:tcBorders>
                    <w:top w:val="single" w:color="auto" w:sz="4" w:space="0"/>
                    <w:left w:val="nil"/>
                    <w:bottom w:val="single" w:color="auto" w:sz="12" w:space="0"/>
                    <w:right w:val="single" w:color="auto" w:sz="4" w:space="0"/>
                  </w:tcBorders>
                  <w:vAlign w:val="center"/>
                </w:tcPr>
                <w:p w14:paraId="42CC301C">
                  <w:pPr>
                    <w:pStyle w:val="10"/>
                    <w:spacing w:after="0" w:line="276" w:lineRule="auto"/>
                    <w:ind w:left="0" w:leftChars="0"/>
                    <w:jc w:val="center"/>
                    <w:rPr>
                      <w:szCs w:val="21"/>
                    </w:rPr>
                  </w:pPr>
                  <w:r>
                    <w:rPr>
                      <w:rFonts w:hint="eastAsia"/>
                      <w:szCs w:val="21"/>
                    </w:rPr>
                    <w:t>北厂界</w:t>
                  </w:r>
                </w:p>
              </w:tc>
              <w:tc>
                <w:tcPr>
                  <w:tcW w:w="1853" w:type="pct"/>
                  <w:tcBorders>
                    <w:top w:val="single" w:color="auto" w:sz="4" w:space="0"/>
                    <w:left w:val="single" w:color="auto" w:sz="4" w:space="0"/>
                    <w:bottom w:val="single" w:color="auto" w:sz="12" w:space="0"/>
                    <w:right w:val="nil"/>
                  </w:tcBorders>
                  <w:vAlign w:val="center"/>
                </w:tcPr>
                <w:p w14:paraId="12ADA853">
                  <w:pPr>
                    <w:spacing w:line="276" w:lineRule="auto"/>
                    <w:jc w:val="center"/>
                    <w:rPr>
                      <w:szCs w:val="21"/>
                    </w:rPr>
                  </w:pPr>
                  <w:r>
                    <w:rPr>
                      <w:rFonts w:hint="eastAsia"/>
                      <w:szCs w:val="21"/>
                    </w:rPr>
                    <w:t>42.0</w:t>
                  </w:r>
                </w:p>
              </w:tc>
              <w:tc>
                <w:tcPr>
                  <w:tcW w:w="1853" w:type="pct"/>
                  <w:tcBorders>
                    <w:top w:val="single" w:color="auto" w:sz="4" w:space="0"/>
                    <w:left w:val="single" w:color="auto" w:sz="4" w:space="0"/>
                    <w:bottom w:val="single" w:color="auto" w:sz="12" w:space="0"/>
                    <w:right w:val="nil"/>
                  </w:tcBorders>
                  <w:vAlign w:val="center"/>
                </w:tcPr>
                <w:p w14:paraId="041094B9">
                  <w:pPr>
                    <w:spacing w:line="276" w:lineRule="auto"/>
                    <w:jc w:val="center"/>
                    <w:rPr>
                      <w:szCs w:val="21"/>
                    </w:rPr>
                  </w:pPr>
                  <w:r>
                    <w:rPr>
                      <w:rFonts w:hint="eastAsia"/>
                      <w:szCs w:val="21"/>
                    </w:rPr>
                    <w:t>42.0</w:t>
                  </w:r>
                </w:p>
              </w:tc>
            </w:tr>
          </w:tbl>
          <w:p w14:paraId="1CE4C013">
            <w:pPr>
              <w:spacing w:line="360" w:lineRule="auto"/>
              <w:ind w:firstLine="480" w:firstLineChars="200"/>
              <w:rPr>
                <w:sz w:val="24"/>
              </w:rPr>
            </w:pPr>
            <w:r>
              <w:rPr>
                <w:rFonts w:hint="eastAsia"/>
                <w:sz w:val="24"/>
                <w:szCs w:val="28"/>
              </w:rPr>
              <w:t>根据预测结果可知，故项目东、南、西、北昼夜间厂界噪声均能够满足《工业企业厂界环境噪声排放标准》</w:t>
            </w:r>
            <w:r>
              <w:rPr>
                <w:sz w:val="24"/>
                <w:szCs w:val="28"/>
              </w:rPr>
              <w:t>(GB12348-2008)</w:t>
            </w:r>
            <w:r>
              <w:rPr>
                <w:rFonts w:hint="eastAsia"/>
                <w:sz w:val="24"/>
                <w:szCs w:val="28"/>
              </w:rPr>
              <w:t>中2类标准，对周边环境影响较小。</w:t>
            </w:r>
          </w:p>
          <w:p w14:paraId="0942FF7A">
            <w:pPr>
              <w:spacing w:line="360" w:lineRule="auto"/>
              <w:ind w:firstLine="482" w:firstLineChars="200"/>
              <w:rPr>
                <w:b/>
                <w:sz w:val="24"/>
                <w:szCs w:val="28"/>
              </w:rPr>
            </w:pPr>
            <w:r>
              <w:rPr>
                <w:rFonts w:hint="eastAsia"/>
                <w:b/>
                <w:sz w:val="24"/>
                <w:szCs w:val="28"/>
              </w:rPr>
              <w:t>3、</w:t>
            </w:r>
            <w:r>
              <w:rPr>
                <w:rFonts w:hint="eastAsia"/>
                <w:b/>
                <w:bCs/>
                <w:sz w:val="24"/>
              </w:rPr>
              <w:t>噪声污染防治措施</w:t>
            </w:r>
          </w:p>
          <w:p w14:paraId="6E64EE65">
            <w:pPr>
              <w:widowControl/>
              <w:spacing w:line="360" w:lineRule="auto"/>
              <w:ind w:firstLine="480" w:firstLineChars="200"/>
            </w:pPr>
            <w:r>
              <w:rPr>
                <w:rFonts w:hint="eastAsia" w:ascii="宋体" w:hAnsi="宋体" w:cs="宋体"/>
                <w:kern w:val="0"/>
                <w:sz w:val="24"/>
              </w:rPr>
              <w:t>为尽可能降低噪声对周围环境的影响，建议采取如下防治措施：</w:t>
            </w:r>
          </w:p>
          <w:p w14:paraId="4E56AB80">
            <w:pPr>
              <w:widowControl/>
              <w:spacing w:line="360" w:lineRule="auto"/>
              <w:ind w:firstLine="480" w:firstLineChars="200"/>
            </w:pPr>
            <w:r>
              <w:rPr>
                <w:rFonts w:hint="eastAsia" w:ascii="宋体" w:hAnsi="宋体" w:cs="宋体"/>
                <w:kern w:val="0"/>
                <w:sz w:val="24"/>
              </w:rPr>
              <w:t>（</w:t>
            </w:r>
            <w:r>
              <w:rPr>
                <w:kern w:val="0"/>
                <w:sz w:val="24"/>
              </w:rPr>
              <w:t>1</w:t>
            </w:r>
            <w:r>
              <w:rPr>
                <w:rFonts w:hint="eastAsia" w:ascii="宋体" w:hAnsi="宋体" w:cs="宋体"/>
                <w:kern w:val="0"/>
                <w:sz w:val="24"/>
              </w:rPr>
              <w:t>）从声源上降低噪声是最积极的措施，设备选型考虑尽可能采用低噪声设备，高噪声设备底部应安装减振基础；</w:t>
            </w:r>
          </w:p>
          <w:p w14:paraId="4E8EC46E">
            <w:pPr>
              <w:widowControl/>
              <w:spacing w:line="360" w:lineRule="auto"/>
              <w:ind w:firstLine="480" w:firstLineChars="200"/>
            </w:pPr>
            <w:r>
              <w:rPr>
                <w:rFonts w:hint="eastAsia" w:ascii="宋体" w:hAnsi="宋体" w:cs="宋体"/>
                <w:kern w:val="0"/>
                <w:sz w:val="24"/>
              </w:rPr>
              <w:t>（</w:t>
            </w:r>
            <w:r>
              <w:rPr>
                <w:kern w:val="0"/>
                <w:sz w:val="24"/>
              </w:rPr>
              <w:t>2</w:t>
            </w:r>
            <w:r>
              <w:rPr>
                <w:rFonts w:hint="eastAsia" w:ascii="宋体" w:hAnsi="宋体" w:cs="宋体"/>
                <w:kern w:val="0"/>
                <w:sz w:val="24"/>
              </w:rPr>
              <w:t>）定期检查、维修设备，使设备处于良好的运行状态，防止机械噪声的升高；</w:t>
            </w:r>
          </w:p>
          <w:p w14:paraId="16048A6C">
            <w:pPr>
              <w:widowControl/>
              <w:spacing w:line="360" w:lineRule="auto"/>
              <w:ind w:firstLine="480" w:firstLineChars="200"/>
            </w:pPr>
            <w:r>
              <w:rPr>
                <w:rFonts w:hint="eastAsia" w:ascii="宋体" w:hAnsi="宋体" w:cs="宋体"/>
                <w:kern w:val="0"/>
                <w:sz w:val="24"/>
              </w:rPr>
              <w:t>（</w:t>
            </w:r>
            <w:r>
              <w:rPr>
                <w:kern w:val="0"/>
                <w:sz w:val="24"/>
              </w:rPr>
              <w:t>3</w:t>
            </w:r>
            <w:r>
              <w:rPr>
                <w:rFonts w:hint="eastAsia" w:ascii="宋体" w:hAnsi="宋体" w:cs="宋体"/>
                <w:kern w:val="0"/>
                <w:sz w:val="24"/>
              </w:rPr>
              <w:t>）合理布局，高噪声的生产设备均置于生产车间内，远离厂界，减少噪声对外界环境的影响。</w:t>
            </w:r>
          </w:p>
          <w:p w14:paraId="32143A28">
            <w:pPr>
              <w:widowControl/>
              <w:spacing w:line="360" w:lineRule="auto"/>
              <w:ind w:firstLine="480" w:firstLineChars="200"/>
              <w:rPr>
                <w:rFonts w:ascii="宋体" w:hAnsi="宋体" w:cs="宋体"/>
                <w:kern w:val="0"/>
                <w:sz w:val="24"/>
              </w:rPr>
            </w:pPr>
            <w:r>
              <w:rPr>
                <w:rFonts w:hint="eastAsia" w:ascii="宋体" w:hAnsi="宋体" w:cs="宋体"/>
                <w:kern w:val="0"/>
                <w:sz w:val="24"/>
              </w:rPr>
              <w:t>（</w:t>
            </w:r>
            <w:r>
              <w:rPr>
                <w:kern w:val="0"/>
                <w:sz w:val="24"/>
              </w:rPr>
              <w:t>4</w:t>
            </w:r>
            <w:r>
              <w:rPr>
                <w:rFonts w:hint="eastAsia" w:ascii="宋体" w:hAnsi="宋体" w:cs="宋体"/>
                <w:kern w:val="0"/>
                <w:sz w:val="24"/>
              </w:rPr>
              <w:t xml:space="preserve">）加强设备维护，确保设备处于良好运转状态，杜绝因设备不正常运转时产生的高噪声现象。 </w:t>
            </w:r>
          </w:p>
          <w:p w14:paraId="6BA2E921">
            <w:pPr>
              <w:spacing w:line="360" w:lineRule="auto"/>
              <w:ind w:firstLine="480" w:firstLineChars="200"/>
              <w:rPr>
                <w:bCs/>
                <w:spacing w:val="6"/>
                <w:sz w:val="24"/>
              </w:rPr>
            </w:pPr>
            <w:r>
              <w:rPr>
                <w:rFonts w:hint="eastAsia" w:ascii="宋体" w:hAnsi="宋体" w:cs="宋体"/>
                <w:kern w:val="0"/>
                <w:sz w:val="24"/>
              </w:rPr>
              <w:t>（</w:t>
            </w:r>
            <w:r>
              <w:rPr>
                <w:kern w:val="0"/>
                <w:sz w:val="24"/>
              </w:rPr>
              <w:t>5</w:t>
            </w:r>
            <w:r>
              <w:rPr>
                <w:rFonts w:hint="eastAsia" w:ascii="宋体" w:hAnsi="宋体" w:cs="宋体"/>
                <w:kern w:val="0"/>
                <w:sz w:val="24"/>
              </w:rPr>
              <w:t>）生产厂房设置隔声墙、隔声窗，</w:t>
            </w:r>
            <w:r>
              <w:rPr>
                <w:rFonts w:hint="eastAsia"/>
                <w:bCs/>
                <w:spacing w:val="6"/>
                <w:sz w:val="24"/>
              </w:rPr>
              <w:t>可将设备运行噪声对周边影响降到最低。</w:t>
            </w:r>
          </w:p>
          <w:p w14:paraId="36957A1B">
            <w:pPr>
              <w:spacing w:line="360" w:lineRule="auto"/>
              <w:ind w:firstLine="504" w:firstLineChars="200"/>
              <w:rPr>
                <w:bCs/>
                <w:spacing w:val="6"/>
                <w:sz w:val="24"/>
              </w:rPr>
            </w:pPr>
            <w:r>
              <w:rPr>
                <w:rFonts w:hint="eastAsia"/>
                <w:bCs/>
                <w:spacing w:val="6"/>
                <w:sz w:val="24"/>
              </w:rPr>
              <w:t>（6）针对大噪声风机应设置隔音罩。</w:t>
            </w:r>
          </w:p>
          <w:p w14:paraId="78A362AA">
            <w:pPr>
              <w:spacing w:line="360" w:lineRule="auto"/>
              <w:ind w:firstLine="482" w:firstLineChars="200"/>
              <w:rPr>
                <w:b/>
                <w:sz w:val="24"/>
              </w:rPr>
            </w:pPr>
            <w:r>
              <w:rPr>
                <w:rFonts w:hint="eastAsia"/>
                <w:b/>
                <w:sz w:val="24"/>
              </w:rPr>
              <w:t>4、环境监测计划</w:t>
            </w:r>
          </w:p>
          <w:p w14:paraId="49E18D9E">
            <w:pPr>
              <w:spacing w:line="360" w:lineRule="auto"/>
              <w:ind w:firstLine="480" w:firstLineChars="200"/>
              <w:rPr>
                <w:sz w:val="24"/>
              </w:rPr>
            </w:pPr>
            <w:r>
              <w:rPr>
                <w:rFonts w:hint="eastAsia"/>
                <w:sz w:val="24"/>
              </w:rPr>
              <w:t>项目噪声监测频次参照《排污单位自行监测技术指南</w:t>
            </w:r>
            <w:r>
              <w:rPr>
                <w:sz w:val="24"/>
              </w:rPr>
              <w:t xml:space="preserve"> </w:t>
            </w:r>
            <w:r>
              <w:rPr>
                <w:rFonts w:hint="eastAsia"/>
                <w:sz w:val="24"/>
              </w:rPr>
              <w:t>总则》（</w:t>
            </w:r>
            <w:r>
              <w:rPr>
                <w:sz w:val="24"/>
              </w:rPr>
              <w:t>HJ819-2017</w:t>
            </w:r>
            <w:r>
              <w:rPr>
                <w:rFonts w:hint="eastAsia"/>
                <w:sz w:val="24"/>
              </w:rPr>
              <w:t>）、《排污许可证申请与核发技术规范 工业噪声》（H</w:t>
            </w:r>
            <w:r>
              <w:rPr>
                <w:sz w:val="24"/>
              </w:rPr>
              <w:t>J1301-2023</w:t>
            </w:r>
            <w:r>
              <w:rPr>
                <w:rFonts w:hint="eastAsia"/>
                <w:sz w:val="24"/>
              </w:rPr>
              <w:t>）中规定执行。</w:t>
            </w:r>
          </w:p>
          <w:p w14:paraId="16C543A1">
            <w:pPr>
              <w:spacing w:line="360" w:lineRule="auto"/>
              <w:jc w:val="center"/>
              <w:rPr>
                <w:rFonts w:eastAsia="黑体"/>
                <w:sz w:val="24"/>
              </w:rPr>
            </w:pPr>
            <w:r>
              <w:rPr>
                <w:rFonts w:hint="eastAsia" w:hAnsi="黑体" w:eastAsia="黑体"/>
                <w:sz w:val="24"/>
                <w:szCs w:val="24"/>
              </w:rPr>
              <w:t>表48</w:t>
            </w:r>
            <w:r>
              <w:rPr>
                <w:rFonts w:hAnsi="黑体" w:eastAsia="黑体"/>
                <w:sz w:val="24"/>
                <w:szCs w:val="24"/>
              </w:rPr>
              <w:t xml:space="preserve">  </w:t>
            </w:r>
            <w:r>
              <w:rPr>
                <w:rFonts w:hint="eastAsia" w:hAnsi="黑体" w:eastAsia="黑体"/>
                <w:sz w:val="24"/>
                <w:szCs w:val="24"/>
              </w:rPr>
              <w:t>污染源监测计划表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2340"/>
              <w:gridCol w:w="1734"/>
              <w:gridCol w:w="2038"/>
            </w:tblGrid>
            <w:tr w14:paraId="7E805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 w:hRule="atLeast"/>
              </w:trPr>
              <w:tc>
                <w:tcPr>
                  <w:tcW w:w="1250" w:type="pct"/>
                  <w:tcBorders>
                    <w:top w:val="single" w:color="auto" w:sz="12" w:space="0"/>
                    <w:left w:val="nil"/>
                    <w:bottom w:val="single" w:color="auto" w:sz="4" w:space="0"/>
                    <w:right w:val="single" w:color="auto" w:sz="4" w:space="0"/>
                  </w:tcBorders>
                  <w:vAlign w:val="center"/>
                </w:tcPr>
                <w:p w14:paraId="32ED6079">
                  <w:pPr>
                    <w:spacing w:line="276" w:lineRule="auto"/>
                    <w:jc w:val="center"/>
                    <w:rPr>
                      <w:b/>
                      <w:szCs w:val="21"/>
                    </w:rPr>
                  </w:pPr>
                  <w:r>
                    <w:rPr>
                      <w:rFonts w:hint="eastAsia" w:hAnsi="宋体"/>
                      <w:b/>
                      <w:szCs w:val="21"/>
                    </w:rPr>
                    <w:t>类型</w:t>
                  </w:r>
                </w:p>
              </w:tc>
              <w:tc>
                <w:tcPr>
                  <w:tcW w:w="1436" w:type="pct"/>
                  <w:tcBorders>
                    <w:top w:val="single" w:color="auto" w:sz="12" w:space="0"/>
                    <w:left w:val="single" w:color="auto" w:sz="4" w:space="0"/>
                    <w:bottom w:val="single" w:color="auto" w:sz="4" w:space="0"/>
                    <w:right w:val="single" w:color="auto" w:sz="4" w:space="0"/>
                  </w:tcBorders>
                  <w:vAlign w:val="center"/>
                </w:tcPr>
                <w:p w14:paraId="543405F7">
                  <w:pPr>
                    <w:spacing w:line="276" w:lineRule="auto"/>
                    <w:jc w:val="center"/>
                    <w:rPr>
                      <w:b/>
                      <w:szCs w:val="21"/>
                    </w:rPr>
                  </w:pPr>
                  <w:r>
                    <w:rPr>
                      <w:rFonts w:hint="eastAsia" w:hAnsi="宋体"/>
                      <w:b/>
                      <w:szCs w:val="21"/>
                    </w:rPr>
                    <w:t>监测项目</w:t>
                  </w:r>
                </w:p>
              </w:tc>
              <w:tc>
                <w:tcPr>
                  <w:tcW w:w="1064" w:type="pct"/>
                  <w:tcBorders>
                    <w:top w:val="single" w:color="auto" w:sz="12" w:space="0"/>
                    <w:left w:val="single" w:color="auto" w:sz="4" w:space="0"/>
                    <w:bottom w:val="single" w:color="auto" w:sz="4" w:space="0"/>
                    <w:right w:val="single" w:color="auto" w:sz="4" w:space="0"/>
                  </w:tcBorders>
                  <w:vAlign w:val="center"/>
                </w:tcPr>
                <w:p w14:paraId="6F3F2517">
                  <w:pPr>
                    <w:spacing w:line="276" w:lineRule="auto"/>
                    <w:jc w:val="center"/>
                    <w:rPr>
                      <w:b/>
                      <w:szCs w:val="21"/>
                    </w:rPr>
                  </w:pPr>
                  <w:r>
                    <w:rPr>
                      <w:rFonts w:hint="eastAsia" w:hAnsi="宋体"/>
                      <w:b/>
                      <w:szCs w:val="21"/>
                    </w:rPr>
                    <w:t>监测点位</w:t>
                  </w:r>
                </w:p>
              </w:tc>
              <w:tc>
                <w:tcPr>
                  <w:tcW w:w="1250" w:type="pct"/>
                  <w:tcBorders>
                    <w:top w:val="single" w:color="auto" w:sz="12" w:space="0"/>
                    <w:left w:val="single" w:color="auto" w:sz="4" w:space="0"/>
                    <w:bottom w:val="single" w:color="auto" w:sz="4" w:space="0"/>
                    <w:right w:val="nil"/>
                  </w:tcBorders>
                  <w:vAlign w:val="center"/>
                </w:tcPr>
                <w:p w14:paraId="5D8165F7">
                  <w:pPr>
                    <w:spacing w:line="276" w:lineRule="auto"/>
                    <w:jc w:val="center"/>
                    <w:rPr>
                      <w:b/>
                      <w:szCs w:val="21"/>
                    </w:rPr>
                  </w:pPr>
                  <w:r>
                    <w:rPr>
                      <w:rFonts w:hint="eastAsia" w:hAnsi="宋体"/>
                      <w:b/>
                      <w:szCs w:val="21"/>
                    </w:rPr>
                    <w:t>监测频次</w:t>
                  </w:r>
                </w:p>
              </w:tc>
            </w:tr>
            <w:tr w14:paraId="40FDA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op w:val="single" w:color="auto" w:sz="4" w:space="0"/>
                    <w:left w:val="nil"/>
                    <w:bottom w:val="single" w:color="auto" w:sz="12" w:space="0"/>
                    <w:right w:val="single" w:color="auto" w:sz="4" w:space="0"/>
                  </w:tcBorders>
                  <w:vAlign w:val="center"/>
                </w:tcPr>
                <w:p w14:paraId="193D7024">
                  <w:pPr>
                    <w:spacing w:line="276" w:lineRule="auto"/>
                    <w:jc w:val="center"/>
                    <w:rPr>
                      <w:szCs w:val="21"/>
                    </w:rPr>
                  </w:pPr>
                  <w:r>
                    <w:rPr>
                      <w:rFonts w:hint="eastAsia"/>
                      <w:szCs w:val="21"/>
                    </w:rPr>
                    <w:t>噪声</w:t>
                  </w:r>
                </w:p>
              </w:tc>
              <w:tc>
                <w:tcPr>
                  <w:tcW w:w="1436" w:type="pct"/>
                  <w:tcBorders>
                    <w:top w:val="single" w:color="auto" w:sz="4" w:space="0"/>
                    <w:left w:val="single" w:color="auto" w:sz="4" w:space="0"/>
                    <w:bottom w:val="single" w:color="auto" w:sz="12" w:space="0"/>
                    <w:right w:val="single" w:color="auto" w:sz="4" w:space="0"/>
                  </w:tcBorders>
                  <w:vAlign w:val="center"/>
                </w:tcPr>
                <w:p w14:paraId="6B6F62F9">
                  <w:pPr>
                    <w:spacing w:line="276" w:lineRule="auto"/>
                    <w:jc w:val="center"/>
                    <w:rPr>
                      <w:szCs w:val="21"/>
                    </w:rPr>
                  </w:pPr>
                  <w:r>
                    <w:rPr>
                      <w:rFonts w:hint="eastAsia"/>
                      <w:szCs w:val="21"/>
                    </w:rPr>
                    <w:t>等效连续</w:t>
                  </w:r>
                  <w:r>
                    <w:rPr>
                      <w:szCs w:val="21"/>
                    </w:rPr>
                    <w:t>A</w:t>
                  </w:r>
                  <w:r>
                    <w:rPr>
                      <w:rFonts w:hint="eastAsia"/>
                      <w:szCs w:val="21"/>
                    </w:rPr>
                    <w:t>声级</w:t>
                  </w:r>
                </w:p>
              </w:tc>
              <w:tc>
                <w:tcPr>
                  <w:tcW w:w="1064" w:type="pct"/>
                  <w:tcBorders>
                    <w:top w:val="single" w:color="auto" w:sz="4" w:space="0"/>
                    <w:left w:val="single" w:color="auto" w:sz="4" w:space="0"/>
                    <w:bottom w:val="single" w:color="auto" w:sz="12" w:space="0"/>
                    <w:right w:val="single" w:color="auto" w:sz="4" w:space="0"/>
                  </w:tcBorders>
                  <w:vAlign w:val="center"/>
                </w:tcPr>
                <w:p w14:paraId="3D247CEC">
                  <w:pPr>
                    <w:spacing w:line="276" w:lineRule="auto"/>
                    <w:jc w:val="center"/>
                    <w:rPr>
                      <w:szCs w:val="21"/>
                    </w:rPr>
                  </w:pPr>
                  <w:r>
                    <w:rPr>
                      <w:rFonts w:hint="eastAsia"/>
                      <w:szCs w:val="21"/>
                    </w:rPr>
                    <w:t>厂界外</w:t>
                  </w:r>
                  <w:r>
                    <w:rPr>
                      <w:szCs w:val="21"/>
                    </w:rPr>
                    <w:t>1m</w:t>
                  </w:r>
                  <w:r>
                    <w:rPr>
                      <w:rFonts w:hint="eastAsia"/>
                      <w:szCs w:val="21"/>
                    </w:rPr>
                    <w:t>处</w:t>
                  </w:r>
                </w:p>
              </w:tc>
              <w:tc>
                <w:tcPr>
                  <w:tcW w:w="1250" w:type="pct"/>
                  <w:tcBorders>
                    <w:top w:val="single" w:color="auto" w:sz="4" w:space="0"/>
                    <w:left w:val="single" w:color="auto" w:sz="4" w:space="0"/>
                    <w:bottom w:val="single" w:color="auto" w:sz="12" w:space="0"/>
                    <w:right w:val="nil"/>
                  </w:tcBorders>
                  <w:vAlign w:val="center"/>
                </w:tcPr>
                <w:p w14:paraId="6DED82EC">
                  <w:pPr>
                    <w:spacing w:line="276" w:lineRule="auto"/>
                    <w:jc w:val="center"/>
                    <w:rPr>
                      <w:szCs w:val="21"/>
                    </w:rPr>
                  </w:pPr>
                  <w:r>
                    <w:rPr>
                      <w:szCs w:val="21"/>
                    </w:rPr>
                    <w:t>1</w:t>
                  </w:r>
                  <w:r>
                    <w:rPr>
                      <w:rFonts w:hint="eastAsia"/>
                      <w:szCs w:val="21"/>
                    </w:rPr>
                    <w:t>次</w:t>
                  </w:r>
                  <w:r>
                    <w:rPr>
                      <w:szCs w:val="21"/>
                    </w:rPr>
                    <w:t>/</w:t>
                  </w:r>
                  <w:r>
                    <w:rPr>
                      <w:rFonts w:hint="eastAsia"/>
                      <w:szCs w:val="21"/>
                    </w:rPr>
                    <w:t>季度</w:t>
                  </w:r>
                </w:p>
              </w:tc>
            </w:tr>
          </w:tbl>
          <w:p w14:paraId="5C76B1E2">
            <w:pPr>
              <w:spacing w:line="360" w:lineRule="auto"/>
              <w:ind w:firstLine="482" w:firstLineChars="200"/>
              <w:jc w:val="left"/>
              <w:rPr>
                <w:b/>
                <w:snapToGrid w:val="0"/>
                <w:kern w:val="0"/>
                <w:sz w:val="24"/>
              </w:rPr>
            </w:pPr>
            <w:r>
              <w:rPr>
                <w:rFonts w:hint="eastAsia"/>
                <w:b/>
                <w:snapToGrid w:val="0"/>
                <w:kern w:val="0"/>
                <w:sz w:val="24"/>
              </w:rPr>
              <w:t>四、</w:t>
            </w:r>
            <w:r>
              <w:rPr>
                <w:rFonts w:hint="eastAsia" w:hAnsi="宋体"/>
                <w:b/>
                <w:snapToGrid w:val="0"/>
                <w:kern w:val="0"/>
                <w:sz w:val="24"/>
              </w:rPr>
              <w:t>固废</w:t>
            </w:r>
            <w:r>
              <w:rPr>
                <w:rFonts w:hAnsi="宋体"/>
                <w:b/>
                <w:snapToGrid w:val="0"/>
                <w:kern w:val="0"/>
                <w:sz w:val="24"/>
              </w:rPr>
              <w:t>源强</w:t>
            </w:r>
            <w:r>
              <w:rPr>
                <w:rFonts w:hint="eastAsia"/>
                <w:b/>
                <w:bCs/>
                <w:sz w:val="24"/>
                <w:szCs w:val="28"/>
              </w:rPr>
              <w:t>及环境影响和污染防治措施</w:t>
            </w:r>
          </w:p>
          <w:p w14:paraId="5AD2DF1D">
            <w:pPr>
              <w:pStyle w:val="108"/>
              <w:adjustRightInd/>
              <w:spacing w:line="360" w:lineRule="auto"/>
              <w:ind w:firstLine="480" w:firstLineChars="200"/>
              <w:rPr>
                <w:rFonts w:hAnsi="宋体"/>
                <w:color w:val="auto"/>
                <w:kern w:val="2"/>
                <w:szCs w:val="22"/>
              </w:rPr>
            </w:pPr>
            <w:r>
              <w:rPr>
                <w:rFonts w:hAnsi="宋体"/>
                <w:color w:val="auto"/>
                <w:kern w:val="2"/>
                <w:szCs w:val="22"/>
              </w:rPr>
              <w:t>本项目生产过程中的固体废物主要包括一般固废</w:t>
            </w:r>
            <w:r>
              <w:rPr>
                <w:rFonts w:hint="eastAsia" w:hAnsi="宋体"/>
                <w:color w:val="auto"/>
                <w:kern w:val="2"/>
                <w:szCs w:val="22"/>
              </w:rPr>
              <w:t>、</w:t>
            </w:r>
            <w:r>
              <w:rPr>
                <w:rFonts w:hAnsi="宋体"/>
                <w:color w:val="auto"/>
                <w:kern w:val="2"/>
                <w:szCs w:val="22"/>
              </w:rPr>
              <w:t>危险废物</w:t>
            </w:r>
            <w:r>
              <w:rPr>
                <w:rFonts w:hint="eastAsia" w:hAnsi="宋体"/>
                <w:color w:val="auto"/>
                <w:kern w:val="2"/>
                <w:szCs w:val="22"/>
              </w:rPr>
              <w:t>和生活垃圾。</w:t>
            </w:r>
          </w:p>
          <w:p w14:paraId="0E25F005">
            <w:pPr>
              <w:pStyle w:val="108"/>
              <w:adjustRightInd/>
              <w:spacing w:line="360" w:lineRule="auto"/>
              <w:ind w:firstLine="482" w:firstLineChars="200"/>
              <w:rPr>
                <w:rFonts w:hAnsi="宋体"/>
                <w:b/>
                <w:color w:val="auto"/>
                <w:kern w:val="2"/>
                <w:szCs w:val="22"/>
              </w:rPr>
            </w:pPr>
            <w:r>
              <w:rPr>
                <w:rFonts w:hint="eastAsia" w:hAnsi="宋体"/>
                <w:b/>
                <w:color w:val="auto"/>
                <w:kern w:val="2"/>
                <w:szCs w:val="22"/>
              </w:rPr>
              <w:t>1、一般固废</w:t>
            </w:r>
          </w:p>
          <w:p w14:paraId="7B3FC96B">
            <w:pPr>
              <w:pStyle w:val="108"/>
              <w:adjustRightInd/>
              <w:spacing w:line="360" w:lineRule="auto"/>
              <w:ind w:firstLine="480" w:firstLineChars="200"/>
              <w:rPr>
                <w:rFonts w:hAnsi="宋体"/>
                <w:color w:val="auto"/>
                <w:kern w:val="2"/>
                <w:szCs w:val="22"/>
              </w:rPr>
            </w:pPr>
            <w:r>
              <w:rPr>
                <w:rFonts w:hint="eastAsia" w:hAnsi="宋体"/>
                <w:color w:val="auto"/>
                <w:kern w:val="2"/>
                <w:szCs w:val="22"/>
              </w:rPr>
              <w:t>根据工艺流程分析，项目生产过程中产生的一般工业固体废物主要包括废包材、废包装袋（玻璃管、塑料管）。</w:t>
            </w:r>
          </w:p>
          <w:p w14:paraId="64E63FCD">
            <w:pPr>
              <w:pStyle w:val="108"/>
              <w:adjustRightInd/>
              <w:spacing w:line="360" w:lineRule="auto"/>
              <w:ind w:firstLine="480" w:firstLineChars="200"/>
              <w:rPr>
                <w:rFonts w:hAnsi="宋体"/>
                <w:color w:val="auto"/>
                <w:kern w:val="2"/>
                <w:szCs w:val="22"/>
              </w:rPr>
            </w:pPr>
            <w:r>
              <w:rPr>
                <w:rFonts w:hint="eastAsia" w:hAnsi="宋体"/>
                <w:color w:val="auto"/>
                <w:kern w:val="2"/>
                <w:szCs w:val="22"/>
              </w:rPr>
              <w:t>（1）废包材</w:t>
            </w:r>
          </w:p>
          <w:p w14:paraId="03C33C0C">
            <w:pPr>
              <w:pStyle w:val="108"/>
              <w:adjustRightInd/>
              <w:spacing w:line="360" w:lineRule="auto"/>
              <w:ind w:firstLine="480" w:firstLineChars="200"/>
              <w:rPr>
                <w:rFonts w:hAnsi="宋体"/>
                <w:color w:val="auto"/>
                <w:kern w:val="2"/>
                <w:szCs w:val="22"/>
              </w:rPr>
            </w:pPr>
            <w:r>
              <w:rPr>
                <w:rFonts w:hint="eastAsia" w:hAnsi="宋体"/>
                <w:color w:val="auto"/>
                <w:kern w:val="2"/>
                <w:szCs w:val="22"/>
              </w:rPr>
              <w:t>项目检验包装时会产生废弃的包装材料，根据企业提供资料，这部分废料约占原包装材料的5%，产生量为10kg/a左右。由物资回收部门进行回收再利用。</w:t>
            </w:r>
          </w:p>
          <w:p w14:paraId="77F68048">
            <w:pPr>
              <w:pStyle w:val="108"/>
              <w:adjustRightInd/>
              <w:spacing w:line="360" w:lineRule="auto"/>
              <w:ind w:firstLine="480" w:firstLineChars="200"/>
              <w:rPr>
                <w:rFonts w:hAnsi="宋体"/>
                <w:color w:val="auto"/>
                <w:kern w:val="2"/>
                <w:szCs w:val="22"/>
              </w:rPr>
            </w:pPr>
            <w:r>
              <w:rPr>
                <w:rFonts w:hint="eastAsia" w:hAnsi="宋体"/>
                <w:color w:val="auto"/>
                <w:kern w:val="2"/>
                <w:szCs w:val="22"/>
              </w:rPr>
              <w:t>（2）废包装袋（玻璃管、塑料管）</w:t>
            </w:r>
          </w:p>
          <w:p w14:paraId="097C19D6">
            <w:pPr>
              <w:pStyle w:val="108"/>
              <w:adjustRightInd/>
              <w:spacing w:line="360" w:lineRule="auto"/>
              <w:ind w:firstLine="480" w:firstLineChars="200"/>
              <w:rPr>
                <w:rFonts w:hAnsi="宋体"/>
                <w:color w:val="auto"/>
                <w:kern w:val="2"/>
                <w:szCs w:val="22"/>
              </w:rPr>
            </w:pPr>
            <w:r>
              <w:rPr>
                <w:rFonts w:hint="eastAsia" w:hAnsi="宋体"/>
                <w:color w:val="auto"/>
                <w:kern w:val="2"/>
                <w:szCs w:val="22"/>
              </w:rPr>
              <w:t>项目使用的原材料玻璃管、塑料管用袋包装，使用后会产生废弃的包装袋，根据企业提供资料，这部分产生量约5kg/a。由物资回收部门进行回收再利用。</w:t>
            </w:r>
          </w:p>
          <w:p w14:paraId="63881283">
            <w:pPr>
              <w:pStyle w:val="108"/>
              <w:adjustRightInd/>
              <w:spacing w:line="360" w:lineRule="auto"/>
              <w:ind w:firstLine="482" w:firstLineChars="200"/>
              <w:rPr>
                <w:rFonts w:hAnsi="宋体"/>
                <w:b/>
                <w:color w:val="auto"/>
                <w:kern w:val="2"/>
                <w:szCs w:val="22"/>
              </w:rPr>
            </w:pPr>
            <w:r>
              <w:rPr>
                <w:rFonts w:hint="eastAsia" w:hAnsi="宋体"/>
                <w:b/>
                <w:color w:val="auto"/>
                <w:kern w:val="2"/>
                <w:szCs w:val="22"/>
              </w:rPr>
              <w:t>2、危险废物</w:t>
            </w:r>
          </w:p>
          <w:p w14:paraId="6D0F52E0">
            <w:pPr>
              <w:pStyle w:val="108"/>
              <w:adjustRightInd/>
              <w:spacing w:line="360" w:lineRule="auto"/>
              <w:ind w:firstLine="480" w:firstLineChars="200"/>
              <w:rPr>
                <w:rFonts w:hAnsi="宋体"/>
                <w:color w:val="auto"/>
                <w:kern w:val="2"/>
                <w:szCs w:val="22"/>
              </w:rPr>
            </w:pPr>
            <w:r>
              <w:rPr>
                <w:rFonts w:hint="eastAsia" w:hAnsi="宋体"/>
                <w:color w:val="auto"/>
                <w:kern w:val="2"/>
                <w:szCs w:val="22"/>
              </w:rPr>
              <w:t>项目生产过程产生的危险废物主要包括废包装桶（邻苯二甲酸二甲酯、双草酸酯、染料、双氧水、乙醇）、不合格品、离心废液（玻璃管、塑料管、组合管离心产生）、清洗废液、废活性炭。</w:t>
            </w:r>
          </w:p>
          <w:p w14:paraId="1C046291">
            <w:pPr>
              <w:pStyle w:val="108"/>
              <w:adjustRightInd/>
              <w:spacing w:line="360" w:lineRule="auto"/>
              <w:ind w:firstLine="480" w:firstLineChars="200"/>
              <w:rPr>
                <w:rFonts w:hAnsi="宋体"/>
                <w:color w:val="auto"/>
                <w:kern w:val="2"/>
                <w:szCs w:val="22"/>
              </w:rPr>
            </w:pPr>
            <w:r>
              <w:rPr>
                <w:rFonts w:hint="eastAsia" w:hAnsi="宋体"/>
                <w:color w:val="auto"/>
                <w:kern w:val="2"/>
                <w:szCs w:val="22"/>
              </w:rPr>
              <w:t>（1）废包装桶</w:t>
            </w:r>
          </w:p>
          <w:p w14:paraId="2FE5CFED">
            <w:pPr>
              <w:pStyle w:val="108"/>
              <w:adjustRightInd/>
              <w:spacing w:line="360" w:lineRule="auto"/>
              <w:ind w:firstLine="480" w:firstLineChars="200"/>
              <w:rPr>
                <w:rFonts w:hAnsi="宋体"/>
                <w:color w:val="auto"/>
                <w:kern w:val="2"/>
                <w:szCs w:val="22"/>
              </w:rPr>
            </w:pPr>
            <w:r>
              <w:rPr>
                <w:rFonts w:hint="eastAsia" w:hAnsi="宋体"/>
                <w:color w:val="auto"/>
                <w:kern w:val="2"/>
                <w:szCs w:val="22"/>
              </w:rPr>
              <w:t>根据项目原辅材料消耗情况可知，项目邻苯二甲酸二甲酯包装桶年产生</w:t>
            </w:r>
            <w:r>
              <w:rPr>
                <w:rFonts w:hAnsi="宋体"/>
                <w:color w:val="auto"/>
                <w:kern w:val="2"/>
                <w:szCs w:val="22"/>
              </w:rPr>
              <w:t>70</w:t>
            </w:r>
            <w:r>
              <w:rPr>
                <w:rFonts w:hint="eastAsia" w:hAnsi="宋体"/>
                <w:color w:val="auto"/>
                <w:kern w:val="2"/>
                <w:szCs w:val="22"/>
              </w:rPr>
              <w:t>7个，单桶重量2.5kg；双草酸酯包装桶年产生</w:t>
            </w:r>
            <w:r>
              <w:rPr>
                <w:rFonts w:hAnsi="宋体"/>
                <w:color w:val="auto"/>
                <w:kern w:val="2"/>
                <w:szCs w:val="22"/>
              </w:rPr>
              <w:t>24</w:t>
            </w:r>
            <w:r>
              <w:rPr>
                <w:rFonts w:hint="eastAsia" w:hAnsi="宋体"/>
                <w:color w:val="auto"/>
                <w:kern w:val="2"/>
                <w:szCs w:val="22"/>
              </w:rPr>
              <w:t>个，单桶重量2.5kg；染料包装桶年产生</w:t>
            </w:r>
            <w:r>
              <w:rPr>
                <w:rFonts w:hAnsi="宋体"/>
                <w:color w:val="auto"/>
                <w:kern w:val="2"/>
                <w:szCs w:val="22"/>
              </w:rPr>
              <w:t>2</w:t>
            </w:r>
            <w:r>
              <w:rPr>
                <w:rFonts w:hint="eastAsia" w:hAnsi="宋体"/>
                <w:color w:val="auto"/>
                <w:kern w:val="2"/>
                <w:szCs w:val="22"/>
              </w:rPr>
              <w:t>个，单桶重量1kg；双氧水包装桶年产生</w:t>
            </w:r>
            <w:r>
              <w:rPr>
                <w:rFonts w:hAnsi="宋体"/>
                <w:color w:val="auto"/>
                <w:kern w:val="2"/>
                <w:szCs w:val="22"/>
              </w:rPr>
              <w:t>15</w:t>
            </w:r>
            <w:r>
              <w:rPr>
                <w:rFonts w:hint="eastAsia" w:hAnsi="宋体"/>
                <w:color w:val="auto"/>
                <w:kern w:val="2"/>
                <w:szCs w:val="22"/>
              </w:rPr>
              <w:t>个，单桶重量2.5kg；乙醇包装桶年产生17个，单桶重量2.5kg。根据统计，项目废包装桶产生重量总计约为</w:t>
            </w:r>
            <w:r>
              <w:rPr>
                <w:rFonts w:hAnsi="宋体"/>
                <w:color w:val="auto"/>
                <w:kern w:val="2"/>
                <w:szCs w:val="22"/>
              </w:rPr>
              <w:t>1.91</w:t>
            </w:r>
            <w:r>
              <w:rPr>
                <w:rFonts w:hint="eastAsia" w:hAnsi="宋体"/>
                <w:color w:val="auto"/>
                <w:kern w:val="2"/>
                <w:szCs w:val="22"/>
              </w:rPr>
              <w:t>t/a。</w:t>
            </w:r>
          </w:p>
          <w:p w14:paraId="332ACB1B">
            <w:pPr>
              <w:pStyle w:val="108"/>
              <w:adjustRightInd/>
              <w:spacing w:line="360" w:lineRule="auto"/>
              <w:ind w:firstLine="480" w:firstLineChars="200"/>
              <w:rPr>
                <w:rFonts w:hAnsi="宋体"/>
                <w:color w:val="auto"/>
                <w:kern w:val="2"/>
                <w:szCs w:val="22"/>
              </w:rPr>
            </w:pPr>
            <w:r>
              <w:rPr>
                <w:rFonts w:hint="eastAsia" w:hAnsi="宋体"/>
                <w:color w:val="auto"/>
                <w:kern w:val="2"/>
                <w:szCs w:val="22"/>
              </w:rPr>
              <w:t>根据《国家危险废物名录》（2021年版），废包装桶属于HW49（其他废物），危废代码：900-041-49（含有或沾染毒性、感染性危险废物的废弃包装物、容器、过滤吸附介质），统一收集存放在危废暂存间，后委托有资质单位定期处理。</w:t>
            </w:r>
          </w:p>
          <w:p w14:paraId="2B076DDC">
            <w:pPr>
              <w:pStyle w:val="108"/>
              <w:adjustRightInd/>
              <w:spacing w:line="360" w:lineRule="auto"/>
              <w:ind w:firstLine="480" w:firstLineChars="200"/>
              <w:rPr>
                <w:rFonts w:hAnsi="宋体"/>
                <w:color w:val="auto"/>
                <w:kern w:val="2"/>
                <w:szCs w:val="22"/>
              </w:rPr>
            </w:pPr>
            <w:r>
              <w:rPr>
                <w:rFonts w:hint="eastAsia" w:hAnsi="宋体"/>
                <w:color w:val="auto"/>
                <w:kern w:val="2"/>
                <w:szCs w:val="22"/>
              </w:rPr>
              <w:t>（2）不合格品</w:t>
            </w:r>
          </w:p>
          <w:p w14:paraId="5E818E4B">
            <w:pPr>
              <w:pStyle w:val="108"/>
              <w:adjustRightInd/>
              <w:spacing w:line="360" w:lineRule="auto"/>
              <w:ind w:firstLine="480" w:firstLineChars="200"/>
              <w:rPr>
                <w:rFonts w:hAnsi="宋体"/>
                <w:color w:val="auto"/>
                <w:kern w:val="2"/>
                <w:szCs w:val="22"/>
              </w:rPr>
            </w:pPr>
            <w:r>
              <w:rPr>
                <w:rFonts w:hint="eastAsia" w:hAnsi="宋体"/>
                <w:color w:val="auto"/>
                <w:kern w:val="2"/>
                <w:szCs w:val="22"/>
              </w:rPr>
              <w:t>项目生产过程中玻璃管易受力破损，产生部分残次品。根据企业运行情况，不合格品年产生量约占原料总量的1.5%，约6.3t/a。</w:t>
            </w:r>
          </w:p>
          <w:p w14:paraId="296DEA74">
            <w:pPr>
              <w:pStyle w:val="108"/>
              <w:adjustRightInd/>
              <w:spacing w:line="360" w:lineRule="auto"/>
              <w:ind w:firstLine="480" w:firstLineChars="200"/>
              <w:rPr>
                <w:rFonts w:hAnsi="宋体"/>
                <w:color w:val="auto"/>
                <w:kern w:val="2"/>
                <w:szCs w:val="22"/>
              </w:rPr>
            </w:pPr>
            <w:r>
              <w:rPr>
                <w:rFonts w:hint="eastAsia" w:hAnsi="宋体"/>
                <w:color w:val="auto"/>
                <w:kern w:val="2"/>
                <w:szCs w:val="22"/>
              </w:rPr>
              <w:t>根据《国家危险废物名录》（2021年版），不合格品属于HW49（其他废物），危废代码：900-041-49（含有或沾染毒性、感染性危险废物的废弃包装物、容器、过滤吸附介质），统一收集存放在危废暂存间，后委托有资质单位定期处理。</w:t>
            </w:r>
          </w:p>
          <w:p w14:paraId="714F12B1">
            <w:pPr>
              <w:pStyle w:val="108"/>
              <w:adjustRightInd/>
              <w:spacing w:line="360" w:lineRule="auto"/>
              <w:ind w:firstLine="480" w:firstLineChars="200"/>
              <w:rPr>
                <w:rFonts w:hAnsi="宋体"/>
                <w:color w:val="auto"/>
                <w:kern w:val="2"/>
                <w:szCs w:val="22"/>
              </w:rPr>
            </w:pPr>
            <w:r>
              <w:rPr>
                <w:rFonts w:hint="eastAsia" w:hAnsi="宋体"/>
                <w:color w:val="auto"/>
                <w:kern w:val="2"/>
                <w:szCs w:val="22"/>
              </w:rPr>
              <w:t>（3）离心废液（玻璃管、塑料管、组合管离心产生）</w:t>
            </w:r>
          </w:p>
          <w:p w14:paraId="53416B19">
            <w:pPr>
              <w:pStyle w:val="108"/>
              <w:adjustRightInd/>
              <w:spacing w:line="360" w:lineRule="auto"/>
              <w:ind w:firstLine="480" w:firstLineChars="200"/>
              <w:rPr>
                <w:rFonts w:hAnsi="宋体"/>
                <w:color w:val="auto"/>
                <w:kern w:val="2"/>
                <w:szCs w:val="22"/>
              </w:rPr>
            </w:pPr>
            <w:r>
              <w:rPr>
                <w:rFonts w:hint="eastAsia" w:hAnsi="宋体"/>
                <w:color w:val="auto"/>
                <w:kern w:val="2"/>
                <w:szCs w:val="22"/>
              </w:rPr>
              <w:t>①玻璃管灌装发光液后，管壁残留部分发光液在离心过程中滴落并收集于废液桶中；②塑料管灌装活化剂后，管壁残留部分活化剂在离心过程中滴落并收集于废液桶中；③组合管清洗后，管壁残留废液在离心过程中滴落并收集于废液桶中。根据企业运行情况可知，玻璃管离心废液量约为发光液总量的1‰，塑料管离心废液量约为活化剂总量的1‰，组合管管壁</w:t>
            </w:r>
            <w:r>
              <w:rPr>
                <w:rFonts w:hint="eastAsia" w:hAnsi="宋体"/>
                <w:color w:val="auto"/>
              </w:rPr>
              <w:t>残留量以5</w:t>
            </w:r>
            <w:r>
              <w:rPr>
                <w:rFonts w:hAnsi="宋体"/>
                <w:color w:val="auto"/>
              </w:rPr>
              <w:t>%</w:t>
            </w:r>
            <w:r>
              <w:rPr>
                <w:rFonts w:hint="eastAsia" w:hAnsi="宋体"/>
                <w:color w:val="auto"/>
              </w:rPr>
              <w:t>乙醇用量计，90%残留量滴落收集于废液桶。</w:t>
            </w:r>
          </w:p>
          <w:p w14:paraId="655CDA99">
            <w:pPr>
              <w:pStyle w:val="108"/>
              <w:adjustRightInd/>
              <w:spacing w:line="360" w:lineRule="auto"/>
              <w:jc w:val="center"/>
              <w:rPr>
                <w:rFonts w:hAnsi="宋体"/>
                <w:color w:val="auto"/>
                <w:kern w:val="2"/>
                <w:sz w:val="21"/>
                <w:szCs w:val="21"/>
              </w:rPr>
            </w:pPr>
            <w:r>
              <w:rPr>
                <w:rFonts w:hint="eastAsia" w:hAnsi="黑体" w:eastAsia="黑体"/>
                <w:color w:val="auto"/>
              </w:rPr>
              <w:t>表49</w:t>
            </w:r>
            <w:r>
              <w:rPr>
                <w:rFonts w:hAnsi="黑体" w:eastAsia="黑体"/>
                <w:color w:val="auto"/>
              </w:rPr>
              <w:t xml:space="preserve">  </w:t>
            </w:r>
            <w:r>
              <w:rPr>
                <w:rFonts w:hint="eastAsia" w:hAnsi="黑体" w:eastAsia="黑体"/>
                <w:color w:val="auto"/>
              </w:rPr>
              <w:t>离心废液核算一览表</w:t>
            </w:r>
          </w:p>
          <w:tbl>
            <w:tblPr>
              <w:tblStyle w:val="3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63"/>
              <w:gridCol w:w="2512"/>
              <w:gridCol w:w="2037"/>
              <w:gridCol w:w="2037"/>
            </w:tblGrid>
            <w:tr w14:paraId="698BF3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pct"/>
                  <w:vAlign w:val="center"/>
                </w:tcPr>
                <w:p w14:paraId="35F14766">
                  <w:pPr>
                    <w:pStyle w:val="108"/>
                    <w:adjustRightInd/>
                    <w:spacing w:line="276" w:lineRule="auto"/>
                    <w:jc w:val="center"/>
                    <w:rPr>
                      <w:rFonts w:hAnsi="宋体"/>
                      <w:color w:val="auto"/>
                      <w:kern w:val="2"/>
                      <w:sz w:val="21"/>
                      <w:szCs w:val="21"/>
                    </w:rPr>
                  </w:pPr>
                  <w:r>
                    <w:rPr>
                      <w:rFonts w:hint="eastAsia" w:hAnsi="宋体"/>
                      <w:color w:val="auto"/>
                      <w:kern w:val="2"/>
                      <w:sz w:val="21"/>
                      <w:szCs w:val="21"/>
                    </w:rPr>
                    <w:t>来源</w:t>
                  </w:r>
                </w:p>
              </w:tc>
              <w:tc>
                <w:tcPr>
                  <w:tcW w:w="1541" w:type="pct"/>
                  <w:vAlign w:val="center"/>
                </w:tcPr>
                <w:p w14:paraId="160E626D">
                  <w:pPr>
                    <w:pStyle w:val="108"/>
                    <w:adjustRightInd/>
                    <w:spacing w:line="276" w:lineRule="auto"/>
                    <w:jc w:val="center"/>
                    <w:rPr>
                      <w:rFonts w:hAnsi="宋体"/>
                      <w:color w:val="auto"/>
                      <w:kern w:val="2"/>
                      <w:sz w:val="21"/>
                      <w:szCs w:val="21"/>
                    </w:rPr>
                  </w:pPr>
                  <w:r>
                    <w:rPr>
                      <w:rFonts w:hint="eastAsia" w:hAnsi="宋体"/>
                      <w:color w:val="auto"/>
                      <w:kern w:val="2"/>
                      <w:sz w:val="21"/>
                      <w:szCs w:val="21"/>
                    </w:rPr>
                    <w:t>残留量（t/a）</w:t>
                  </w:r>
                </w:p>
              </w:tc>
              <w:tc>
                <w:tcPr>
                  <w:tcW w:w="1250" w:type="pct"/>
                  <w:vAlign w:val="center"/>
                </w:tcPr>
                <w:p w14:paraId="126DB3D0">
                  <w:pPr>
                    <w:pStyle w:val="108"/>
                    <w:adjustRightInd/>
                    <w:spacing w:line="276" w:lineRule="auto"/>
                    <w:jc w:val="center"/>
                    <w:rPr>
                      <w:rFonts w:hAnsi="宋体"/>
                      <w:color w:val="auto"/>
                      <w:kern w:val="2"/>
                      <w:sz w:val="21"/>
                      <w:szCs w:val="21"/>
                    </w:rPr>
                  </w:pPr>
                  <w:r>
                    <w:rPr>
                      <w:rFonts w:hint="eastAsia" w:hAnsi="宋体"/>
                      <w:color w:val="auto"/>
                      <w:kern w:val="2"/>
                      <w:sz w:val="21"/>
                      <w:szCs w:val="21"/>
                    </w:rPr>
                    <w:t>收集率（%）</w:t>
                  </w:r>
                </w:p>
              </w:tc>
              <w:tc>
                <w:tcPr>
                  <w:tcW w:w="1250" w:type="pct"/>
                  <w:vAlign w:val="center"/>
                </w:tcPr>
                <w:p w14:paraId="68436498">
                  <w:pPr>
                    <w:pStyle w:val="108"/>
                    <w:adjustRightInd/>
                    <w:spacing w:line="276" w:lineRule="auto"/>
                    <w:jc w:val="center"/>
                    <w:rPr>
                      <w:rFonts w:hAnsi="宋体"/>
                      <w:color w:val="auto"/>
                      <w:kern w:val="2"/>
                      <w:sz w:val="21"/>
                      <w:szCs w:val="21"/>
                    </w:rPr>
                  </w:pPr>
                  <w:r>
                    <w:rPr>
                      <w:rFonts w:hint="eastAsia" w:hAnsi="宋体"/>
                      <w:color w:val="auto"/>
                      <w:kern w:val="2"/>
                      <w:sz w:val="21"/>
                      <w:szCs w:val="21"/>
                    </w:rPr>
                    <w:t>废液量（t/a）</w:t>
                  </w:r>
                </w:p>
              </w:tc>
            </w:tr>
            <w:tr w14:paraId="422CE9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pct"/>
                  <w:vAlign w:val="center"/>
                </w:tcPr>
                <w:p w14:paraId="54E82E2C">
                  <w:pPr>
                    <w:pStyle w:val="108"/>
                    <w:adjustRightInd/>
                    <w:spacing w:line="276" w:lineRule="auto"/>
                    <w:jc w:val="center"/>
                    <w:rPr>
                      <w:rFonts w:hAnsi="宋体"/>
                      <w:color w:val="auto"/>
                      <w:kern w:val="2"/>
                      <w:sz w:val="21"/>
                      <w:szCs w:val="21"/>
                    </w:rPr>
                  </w:pPr>
                  <w:r>
                    <w:rPr>
                      <w:rFonts w:hint="eastAsia" w:hAnsi="宋体"/>
                      <w:color w:val="auto"/>
                      <w:kern w:val="2"/>
                      <w:sz w:val="21"/>
                      <w:szCs w:val="21"/>
                    </w:rPr>
                    <w:t>玻璃管管壁</w:t>
                  </w:r>
                </w:p>
              </w:tc>
              <w:tc>
                <w:tcPr>
                  <w:tcW w:w="1541" w:type="pct"/>
                  <w:vAlign w:val="center"/>
                </w:tcPr>
                <w:p w14:paraId="79FED241">
                  <w:pPr>
                    <w:pStyle w:val="108"/>
                    <w:adjustRightInd/>
                    <w:spacing w:line="276" w:lineRule="auto"/>
                    <w:jc w:val="center"/>
                    <w:rPr>
                      <w:rFonts w:hAnsi="宋体"/>
                      <w:color w:val="auto"/>
                      <w:kern w:val="2"/>
                      <w:sz w:val="21"/>
                      <w:szCs w:val="21"/>
                    </w:rPr>
                  </w:pPr>
                  <w:r>
                    <w:rPr>
                      <w:rFonts w:hint="eastAsia" w:hAnsi="宋体"/>
                      <w:color w:val="auto"/>
                      <w:kern w:val="2"/>
                      <w:sz w:val="21"/>
                      <w:szCs w:val="21"/>
                    </w:rPr>
                    <w:t>/</w:t>
                  </w:r>
                </w:p>
              </w:tc>
              <w:tc>
                <w:tcPr>
                  <w:tcW w:w="1250" w:type="pct"/>
                  <w:vAlign w:val="center"/>
                </w:tcPr>
                <w:p w14:paraId="20213409">
                  <w:pPr>
                    <w:pStyle w:val="108"/>
                    <w:adjustRightInd/>
                    <w:spacing w:line="276" w:lineRule="auto"/>
                    <w:jc w:val="center"/>
                    <w:rPr>
                      <w:rFonts w:hAnsi="宋体"/>
                      <w:color w:val="auto"/>
                      <w:kern w:val="2"/>
                      <w:sz w:val="21"/>
                      <w:szCs w:val="21"/>
                    </w:rPr>
                  </w:pPr>
                  <w:r>
                    <w:rPr>
                      <w:rFonts w:hint="eastAsia" w:hAnsi="宋体"/>
                      <w:color w:val="auto"/>
                      <w:kern w:val="2"/>
                      <w:sz w:val="21"/>
                      <w:szCs w:val="21"/>
                    </w:rPr>
                    <w:t>100</w:t>
                  </w:r>
                </w:p>
              </w:tc>
              <w:tc>
                <w:tcPr>
                  <w:tcW w:w="1250" w:type="pct"/>
                  <w:vAlign w:val="center"/>
                </w:tcPr>
                <w:p w14:paraId="17963A4D">
                  <w:pPr>
                    <w:pStyle w:val="108"/>
                    <w:adjustRightInd/>
                    <w:spacing w:line="276" w:lineRule="auto"/>
                    <w:jc w:val="center"/>
                    <w:rPr>
                      <w:rFonts w:hAnsi="宋体"/>
                      <w:color w:val="auto"/>
                      <w:kern w:val="2"/>
                      <w:sz w:val="21"/>
                      <w:szCs w:val="21"/>
                    </w:rPr>
                  </w:pPr>
                  <w:r>
                    <w:rPr>
                      <w:rFonts w:hint="eastAsia" w:hAnsi="宋体"/>
                      <w:color w:val="auto"/>
                      <w:kern w:val="2"/>
                      <w:sz w:val="21"/>
                      <w:szCs w:val="21"/>
                    </w:rPr>
                    <w:t>0</w:t>
                  </w:r>
                  <w:r>
                    <w:rPr>
                      <w:rFonts w:hAnsi="宋体"/>
                      <w:color w:val="auto"/>
                      <w:kern w:val="2"/>
                      <w:sz w:val="21"/>
                      <w:szCs w:val="21"/>
                    </w:rPr>
                    <w:t>.06</w:t>
                  </w:r>
                  <w:r>
                    <w:rPr>
                      <w:rFonts w:hint="eastAsia" w:hAnsi="宋体"/>
                      <w:color w:val="auto"/>
                      <w:kern w:val="2"/>
                      <w:sz w:val="21"/>
                      <w:szCs w:val="21"/>
                    </w:rPr>
                    <w:t>39</w:t>
                  </w:r>
                </w:p>
              </w:tc>
            </w:tr>
            <w:tr w14:paraId="32EF16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pct"/>
                  <w:vAlign w:val="center"/>
                </w:tcPr>
                <w:p w14:paraId="591B2903">
                  <w:pPr>
                    <w:pStyle w:val="108"/>
                    <w:adjustRightInd/>
                    <w:spacing w:line="276" w:lineRule="auto"/>
                    <w:jc w:val="center"/>
                    <w:rPr>
                      <w:rFonts w:hAnsi="宋体"/>
                      <w:color w:val="auto"/>
                      <w:kern w:val="2"/>
                      <w:sz w:val="21"/>
                      <w:szCs w:val="21"/>
                    </w:rPr>
                  </w:pPr>
                  <w:r>
                    <w:rPr>
                      <w:rFonts w:hint="eastAsia" w:hAnsi="宋体"/>
                      <w:color w:val="auto"/>
                      <w:kern w:val="2"/>
                      <w:sz w:val="21"/>
                      <w:szCs w:val="21"/>
                    </w:rPr>
                    <w:t>塑料管管壁</w:t>
                  </w:r>
                </w:p>
              </w:tc>
              <w:tc>
                <w:tcPr>
                  <w:tcW w:w="1541" w:type="pct"/>
                  <w:vAlign w:val="center"/>
                </w:tcPr>
                <w:p w14:paraId="382542A7">
                  <w:pPr>
                    <w:pStyle w:val="108"/>
                    <w:adjustRightInd/>
                    <w:spacing w:line="276" w:lineRule="auto"/>
                    <w:jc w:val="center"/>
                    <w:rPr>
                      <w:rFonts w:hAnsi="宋体"/>
                      <w:color w:val="auto"/>
                      <w:kern w:val="2"/>
                      <w:sz w:val="21"/>
                      <w:szCs w:val="21"/>
                    </w:rPr>
                  </w:pPr>
                  <w:r>
                    <w:rPr>
                      <w:rFonts w:hint="eastAsia" w:hAnsi="宋体"/>
                      <w:color w:val="auto"/>
                      <w:kern w:val="2"/>
                      <w:sz w:val="21"/>
                      <w:szCs w:val="21"/>
                    </w:rPr>
                    <w:t>/</w:t>
                  </w:r>
                </w:p>
              </w:tc>
              <w:tc>
                <w:tcPr>
                  <w:tcW w:w="1250" w:type="pct"/>
                  <w:vAlign w:val="center"/>
                </w:tcPr>
                <w:p w14:paraId="06613520">
                  <w:pPr>
                    <w:pStyle w:val="108"/>
                    <w:adjustRightInd/>
                    <w:spacing w:line="276" w:lineRule="auto"/>
                    <w:jc w:val="center"/>
                    <w:rPr>
                      <w:rFonts w:hAnsi="宋体"/>
                      <w:color w:val="auto"/>
                      <w:kern w:val="2"/>
                      <w:sz w:val="21"/>
                      <w:szCs w:val="21"/>
                    </w:rPr>
                  </w:pPr>
                  <w:r>
                    <w:rPr>
                      <w:rFonts w:hint="eastAsia" w:hAnsi="宋体"/>
                      <w:color w:val="auto"/>
                      <w:kern w:val="2"/>
                      <w:sz w:val="21"/>
                      <w:szCs w:val="21"/>
                    </w:rPr>
                    <w:t>100</w:t>
                  </w:r>
                </w:p>
              </w:tc>
              <w:tc>
                <w:tcPr>
                  <w:tcW w:w="1250" w:type="pct"/>
                  <w:vAlign w:val="center"/>
                </w:tcPr>
                <w:p w14:paraId="256EE298">
                  <w:pPr>
                    <w:pStyle w:val="108"/>
                    <w:adjustRightInd/>
                    <w:spacing w:line="276" w:lineRule="auto"/>
                    <w:jc w:val="center"/>
                    <w:rPr>
                      <w:rFonts w:hAnsi="宋体"/>
                      <w:color w:val="auto"/>
                      <w:kern w:val="2"/>
                      <w:sz w:val="21"/>
                      <w:szCs w:val="21"/>
                    </w:rPr>
                  </w:pPr>
                  <w:r>
                    <w:rPr>
                      <w:rFonts w:hint="eastAsia" w:hAnsi="宋体"/>
                      <w:color w:val="auto"/>
                      <w:kern w:val="2"/>
                      <w:sz w:val="21"/>
                      <w:szCs w:val="21"/>
                    </w:rPr>
                    <w:t>0</w:t>
                  </w:r>
                  <w:r>
                    <w:rPr>
                      <w:rFonts w:hAnsi="宋体"/>
                      <w:color w:val="auto"/>
                      <w:kern w:val="2"/>
                      <w:sz w:val="21"/>
                      <w:szCs w:val="21"/>
                    </w:rPr>
                    <w:t>.085</w:t>
                  </w:r>
                  <w:r>
                    <w:rPr>
                      <w:rFonts w:hint="eastAsia" w:hAnsi="宋体"/>
                      <w:color w:val="auto"/>
                      <w:kern w:val="2"/>
                      <w:sz w:val="21"/>
                      <w:szCs w:val="21"/>
                    </w:rPr>
                    <w:t>2</w:t>
                  </w:r>
                </w:p>
              </w:tc>
            </w:tr>
            <w:tr w14:paraId="7561AE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pct"/>
                  <w:vAlign w:val="center"/>
                </w:tcPr>
                <w:p w14:paraId="53B8CC3E">
                  <w:pPr>
                    <w:pStyle w:val="108"/>
                    <w:adjustRightInd/>
                    <w:spacing w:line="276" w:lineRule="auto"/>
                    <w:jc w:val="center"/>
                    <w:rPr>
                      <w:rFonts w:hAnsi="宋体"/>
                      <w:color w:val="auto"/>
                      <w:kern w:val="2"/>
                      <w:sz w:val="21"/>
                      <w:szCs w:val="21"/>
                    </w:rPr>
                  </w:pPr>
                  <w:r>
                    <w:rPr>
                      <w:rFonts w:hint="eastAsia" w:hAnsi="宋体"/>
                      <w:color w:val="auto"/>
                      <w:kern w:val="2"/>
                      <w:sz w:val="21"/>
                      <w:szCs w:val="21"/>
                    </w:rPr>
                    <w:t>组合管管壁</w:t>
                  </w:r>
                </w:p>
              </w:tc>
              <w:tc>
                <w:tcPr>
                  <w:tcW w:w="1541" w:type="pct"/>
                  <w:vAlign w:val="center"/>
                </w:tcPr>
                <w:p w14:paraId="2C52D6D6">
                  <w:pPr>
                    <w:pStyle w:val="108"/>
                    <w:adjustRightInd/>
                    <w:spacing w:line="276" w:lineRule="auto"/>
                    <w:jc w:val="center"/>
                    <w:rPr>
                      <w:rFonts w:hAnsi="宋体"/>
                      <w:color w:val="auto"/>
                      <w:kern w:val="2"/>
                      <w:sz w:val="21"/>
                      <w:szCs w:val="21"/>
                    </w:rPr>
                  </w:pPr>
                  <w:r>
                    <w:rPr>
                      <w:rFonts w:hint="eastAsia" w:hAnsi="宋体"/>
                      <w:color w:val="auto"/>
                      <w:kern w:val="2"/>
                      <w:sz w:val="21"/>
                      <w:szCs w:val="21"/>
                    </w:rPr>
                    <w:t>0</w:t>
                  </w:r>
                  <w:r>
                    <w:rPr>
                      <w:rFonts w:hAnsi="宋体"/>
                      <w:color w:val="auto"/>
                      <w:kern w:val="2"/>
                      <w:sz w:val="21"/>
                      <w:szCs w:val="21"/>
                    </w:rPr>
                    <w:t>.17</w:t>
                  </w:r>
                </w:p>
              </w:tc>
              <w:tc>
                <w:tcPr>
                  <w:tcW w:w="1250" w:type="pct"/>
                  <w:vAlign w:val="center"/>
                </w:tcPr>
                <w:p w14:paraId="58C5553B">
                  <w:pPr>
                    <w:pStyle w:val="108"/>
                    <w:adjustRightInd/>
                    <w:spacing w:line="276" w:lineRule="auto"/>
                    <w:jc w:val="center"/>
                    <w:rPr>
                      <w:rFonts w:hAnsi="宋体"/>
                      <w:color w:val="auto"/>
                      <w:kern w:val="2"/>
                      <w:sz w:val="21"/>
                      <w:szCs w:val="21"/>
                    </w:rPr>
                  </w:pPr>
                  <w:r>
                    <w:rPr>
                      <w:rFonts w:hint="eastAsia" w:hAnsi="宋体"/>
                      <w:color w:val="auto"/>
                      <w:kern w:val="2"/>
                      <w:sz w:val="21"/>
                      <w:szCs w:val="21"/>
                    </w:rPr>
                    <w:t>90%</w:t>
                  </w:r>
                </w:p>
              </w:tc>
              <w:tc>
                <w:tcPr>
                  <w:tcW w:w="1250" w:type="pct"/>
                  <w:vAlign w:val="center"/>
                </w:tcPr>
                <w:p w14:paraId="260C77C1">
                  <w:pPr>
                    <w:pStyle w:val="108"/>
                    <w:adjustRightInd/>
                    <w:spacing w:line="276" w:lineRule="auto"/>
                    <w:jc w:val="center"/>
                    <w:rPr>
                      <w:rFonts w:hAnsi="宋体"/>
                      <w:color w:val="auto"/>
                      <w:kern w:val="2"/>
                      <w:sz w:val="21"/>
                      <w:szCs w:val="21"/>
                    </w:rPr>
                  </w:pPr>
                  <w:r>
                    <w:rPr>
                      <w:rFonts w:hAnsi="宋体"/>
                      <w:color w:val="auto"/>
                      <w:kern w:val="2"/>
                      <w:sz w:val="21"/>
                      <w:szCs w:val="21"/>
                    </w:rPr>
                    <w:t>0.153</w:t>
                  </w:r>
                </w:p>
              </w:tc>
            </w:tr>
            <w:tr w14:paraId="68731A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750" w:type="pct"/>
                  <w:gridSpan w:val="3"/>
                  <w:vAlign w:val="center"/>
                </w:tcPr>
                <w:p w14:paraId="20433F40">
                  <w:pPr>
                    <w:pStyle w:val="108"/>
                    <w:adjustRightInd/>
                    <w:spacing w:line="276" w:lineRule="auto"/>
                    <w:jc w:val="center"/>
                    <w:rPr>
                      <w:rFonts w:hAnsi="宋体"/>
                      <w:color w:val="auto"/>
                      <w:kern w:val="2"/>
                      <w:sz w:val="21"/>
                      <w:szCs w:val="21"/>
                    </w:rPr>
                  </w:pPr>
                  <w:r>
                    <w:rPr>
                      <w:rFonts w:hint="eastAsia" w:hAnsi="宋体"/>
                      <w:color w:val="auto"/>
                      <w:kern w:val="2"/>
                      <w:sz w:val="21"/>
                      <w:szCs w:val="21"/>
                    </w:rPr>
                    <w:t>合计</w:t>
                  </w:r>
                </w:p>
              </w:tc>
              <w:tc>
                <w:tcPr>
                  <w:tcW w:w="1250" w:type="pct"/>
                  <w:vAlign w:val="center"/>
                </w:tcPr>
                <w:p w14:paraId="2CBF9798">
                  <w:pPr>
                    <w:pStyle w:val="108"/>
                    <w:adjustRightInd/>
                    <w:spacing w:line="276" w:lineRule="auto"/>
                    <w:jc w:val="center"/>
                    <w:rPr>
                      <w:rFonts w:hAnsi="宋体"/>
                      <w:color w:val="auto"/>
                      <w:kern w:val="2"/>
                      <w:sz w:val="21"/>
                      <w:szCs w:val="21"/>
                    </w:rPr>
                  </w:pPr>
                  <w:r>
                    <w:rPr>
                      <w:rFonts w:hAnsi="宋体"/>
                      <w:color w:val="auto"/>
                      <w:kern w:val="2"/>
                      <w:sz w:val="21"/>
                      <w:szCs w:val="21"/>
                    </w:rPr>
                    <w:t>0.30</w:t>
                  </w:r>
                  <w:r>
                    <w:rPr>
                      <w:rFonts w:hint="eastAsia" w:hAnsi="宋体"/>
                      <w:color w:val="auto"/>
                      <w:kern w:val="2"/>
                      <w:sz w:val="21"/>
                      <w:szCs w:val="21"/>
                    </w:rPr>
                    <w:t>21</w:t>
                  </w:r>
                </w:p>
              </w:tc>
            </w:tr>
          </w:tbl>
          <w:p w14:paraId="2502EC34">
            <w:pPr>
              <w:pStyle w:val="108"/>
              <w:adjustRightInd/>
              <w:spacing w:line="360" w:lineRule="auto"/>
              <w:ind w:firstLine="480" w:firstLineChars="200"/>
              <w:rPr>
                <w:rFonts w:hAnsi="宋体"/>
                <w:color w:val="auto"/>
                <w:kern w:val="2"/>
                <w:szCs w:val="22"/>
              </w:rPr>
            </w:pPr>
            <w:r>
              <w:rPr>
                <w:rFonts w:hint="eastAsia" w:hAnsi="宋体"/>
                <w:color w:val="auto"/>
                <w:kern w:val="2"/>
                <w:szCs w:val="22"/>
              </w:rPr>
              <w:t>根据《国家危险废物名录》（2021年版），离心废液属于HW06（废有机溶剂与含有机溶剂废物），危废代码：900-402-06（工业生产中作为清洗剂、萃取剂、溶剂或反应介质使用后废弃的有机溶剂），统一收集存放在危废暂存间，后委托有资质单位定期处理。</w:t>
            </w:r>
          </w:p>
          <w:p w14:paraId="5D1526D6">
            <w:pPr>
              <w:pStyle w:val="108"/>
              <w:adjustRightInd/>
              <w:spacing w:line="360" w:lineRule="auto"/>
              <w:ind w:firstLine="480" w:firstLineChars="200"/>
              <w:rPr>
                <w:rFonts w:hAnsi="宋体"/>
                <w:color w:val="auto"/>
                <w:kern w:val="2"/>
                <w:szCs w:val="22"/>
              </w:rPr>
            </w:pPr>
            <w:r>
              <w:rPr>
                <w:rFonts w:hint="eastAsia" w:hAnsi="宋体"/>
                <w:color w:val="auto"/>
                <w:kern w:val="2"/>
                <w:szCs w:val="22"/>
              </w:rPr>
              <w:t>（4）清洗废液</w:t>
            </w:r>
          </w:p>
          <w:p w14:paraId="1EB7E557">
            <w:pPr>
              <w:pStyle w:val="108"/>
              <w:adjustRightInd/>
              <w:spacing w:line="360" w:lineRule="auto"/>
              <w:ind w:firstLine="480" w:firstLineChars="200"/>
              <w:rPr>
                <w:rFonts w:hAnsi="宋体"/>
                <w:color w:val="auto"/>
                <w:kern w:val="2"/>
                <w:szCs w:val="22"/>
              </w:rPr>
            </w:pPr>
            <w:r>
              <w:rPr>
                <w:rFonts w:hint="eastAsia" w:hAnsi="宋体"/>
                <w:color w:val="auto"/>
                <w:kern w:val="2"/>
                <w:szCs w:val="22"/>
              </w:rPr>
              <w:t>根据生产要求，塑料管和玻璃管套管后形成的组合管需要清洗管壁残留液体，本项目采用人工清洗槽清洗组合管，并使用乙醇作为清洗溶剂，根据业主提供信息，设置2个清洗槽（规格为</w:t>
            </w:r>
            <w:r>
              <w:rPr>
                <w:rFonts w:hint="eastAsia" w:hAnsi="宋体"/>
                <w:color w:val="auto"/>
                <w:kern w:val="2"/>
              </w:rPr>
              <w:t>0</w:t>
            </w:r>
            <w:r>
              <w:rPr>
                <w:rFonts w:hAnsi="宋体"/>
                <w:color w:val="auto"/>
                <w:kern w:val="2"/>
              </w:rPr>
              <w:t>.6</w:t>
            </w:r>
            <w:r>
              <w:rPr>
                <w:rFonts w:hint="eastAsia" w:hAnsi="宋体"/>
                <w:color w:val="auto"/>
                <w:kern w:val="2"/>
              </w:rPr>
              <w:t>m</w:t>
            </w:r>
            <m:oMath>
              <m:r>
                <m:rPr>
                  <m:sty m:val="p"/>
                </m:rPr>
                <w:rPr>
                  <w:rFonts w:ascii="Cambria Math" w:hAnsi="Cambria Math"/>
                  <w:color w:val="auto"/>
                  <w:kern w:val="2"/>
                </w:rPr>
                <m:t>×</m:t>
              </m:r>
            </m:oMath>
            <w:r>
              <w:rPr>
                <w:rFonts w:hint="eastAsia" w:hAnsi="宋体"/>
                <w:color w:val="auto"/>
                <w:kern w:val="2"/>
              </w:rPr>
              <w:t>0.45m</w:t>
            </w:r>
            <m:oMath>
              <m:r>
                <m:rPr>
                  <m:sty m:val="p"/>
                </m:rPr>
                <w:rPr>
                  <w:rFonts w:ascii="Cambria Math" w:hAnsi="Cambria Math"/>
                  <w:color w:val="auto"/>
                  <w:kern w:val="2"/>
                </w:rPr>
                <m:t>×</m:t>
              </m:r>
            </m:oMath>
            <w:r>
              <w:rPr>
                <w:rFonts w:hint="eastAsia" w:hAnsi="宋体"/>
                <w:color w:val="auto"/>
                <w:kern w:val="2"/>
              </w:rPr>
              <w:t>0.3m），清洗槽内废液占水槽容积</w:t>
            </w:r>
            <w:r>
              <w:rPr>
                <w:rFonts w:hAnsi="宋体"/>
                <w:color w:val="auto"/>
                <w:kern w:val="2"/>
              </w:rPr>
              <w:t>75</w:t>
            </w:r>
            <w:r>
              <w:rPr>
                <w:rFonts w:hint="eastAsia" w:hAnsi="宋体"/>
                <w:color w:val="auto"/>
                <w:kern w:val="2"/>
              </w:rPr>
              <w:t>%，</w:t>
            </w:r>
            <w:r>
              <w:rPr>
                <w:rFonts w:hint="eastAsia" w:hAnsi="宋体"/>
                <w:color w:val="auto"/>
                <w:kern w:val="2"/>
                <w:szCs w:val="22"/>
              </w:rPr>
              <w:t>乙醇半个月更换一次，即废液每半个月收集一次，年收集次数为24次，则年产生清洗废液量约为</w:t>
            </w:r>
            <w:r>
              <w:rPr>
                <w:rFonts w:hAnsi="宋体"/>
                <w:color w:val="auto"/>
                <w:kern w:val="2"/>
                <w:szCs w:val="22"/>
              </w:rPr>
              <w:t>2.89</w:t>
            </w:r>
            <w:r>
              <w:rPr>
                <w:rFonts w:hint="eastAsia" w:hAnsi="宋体"/>
                <w:color w:val="auto"/>
                <w:kern w:val="2"/>
                <w:szCs w:val="22"/>
              </w:rPr>
              <w:t>t/a。</w:t>
            </w:r>
          </w:p>
          <w:p w14:paraId="2E9FDB62">
            <w:pPr>
              <w:pStyle w:val="108"/>
              <w:adjustRightInd/>
              <w:spacing w:line="360" w:lineRule="auto"/>
              <w:ind w:firstLine="480" w:firstLineChars="200"/>
              <w:rPr>
                <w:rFonts w:hAnsi="宋体"/>
                <w:color w:val="auto"/>
                <w:kern w:val="2"/>
                <w:szCs w:val="22"/>
              </w:rPr>
            </w:pPr>
            <w:r>
              <w:rPr>
                <w:rFonts w:hint="eastAsia" w:hAnsi="宋体"/>
                <w:color w:val="auto"/>
                <w:kern w:val="2"/>
                <w:szCs w:val="22"/>
              </w:rPr>
              <w:t>根据《国家危险废物名录》（2021年版），清洗废液属于HW06（废有机溶剂与含有机溶剂废物），危废代码：900-402-06（工业生产中作为清洗剂、萃取剂、溶剂或反应介质使用后废弃的有机溶剂），统一收集存放在危废暂存间，后委托有资质单位定期处理。</w:t>
            </w:r>
          </w:p>
          <w:p w14:paraId="2C44DEF0">
            <w:pPr>
              <w:pStyle w:val="108"/>
              <w:adjustRightInd/>
              <w:spacing w:line="360" w:lineRule="auto"/>
              <w:ind w:firstLine="480" w:firstLineChars="200"/>
              <w:rPr>
                <w:rFonts w:hAnsi="宋体"/>
                <w:color w:val="auto"/>
                <w:kern w:val="2"/>
                <w:szCs w:val="22"/>
              </w:rPr>
            </w:pPr>
            <w:r>
              <w:rPr>
                <w:rFonts w:hint="eastAsia" w:hAnsi="宋体"/>
                <w:color w:val="auto"/>
                <w:kern w:val="2"/>
                <w:szCs w:val="22"/>
              </w:rPr>
              <w:t>（5）废活性炭</w:t>
            </w:r>
          </w:p>
          <w:p w14:paraId="538F24F9">
            <w:pPr>
              <w:pStyle w:val="108"/>
              <w:adjustRightInd/>
              <w:spacing w:line="360" w:lineRule="auto"/>
              <w:ind w:firstLine="480" w:firstLineChars="200"/>
              <w:rPr>
                <w:rFonts w:hAnsi="宋体"/>
                <w:color w:val="auto"/>
                <w:kern w:val="2"/>
                <w:szCs w:val="22"/>
              </w:rPr>
            </w:pPr>
            <w:r>
              <w:rPr>
                <w:rFonts w:hAnsi="宋体"/>
                <w:color w:val="auto"/>
                <w:kern w:val="2"/>
                <w:szCs w:val="22"/>
              </w:rPr>
              <w:t>根据本项目工程分析，活性炭吸附的废气量约为</w:t>
            </w:r>
            <w:r>
              <w:rPr>
                <w:rFonts w:hint="eastAsia" w:hAnsi="宋体"/>
                <w:color w:val="auto"/>
                <w:kern w:val="2"/>
                <w:szCs w:val="22"/>
              </w:rPr>
              <w:t>0.296t/a。根据同类工程调查，活性炭吸附污染物的能力大概为自身重量的1/3，废活性炭为被吸附的污染物量和活性炭本身的用量之和，活性炭吸附装置吸附的有机废气量为0.296t/a，故本项目废活性炭的产生量约为1.184t/a。</w:t>
            </w:r>
          </w:p>
          <w:p w14:paraId="557E51A6">
            <w:pPr>
              <w:spacing w:line="360" w:lineRule="auto"/>
              <w:ind w:firstLine="480" w:firstLineChars="200"/>
              <w:rPr>
                <w:sz w:val="24"/>
                <w:szCs w:val="24"/>
              </w:rPr>
            </w:pPr>
            <w:r>
              <w:rPr>
                <w:rFonts w:hint="eastAsia"/>
                <w:sz w:val="24"/>
              </w:rPr>
              <w:t>根据</w:t>
            </w:r>
            <w:r>
              <w:rPr>
                <w:rFonts w:hint="eastAsia"/>
                <w:sz w:val="24"/>
                <w:szCs w:val="24"/>
              </w:rPr>
              <w:t>《国家危险废物名录》</w:t>
            </w:r>
            <w:r>
              <w:rPr>
                <w:sz w:val="24"/>
                <w:szCs w:val="24"/>
              </w:rPr>
              <w:t>(2021</w:t>
            </w:r>
            <w:r>
              <w:rPr>
                <w:rFonts w:hint="eastAsia"/>
                <w:sz w:val="24"/>
                <w:szCs w:val="24"/>
              </w:rPr>
              <w:t>年版），废活性炭</w:t>
            </w:r>
            <w:r>
              <w:rPr>
                <w:rFonts w:hint="eastAsia"/>
                <w:bCs/>
                <w:sz w:val="24"/>
              </w:rPr>
              <w:t>属于</w:t>
            </w:r>
            <w:r>
              <w:rPr>
                <w:sz w:val="24"/>
                <w:szCs w:val="24"/>
              </w:rPr>
              <w:t>HW49</w:t>
            </w:r>
            <w:r>
              <w:rPr>
                <w:rFonts w:hint="eastAsia"/>
                <w:sz w:val="24"/>
                <w:szCs w:val="24"/>
              </w:rPr>
              <w:t>其他废物，危废代码</w:t>
            </w:r>
            <w:r>
              <w:rPr>
                <w:sz w:val="24"/>
                <w:szCs w:val="24"/>
              </w:rPr>
              <w:t>900-039-49</w:t>
            </w:r>
            <w:r>
              <w:rPr>
                <w:rFonts w:hint="eastAsia"/>
                <w:sz w:val="24"/>
                <w:szCs w:val="24"/>
              </w:rPr>
              <w:t>。废活性炭收集暂存于危废暂存间，后委托有资质的单位处理处置。</w:t>
            </w:r>
          </w:p>
          <w:p w14:paraId="04580A73">
            <w:pPr>
              <w:pStyle w:val="108"/>
              <w:adjustRightInd/>
              <w:spacing w:line="360" w:lineRule="auto"/>
              <w:ind w:firstLine="482" w:firstLineChars="200"/>
              <w:rPr>
                <w:rFonts w:hAnsi="宋体"/>
                <w:b/>
                <w:color w:val="auto"/>
                <w:kern w:val="2"/>
                <w:szCs w:val="22"/>
              </w:rPr>
            </w:pPr>
            <w:r>
              <w:rPr>
                <w:rFonts w:hint="eastAsia" w:hAnsi="宋体"/>
                <w:b/>
                <w:color w:val="auto"/>
                <w:kern w:val="2"/>
                <w:szCs w:val="22"/>
              </w:rPr>
              <w:t>3、生活垃圾</w:t>
            </w:r>
          </w:p>
          <w:p w14:paraId="66A21213">
            <w:pPr>
              <w:spacing w:line="360" w:lineRule="auto"/>
              <w:ind w:firstLine="480" w:firstLineChars="200"/>
              <w:rPr>
                <w:sz w:val="24"/>
              </w:rPr>
            </w:pPr>
            <w:r>
              <w:rPr>
                <w:rFonts w:hint="eastAsia"/>
                <w:sz w:val="24"/>
              </w:rPr>
              <w:t>本项目员工18人，生活垃圾产生量按</w:t>
            </w:r>
            <w:r>
              <w:rPr>
                <w:sz w:val="24"/>
              </w:rPr>
              <w:t>0.5kg/</w:t>
            </w:r>
            <w:r>
              <w:rPr>
                <w:rFonts w:hint="eastAsia"/>
                <w:sz w:val="24"/>
              </w:rPr>
              <w:t>人</w:t>
            </w:r>
            <w:r>
              <w:rPr>
                <w:sz w:val="24"/>
              </w:rPr>
              <w:t>·d</w:t>
            </w:r>
            <w:r>
              <w:rPr>
                <w:rFonts w:hint="eastAsia"/>
                <w:sz w:val="24"/>
              </w:rPr>
              <w:t>计，每年按</w:t>
            </w:r>
            <w:r>
              <w:rPr>
                <w:sz w:val="24"/>
              </w:rPr>
              <w:t>300</w:t>
            </w:r>
            <w:r>
              <w:rPr>
                <w:rFonts w:hint="eastAsia"/>
                <w:sz w:val="24"/>
              </w:rPr>
              <w:t>天计，则生活垃圾日产生量为</w:t>
            </w:r>
            <w:r>
              <w:rPr>
                <w:sz w:val="24"/>
              </w:rPr>
              <w:t>0.009t/d</w:t>
            </w:r>
            <w:r>
              <w:rPr>
                <w:rFonts w:hint="eastAsia"/>
                <w:sz w:val="24"/>
              </w:rPr>
              <w:t>、年产生量为</w:t>
            </w:r>
            <w:r>
              <w:rPr>
                <w:sz w:val="24"/>
              </w:rPr>
              <w:t>2.7</w:t>
            </w:r>
            <w:r>
              <w:rPr>
                <w:rFonts w:hint="eastAsia"/>
                <w:sz w:val="24"/>
              </w:rPr>
              <w:t>t</w:t>
            </w:r>
            <w:r>
              <w:rPr>
                <w:sz w:val="24"/>
              </w:rPr>
              <w:t>/a</w:t>
            </w:r>
            <w:r>
              <w:rPr>
                <w:rFonts w:hint="eastAsia"/>
                <w:sz w:val="24"/>
              </w:rPr>
              <w:t>，项目生活垃圾交由环卫部门统一收集管理。</w:t>
            </w:r>
          </w:p>
          <w:p w14:paraId="321A160B">
            <w:pPr>
              <w:pStyle w:val="108"/>
              <w:adjustRightInd/>
              <w:spacing w:line="360" w:lineRule="auto"/>
              <w:jc w:val="center"/>
              <w:rPr>
                <w:rFonts w:eastAsia="黑体"/>
                <w:bCs/>
                <w:color w:val="auto"/>
                <w:sz w:val="21"/>
                <w:szCs w:val="21"/>
              </w:rPr>
            </w:pPr>
            <w:r>
              <w:rPr>
                <w:rFonts w:hint="eastAsia" w:hAnsi="黑体" w:eastAsia="黑体"/>
                <w:color w:val="auto"/>
              </w:rPr>
              <w:t>表50  本项目固体废物源强及处理处置情况</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24"/>
              <w:gridCol w:w="1263"/>
              <w:gridCol w:w="1064"/>
              <w:gridCol w:w="1439"/>
              <w:gridCol w:w="856"/>
              <w:gridCol w:w="1224"/>
              <w:gridCol w:w="626"/>
              <w:gridCol w:w="1053"/>
            </w:tblGrid>
            <w:tr w14:paraId="4850C1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3" w:type="pct"/>
                  <w:vAlign w:val="center"/>
                </w:tcPr>
                <w:p w14:paraId="5A758792">
                  <w:pPr>
                    <w:pStyle w:val="105"/>
                    <w:spacing w:line="276" w:lineRule="auto"/>
                    <w:rPr>
                      <w:b/>
                      <w:kern w:val="0"/>
                      <w:szCs w:val="21"/>
                    </w:rPr>
                  </w:pPr>
                  <w:r>
                    <w:rPr>
                      <w:rFonts w:hint="eastAsia" w:hAnsi="宋体"/>
                      <w:b/>
                      <w:kern w:val="0"/>
                      <w:szCs w:val="21"/>
                    </w:rPr>
                    <w:t>序号</w:t>
                  </w:r>
                </w:p>
              </w:tc>
              <w:tc>
                <w:tcPr>
                  <w:tcW w:w="775" w:type="pct"/>
                  <w:vAlign w:val="center"/>
                </w:tcPr>
                <w:p w14:paraId="4CD97319">
                  <w:pPr>
                    <w:pStyle w:val="105"/>
                    <w:spacing w:line="276" w:lineRule="auto"/>
                    <w:rPr>
                      <w:b/>
                      <w:kern w:val="0"/>
                      <w:szCs w:val="21"/>
                    </w:rPr>
                  </w:pPr>
                  <w:r>
                    <w:rPr>
                      <w:rFonts w:hint="eastAsia" w:hAnsi="宋体"/>
                      <w:b/>
                      <w:kern w:val="0"/>
                      <w:szCs w:val="21"/>
                    </w:rPr>
                    <w:t>类别</w:t>
                  </w:r>
                </w:p>
              </w:tc>
              <w:tc>
                <w:tcPr>
                  <w:tcW w:w="653" w:type="pct"/>
                  <w:vAlign w:val="center"/>
                </w:tcPr>
                <w:p w14:paraId="3F8F8460">
                  <w:pPr>
                    <w:pStyle w:val="105"/>
                    <w:spacing w:line="276" w:lineRule="auto"/>
                    <w:rPr>
                      <w:b/>
                      <w:kern w:val="0"/>
                      <w:szCs w:val="21"/>
                    </w:rPr>
                  </w:pPr>
                  <w:r>
                    <w:rPr>
                      <w:rFonts w:hint="eastAsia" w:hAnsi="宋体"/>
                      <w:b/>
                      <w:kern w:val="0"/>
                      <w:szCs w:val="21"/>
                    </w:rPr>
                    <w:t>产生量（</w:t>
                  </w:r>
                  <w:r>
                    <w:rPr>
                      <w:b/>
                      <w:kern w:val="0"/>
                      <w:szCs w:val="21"/>
                    </w:rPr>
                    <w:t>t/a</w:t>
                  </w:r>
                  <w:r>
                    <w:rPr>
                      <w:rFonts w:hint="eastAsia" w:hAnsi="宋体"/>
                      <w:b/>
                      <w:kern w:val="0"/>
                      <w:szCs w:val="21"/>
                    </w:rPr>
                    <w:t>）</w:t>
                  </w:r>
                </w:p>
              </w:tc>
              <w:tc>
                <w:tcPr>
                  <w:tcW w:w="883" w:type="pct"/>
                  <w:vAlign w:val="center"/>
                </w:tcPr>
                <w:p w14:paraId="261A0375">
                  <w:pPr>
                    <w:pStyle w:val="105"/>
                    <w:spacing w:line="276" w:lineRule="auto"/>
                    <w:rPr>
                      <w:b/>
                      <w:kern w:val="0"/>
                      <w:szCs w:val="21"/>
                    </w:rPr>
                  </w:pPr>
                  <w:r>
                    <w:rPr>
                      <w:rFonts w:hint="eastAsia" w:hAnsi="宋体"/>
                      <w:b/>
                      <w:kern w:val="0"/>
                      <w:szCs w:val="21"/>
                    </w:rPr>
                    <w:t>产生工序</w:t>
                  </w:r>
                </w:p>
              </w:tc>
              <w:tc>
                <w:tcPr>
                  <w:tcW w:w="525" w:type="pct"/>
                  <w:vAlign w:val="center"/>
                </w:tcPr>
                <w:p w14:paraId="6AF01D3D">
                  <w:pPr>
                    <w:pStyle w:val="105"/>
                    <w:spacing w:line="276" w:lineRule="auto"/>
                    <w:rPr>
                      <w:b/>
                      <w:kern w:val="0"/>
                      <w:szCs w:val="21"/>
                    </w:rPr>
                  </w:pPr>
                  <w:r>
                    <w:rPr>
                      <w:rFonts w:hint="eastAsia" w:hAnsi="宋体"/>
                      <w:b/>
                      <w:kern w:val="0"/>
                      <w:szCs w:val="21"/>
                    </w:rPr>
                    <w:t>形态</w:t>
                  </w:r>
                </w:p>
              </w:tc>
              <w:tc>
                <w:tcPr>
                  <w:tcW w:w="751" w:type="pct"/>
                  <w:vAlign w:val="center"/>
                </w:tcPr>
                <w:p w14:paraId="68A752A9">
                  <w:pPr>
                    <w:pStyle w:val="105"/>
                    <w:spacing w:line="276" w:lineRule="auto"/>
                    <w:rPr>
                      <w:b/>
                      <w:kern w:val="0"/>
                      <w:szCs w:val="21"/>
                    </w:rPr>
                  </w:pPr>
                  <w:r>
                    <w:rPr>
                      <w:rFonts w:hint="eastAsia" w:hAnsi="宋体"/>
                      <w:b/>
                      <w:kern w:val="0"/>
                      <w:szCs w:val="21"/>
                    </w:rPr>
                    <w:t>主要成分</w:t>
                  </w:r>
                </w:p>
              </w:tc>
              <w:tc>
                <w:tcPr>
                  <w:tcW w:w="384" w:type="pct"/>
                  <w:vAlign w:val="center"/>
                </w:tcPr>
                <w:p w14:paraId="691F5CF2">
                  <w:pPr>
                    <w:pStyle w:val="105"/>
                    <w:spacing w:line="276" w:lineRule="auto"/>
                    <w:rPr>
                      <w:b/>
                      <w:kern w:val="0"/>
                      <w:szCs w:val="21"/>
                    </w:rPr>
                  </w:pPr>
                  <w:r>
                    <w:rPr>
                      <w:rFonts w:hint="eastAsia" w:hAnsi="宋体"/>
                      <w:b/>
                      <w:kern w:val="0"/>
                      <w:szCs w:val="21"/>
                    </w:rPr>
                    <w:t>性质</w:t>
                  </w:r>
                </w:p>
              </w:tc>
              <w:tc>
                <w:tcPr>
                  <w:tcW w:w="646" w:type="pct"/>
                  <w:vAlign w:val="center"/>
                </w:tcPr>
                <w:p w14:paraId="073A2AB5">
                  <w:pPr>
                    <w:pStyle w:val="105"/>
                    <w:spacing w:line="276" w:lineRule="auto"/>
                    <w:rPr>
                      <w:b/>
                      <w:kern w:val="0"/>
                      <w:szCs w:val="21"/>
                    </w:rPr>
                  </w:pPr>
                  <w:r>
                    <w:rPr>
                      <w:rFonts w:hint="eastAsia" w:hAnsi="宋体"/>
                      <w:b/>
                      <w:kern w:val="0"/>
                      <w:szCs w:val="21"/>
                    </w:rPr>
                    <w:t>处理方式</w:t>
                  </w:r>
                </w:p>
              </w:tc>
            </w:tr>
            <w:tr w14:paraId="36DDA5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72" w:hRule="atLeast"/>
                <w:jc w:val="center"/>
              </w:trPr>
              <w:tc>
                <w:tcPr>
                  <w:tcW w:w="383" w:type="pct"/>
                  <w:vAlign w:val="center"/>
                </w:tcPr>
                <w:p w14:paraId="4EEBED82">
                  <w:pPr>
                    <w:pStyle w:val="105"/>
                    <w:spacing w:line="276" w:lineRule="auto"/>
                    <w:rPr>
                      <w:rFonts w:hAnsi="宋体"/>
                      <w:kern w:val="0"/>
                      <w:szCs w:val="21"/>
                    </w:rPr>
                  </w:pPr>
                  <w:r>
                    <w:rPr>
                      <w:rFonts w:hint="eastAsia" w:hAnsi="宋体"/>
                      <w:kern w:val="0"/>
                      <w:szCs w:val="21"/>
                    </w:rPr>
                    <w:t>1</w:t>
                  </w:r>
                </w:p>
              </w:tc>
              <w:tc>
                <w:tcPr>
                  <w:tcW w:w="775" w:type="pct"/>
                  <w:vAlign w:val="center"/>
                </w:tcPr>
                <w:p w14:paraId="180613C8">
                  <w:pPr>
                    <w:pStyle w:val="105"/>
                    <w:spacing w:line="276" w:lineRule="auto"/>
                    <w:rPr>
                      <w:rFonts w:hAnsi="宋体"/>
                      <w:kern w:val="0"/>
                      <w:szCs w:val="21"/>
                    </w:rPr>
                  </w:pPr>
                  <w:r>
                    <w:rPr>
                      <w:rFonts w:hint="eastAsia" w:hAnsi="宋体"/>
                      <w:kern w:val="0"/>
                      <w:szCs w:val="21"/>
                    </w:rPr>
                    <w:t>废包材</w:t>
                  </w:r>
                </w:p>
              </w:tc>
              <w:tc>
                <w:tcPr>
                  <w:tcW w:w="653" w:type="pct"/>
                  <w:vAlign w:val="center"/>
                </w:tcPr>
                <w:p w14:paraId="2B8FFC16">
                  <w:pPr>
                    <w:pStyle w:val="105"/>
                    <w:spacing w:line="276" w:lineRule="auto"/>
                    <w:rPr>
                      <w:rFonts w:hAnsi="宋体"/>
                      <w:kern w:val="0"/>
                      <w:szCs w:val="21"/>
                    </w:rPr>
                  </w:pPr>
                  <w:r>
                    <w:rPr>
                      <w:rFonts w:hint="eastAsia" w:hAnsi="宋体"/>
                      <w:kern w:val="0"/>
                      <w:szCs w:val="21"/>
                    </w:rPr>
                    <w:t>0</w:t>
                  </w:r>
                  <w:r>
                    <w:rPr>
                      <w:rFonts w:hAnsi="宋体"/>
                      <w:kern w:val="0"/>
                      <w:szCs w:val="21"/>
                    </w:rPr>
                    <w:t>.01</w:t>
                  </w:r>
                </w:p>
              </w:tc>
              <w:tc>
                <w:tcPr>
                  <w:tcW w:w="883" w:type="pct"/>
                  <w:vAlign w:val="center"/>
                </w:tcPr>
                <w:p w14:paraId="041977DF">
                  <w:pPr>
                    <w:pStyle w:val="105"/>
                    <w:spacing w:line="276" w:lineRule="auto"/>
                    <w:rPr>
                      <w:rFonts w:hAnsi="宋体"/>
                      <w:kern w:val="0"/>
                      <w:szCs w:val="21"/>
                    </w:rPr>
                  </w:pPr>
                  <w:r>
                    <w:rPr>
                      <w:rFonts w:hint="eastAsia" w:hAnsi="宋体"/>
                      <w:kern w:val="0"/>
                      <w:szCs w:val="21"/>
                    </w:rPr>
                    <w:t>检验包装</w:t>
                  </w:r>
                </w:p>
              </w:tc>
              <w:tc>
                <w:tcPr>
                  <w:tcW w:w="525" w:type="pct"/>
                  <w:vAlign w:val="center"/>
                </w:tcPr>
                <w:p w14:paraId="6EB65041">
                  <w:pPr>
                    <w:pStyle w:val="105"/>
                    <w:spacing w:line="276" w:lineRule="auto"/>
                    <w:rPr>
                      <w:rFonts w:hAnsi="宋体"/>
                      <w:kern w:val="0"/>
                      <w:szCs w:val="21"/>
                    </w:rPr>
                  </w:pPr>
                  <w:r>
                    <w:rPr>
                      <w:rFonts w:hint="eastAsia" w:hAnsi="宋体"/>
                      <w:kern w:val="0"/>
                      <w:szCs w:val="21"/>
                    </w:rPr>
                    <w:t>固态</w:t>
                  </w:r>
                </w:p>
              </w:tc>
              <w:tc>
                <w:tcPr>
                  <w:tcW w:w="751" w:type="pct"/>
                  <w:vAlign w:val="center"/>
                </w:tcPr>
                <w:p w14:paraId="60099768">
                  <w:pPr>
                    <w:pStyle w:val="105"/>
                    <w:spacing w:line="276" w:lineRule="auto"/>
                    <w:rPr>
                      <w:rFonts w:hAnsi="宋体"/>
                      <w:kern w:val="0"/>
                      <w:szCs w:val="21"/>
                    </w:rPr>
                  </w:pPr>
                  <w:r>
                    <w:rPr>
                      <w:rFonts w:hint="eastAsia" w:hAnsi="宋体"/>
                      <w:kern w:val="0"/>
                      <w:szCs w:val="21"/>
                    </w:rPr>
                    <w:t>/</w:t>
                  </w:r>
                </w:p>
              </w:tc>
              <w:tc>
                <w:tcPr>
                  <w:tcW w:w="384" w:type="pct"/>
                  <w:vMerge w:val="restart"/>
                  <w:vAlign w:val="center"/>
                </w:tcPr>
                <w:p w14:paraId="7660D3F4">
                  <w:pPr>
                    <w:pStyle w:val="105"/>
                    <w:spacing w:line="276" w:lineRule="auto"/>
                    <w:rPr>
                      <w:rFonts w:hAnsi="宋体"/>
                      <w:kern w:val="0"/>
                      <w:szCs w:val="21"/>
                    </w:rPr>
                  </w:pPr>
                  <w:r>
                    <w:rPr>
                      <w:rFonts w:hint="eastAsia" w:hAnsi="宋体"/>
                      <w:kern w:val="0"/>
                      <w:szCs w:val="21"/>
                    </w:rPr>
                    <w:t>一般固废</w:t>
                  </w:r>
                </w:p>
              </w:tc>
              <w:tc>
                <w:tcPr>
                  <w:tcW w:w="646" w:type="pct"/>
                  <w:vMerge w:val="restart"/>
                  <w:vAlign w:val="center"/>
                </w:tcPr>
                <w:p w14:paraId="0C7CAE6D">
                  <w:pPr>
                    <w:pStyle w:val="105"/>
                    <w:spacing w:line="276" w:lineRule="auto"/>
                    <w:rPr>
                      <w:rFonts w:hAnsi="宋体"/>
                      <w:kern w:val="0"/>
                      <w:szCs w:val="21"/>
                    </w:rPr>
                  </w:pPr>
                  <w:r>
                    <w:rPr>
                      <w:rFonts w:hint="eastAsia" w:hAnsi="宋体"/>
                      <w:kern w:val="0"/>
                      <w:szCs w:val="21"/>
                    </w:rPr>
                    <w:t>集中收集在一般固废间，</w:t>
                  </w:r>
                  <w:r>
                    <w:rPr>
                      <w:rFonts w:hint="eastAsia" w:hAnsi="宋体"/>
                      <w:szCs w:val="22"/>
                    </w:rPr>
                    <w:t>由物资回收部门进行回收再利用</w:t>
                  </w:r>
                </w:p>
              </w:tc>
            </w:tr>
            <w:tr w14:paraId="37D6F3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3" w:type="pct"/>
                  <w:vAlign w:val="center"/>
                </w:tcPr>
                <w:p w14:paraId="7A4BB60E">
                  <w:pPr>
                    <w:pStyle w:val="105"/>
                    <w:spacing w:line="276" w:lineRule="auto"/>
                    <w:rPr>
                      <w:rFonts w:hAnsi="宋体"/>
                      <w:kern w:val="0"/>
                      <w:szCs w:val="21"/>
                    </w:rPr>
                  </w:pPr>
                  <w:r>
                    <w:rPr>
                      <w:rFonts w:hint="eastAsia" w:hAnsi="宋体"/>
                      <w:kern w:val="0"/>
                      <w:szCs w:val="21"/>
                    </w:rPr>
                    <w:t>2</w:t>
                  </w:r>
                </w:p>
              </w:tc>
              <w:tc>
                <w:tcPr>
                  <w:tcW w:w="775" w:type="pct"/>
                  <w:vAlign w:val="center"/>
                </w:tcPr>
                <w:p w14:paraId="490C2026">
                  <w:pPr>
                    <w:pStyle w:val="105"/>
                    <w:spacing w:line="276" w:lineRule="auto"/>
                    <w:rPr>
                      <w:rFonts w:hAnsi="宋体"/>
                      <w:kern w:val="0"/>
                      <w:szCs w:val="21"/>
                    </w:rPr>
                  </w:pPr>
                  <w:r>
                    <w:rPr>
                      <w:rFonts w:hint="eastAsia" w:hAnsi="宋体"/>
                      <w:kern w:val="0"/>
                      <w:szCs w:val="21"/>
                    </w:rPr>
                    <w:t>废包装袋（玻璃管、塑料管）</w:t>
                  </w:r>
                </w:p>
              </w:tc>
              <w:tc>
                <w:tcPr>
                  <w:tcW w:w="653" w:type="pct"/>
                  <w:vAlign w:val="center"/>
                </w:tcPr>
                <w:p w14:paraId="6A4455D0">
                  <w:pPr>
                    <w:pStyle w:val="105"/>
                    <w:spacing w:line="276" w:lineRule="auto"/>
                    <w:rPr>
                      <w:rFonts w:hAnsi="宋体"/>
                      <w:kern w:val="0"/>
                      <w:szCs w:val="21"/>
                    </w:rPr>
                  </w:pPr>
                  <w:r>
                    <w:rPr>
                      <w:rFonts w:hint="eastAsia" w:hAnsi="宋体"/>
                      <w:kern w:val="0"/>
                      <w:szCs w:val="21"/>
                    </w:rPr>
                    <w:t>0</w:t>
                  </w:r>
                  <w:r>
                    <w:rPr>
                      <w:rFonts w:hAnsi="宋体"/>
                      <w:kern w:val="0"/>
                      <w:szCs w:val="21"/>
                    </w:rPr>
                    <w:t>.005</w:t>
                  </w:r>
                </w:p>
              </w:tc>
              <w:tc>
                <w:tcPr>
                  <w:tcW w:w="883" w:type="pct"/>
                  <w:vAlign w:val="center"/>
                </w:tcPr>
                <w:p w14:paraId="5FCE990C">
                  <w:pPr>
                    <w:pStyle w:val="105"/>
                    <w:spacing w:line="276" w:lineRule="auto"/>
                    <w:rPr>
                      <w:rFonts w:hAnsi="宋体"/>
                      <w:kern w:val="0"/>
                      <w:szCs w:val="21"/>
                    </w:rPr>
                  </w:pPr>
                  <w:r>
                    <w:rPr>
                      <w:rFonts w:hint="eastAsia" w:hAnsi="宋体"/>
                      <w:kern w:val="0"/>
                      <w:szCs w:val="21"/>
                    </w:rPr>
                    <w:t>原辅材料拆包</w:t>
                  </w:r>
                </w:p>
              </w:tc>
              <w:tc>
                <w:tcPr>
                  <w:tcW w:w="525" w:type="pct"/>
                  <w:vAlign w:val="center"/>
                </w:tcPr>
                <w:p w14:paraId="258F489B">
                  <w:pPr>
                    <w:pStyle w:val="105"/>
                    <w:spacing w:line="276" w:lineRule="auto"/>
                    <w:rPr>
                      <w:rFonts w:hAnsi="宋体"/>
                      <w:kern w:val="0"/>
                      <w:szCs w:val="21"/>
                    </w:rPr>
                  </w:pPr>
                  <w:r>
                    <w:rPr>
                      <w:rFonts w:hint="eastAsia" w:hAnsi="宋体"/>
                      <w:kern w:val="0"/>
                      <w:szCs w:val="21"/>
                    </w:rPr>
                    <w:t>固态</w:t>
                  </w:r>
                </w:p>
              </w:tc>
              <w:tc>
                <w:tcPr>
                  <w:tcW w:w="751" w:type="pct"/>
                  <w:vAlign w:val="center"/>
                </w:tcPr>
                <w:p w14:paraId="51BF848E">
                  <w:pPr>
                    <w:pStyle w:val="105"/>
                    <w:spacing w:line="276" w:lineRule="auto"/>
                    <w:rPr>
                      <w:rFonts w:hAnsi="宋体"/>
                      <w:kern w:val="0"/>
                      <w:szCs w:val="21"/>
                    </w:rPr>
                  </w:pPr>
                  <w:r>
                    <w:rPr>
                      <w:rFonts w:hint="eastAsia" w:hAnsi="宋体"/>
                      <w:kern w:val="0"/>
                      <w:szCs w:val="21"/>
                    </w:rPr>
                    <w:t>/</w:t>
                  </w:r>
                </w:p>
              </w:tc>
              <w:tc>
                <w:tcPr>
                  <w:tcW w:w="384" w:type="pct"/>
                  <w:vMerge w:val="continue"/>
                  <w:vAlign w:val="center"/>
                </w:tcPr>
                <w:p w14:paraId="51A6A0B8">
                  <w:pPr>
                    <w:pStyle w:val="105"/>
                    <w:spacing w:line="276" w:lineRule="auto"/>
                    <w:rPr>
                      <w:rFonts w:hAnsi="宋体"/>
                      <w:kern w:val="0"/>
                      <w:szCs w:val="21"/>
                    </w:rPr>
                  </w:pPr>
                </w:p>
              </w:tc>
              <w:tc>
                <w:tcPr>
                  <w:tcW w:w="646" w:type="pct"/>
                  <w:vMerge w:val="continue"/>
                  <w:vAlign w:val="center"/>
                </w:tcPr>
                <w:p w14:paraId="0DDACBD4">
                  <w:pPr>
                    <w:pStyle w:val="105"/>
                    <w:spacing w:line="276" w:lineRule="auto"/>
                    <w:rPr>
                      <w:rFonts w:hAnsi="宋体"/>
                      <w:kern w:val="0"/>
                      <w:szCs w:val="21"/>
                    </w:rPr>
                  </w:pPr>
                </w:p>
              </w:tc>
            </w:tr>
            <w:tr w14:paraId="0F73E2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3" w:type="pct"/>
                  <w:vAlign w:val="center"/>
                </w:tcPr>
                <w:p w14:paraId="3BC07826">
                  <w:pPr>
                    <w:pStyle w:val="105"/>
                    <w:spacing w:line="276" w:lineRule="auto"/>
                    <w:rPr>
                      <w:rFonts w:hAnsi="宋体"/>
                      <w:kern w:val="0"/>
                      <w:szCs w:val="21"/>
                    </w:rPr>
                  </w:pPr>
                  <w:r>
                    <w:rPr>
                      <w:rFonts w:hint="eastAsia" w:hAnsi="宋体"/>
                      <w:kern w:val="0"/>
                      <w:szCs w:val="21"/>
                    </w:rPr>
                    <w:t>3</w:t>
                  </w:r>
                </w:p>
              </w:tc>
              <w:tc>
                <w:tcPr>
                  <w:tcW w:w="775" w:type="pct"/>
                  <w:vAlign w:val="center"/>
                </w:tcPr>
                <w:p w14:paraId="2E8440D6">
                  <w:pPr>
                    <w:pStyle w:val="105"/>
                    <w:spacing w:line="276" w:lineRule="auto"/>
                    <w:rPr>
                      <w:rFonts w:hAnsi="宋体"/>
                      <w:kern w:val="0"/>
                      <w:szCs w:val="21"/>
                    </w:rPr>
                  </w:pPr>
                  <w:r>
                    <w:rPr>
                      <w:rFonts w:hint="eastAsia" w:hAnsi="宋体"/>
                      <w:kern w:val="0"/>
                      <w:szCs w:val="21"/>
                    </w:rPr>
                    <w:t>废包装桶</w:t>
                  </w:r>
                </w:p>
              </w:tc>
              <w:tc>
                <w:tcPr>
                  <w:tcW w:w="653" w:type="pct"/>
                  <w:vAlign w:val="center"/>
                </w:tcPr>
                <w:p w14:paraId="6D30956D">
                  <w:pPr>
                    <w:pStyle w:val="105"/>
                    <w:spacing w:line="276" w:lineRule="auto"/>
                    <w:rPr>
                      <w:rFonts w:hAnsi="宋体"/>
                      <w:kern w:val="0"/>
                      <w:szCs w:val="21"/>
                    </w:rPr>
                  </w:pPr>
                  <w:r>
                    <w:rPr>
                      <w:rFonts w:hint="eastAsia" w:hAnsi="宋体"/>
                      <w:kern w:val="0"/>
                      <w:szCs w:val="21"/>
                    </w:rPr>
                    <w:t>1</w:t>
                  </w:r>
                  <w:r>
                    <w:rPr>
                      <w:rFonts w:hAnsi="宋体"/>
                      <w:kern w:val="0"/>
                      <w:szCs w:val="21"/>
                    </w:rPr>
                    <w:t>.91</w:t>
                  </w:r>
                </w:p>
              </w:tc>
              <w:tc>
                <w:tcPr>
                  <w:tcW w:w="883" w:type="pct"/>
                  <w:vAlign w:val="center"/>
                </w:tcPr>
                <w:p w14:paraId="16A1973E">
                  <w:pPr>
                    <w:pStyle w:val="105"/>
                    <w:spacing w:line="276" w:lineRule="auto"/>
                    <w:rPr>
                      <w:rFonts w:hAnsi="宋体"/>
                      <w:kern w:val="0"/>
                      <w:szCs w:val="21"/>
                    </w:rPr>
                  </w:pPr>
                  <w:r>
                    <w:rPr>
                      <w:rFonts w:hint="eastAsia" w:hAnsi="宋体"/>
                      <w:kern w:val="0"/>
                      <w:szCs w:val="21"/>
                    </w:rPr>
                    <w:t>原辅材料拆包</w:t>
                  </w:r>
                </w:p>
              </w:tc>
              <w:tc>
                <w:tcPr>
                  <w:tcW w:w="525" w:type="pct"/>
                  <w:vAlign w:val="center"/>
                </w:tcPr>
                <w:p w14:paraId="1D074F1F">
                  <w:pPr>
                    <w:pStyle w:val="105"/>
                    <w:spacing w:line="276" w:lineRule="auto"/>
                    <w:rPr>
                      <w:rFonts w:hAnsi="宋体"/>
                      <w:kern w:val="0"/>
                      <w:szCs w:val="21"/>
                    </w:rPr>
                  </w:pPr>
                  <w:r>
                    <w:rPr>
                      <w:rFonts w:hint="eastAsia" w:hAnsi="宋体"/>
                      <w:kern w:val="0"/>
                      <w:szCs w:val="21"/>
                    </w:rPr>
                    <w:t>固态</w:t>
                  </w:r>
                </w:p>
              </w:tc>
              <w:tc>
                <w:tcPr>
                  <w:tcW w:w="751" w:type="pct"/>
                  <w:vAlign w:val="center"/>
                </w:tcPr>
                <w:p w14:paraId="705BB1C0">
                  <w:pPr>
                    <w:pStyle w:val="105"/>
                    <w:spacing w:line="276" w:lineRule="auto"/>
                    <w:rPr>
                      <w:rFonts w:hAnsi="宋体"/>
                      <w:kern w:val="0"/>
                      <w:szCs w:val="21"/>
                    </w:rPr>
                  </w:pPr>
                  <w:r>
                    <w:rPr>
                      <w:rFonts w:hint="eastAsia" w:hAnsi="宋体"/>
                      <w:kern w:val="0"/>
                      <w:szCs w:val="21"/>
                    </w:rPr>
                    <w:t>酯类及其他有机物</w:t>
                  </w:r>
                </w:p>
              </w:tc>
              <w:tc>
                <w:tcPr>
                  <w:tcW w:w="384" w:type="pct"/>
                  <w:vMerge w:val="restart"/>
                  <w:vAlign w:val="center"/>
                </w:tcPr>
                <w:p w14:paraId="21AFEB8F">
                  <w:pPr>
                    <w:pStyle w:val="105"/>
                    <w:spacing w:line="276" w:lineRule="auto"/>
                    <w:rPr>
                      <w:rFonts w:hAnsi="宋体"/>
                      <w:kern w:val="0"/>
                      <w:szCs w:val="21"/>
                    </w:rPr>
                  </w:pPr>
                  <w:r>
                    <w:rPr>
                      <w:rFonts w:hint="eastAsia" w:hAnsi="宋体"/>
                      <w:kern w:val="0"/>
                      <w:szCs w:val="21"/>
                    </w:rPr>
                    <w:t>危险废物</w:t>
                  </w:r>
                </w:p>
              </w:tc>
              <w:tc>
                <w:tcPr>
                  <w:tcW w:w="646" w:type="pct"/>
                  <w:vMerge w:val="restart"/>
                  <w:vAlign w:val="center"/>
                </w:tcPr>
                <w:p w14:paraId="6D1468DD">
                  <w:pPr>
                    <w:pStyle w:val="105"/>
                    <w:spacing w:line="276" w:lineRule="auto"/>
                    <w:rPr>
                      <w:rFonts w:hAnsi="宋体"/>
                      <w:kern w:val="0"/>
                      <w:szCs w:val="21"/>
                    </w:rPr>
                  </w:pPr>
                  <w:r>
                    <w:rPr>
                      <w:rFonts w:hint="eastAsia" w:hAnsi="宋体"/>
                      <w:szCs w:val="21"/>
                    </w:rPr>
                    <w:t>收集存放于危废暂存间，委托有资质的单位定期处理处置</w:t>
                  </w:r>
                </w:p>
              </w:tc>
            </w:tr>
            <w:tr w14:paraId="62445C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3" w:type="pct"/>
                  <w:vAlign w:val="center"/>
                </w:tcPr>
                <w:p w14:paraId="591CB1E3">
                  <w:pPr>
                    <w:pStyle w:val="105"/>
                    <w:spacing w:line="276" w:lineRule="auto"/>
                    <w:rPr>
                      <w:rFonts w:hAnsi="宋体"/>
                      <w:kern w:val="0"/>
                      <w:szCs w:val="21"/>
                    </w:rPr>
                  </w:pPr>
                  <w:r>
                    <w:rPr>
                      <w:rFonts w:hint="eastAsia" w:hAnsi="宋体"/>
                      <w:kern w:val="0"/>
                      <w:szCs w:val="21"/>
                    </w:rPr>
                    <w:t>4</w:t>
                  </w:r>
                </w:p>
              </w:tc>
              <w:tc>
                <w:tcPr>
                  <w:tcW w:w="775" w:type="pct"/>
                  <w:vAlign w:val="center"/>
                </w:tcPr>
                <w:p w14:paraId="54BFD62B">
                  <w:pPr>
                    <w:pStyle w:val="105"/>
                    <w:spacing w:line="276" w:lineRule="auto"/>
                    <w:rPr>
                      <w:rFonts w:hAnsi="宋体"/>
                      <w:kern w:val="0"/>
                      <w:szCs w:val="21"/>
                    </w:rPr>
                  </w:pPr>
                  <w:r>
                    <w:rPr>
                      <w:rFonts w:hint="eastAsia" w:hAnsi="宋体"/>
                      <w:kern w:val="0"/>
                      <w:szCs w:val="21"/>
                    </w:rPr>
                    <w:t>不合格品</w:t>
                  </w:r>
                </w:p>
              </w:tc>
              <w:tc>
                <w:tcPr>
                  <w:tcW w:w="653" w:type="pct"/>
                  <w:vAlign w:val="center"/>
                </w:tcPr>
                <w:p w14:paraId="5C36ECC4">
                  <w:pPr>
                    <w:pStyle w:val="105"/>
                    <w:spacing w:line="276" w:lineRule="auto"/>
                    <w:rPr>
                      <w:rFonts w:hAnsi="宋体"/>
                      <w:kern w:val="0"/>
                      <w:szCs w:val="21"/>
                    </w:rPr>
                  </w:pPr>
                  <w:r>
                    <w:rPr>
                      <w:rFonts w:hint="eastAsia" w:hAnsi="宋体"/>
                      <w:kern w:val="0"/>
                      <w:szCs w:val="21"/>
                    </w:rPr>
                    <w:t>6.3</w:t>
                  </w:r>
                </w:p>
              </w:tc>
              <w:tc>
                <w:tcPr>
                  <w:tcW w:w="883" w:type="pct"/>
                  <w:vAlign w:val="center"/>
                </w:tcPr>
                <w:p w14:paraId="2F4358C7">
                  <w:pPr>
                    <w:pStyle w:val="105"/>
                    <w:spacing w:line="276" w:lineRule="auto"/>
                    <w:rPr>
                      <w:rFonts w:hAnsi="宋体"/>
                      <w:kern w:val="0"/>
                      <w:szCs w:val="21"/>
                    </w:rPr>
                  </w:pPr>
                  <w:r>
                    <w:rPr>
                      <w:rFonts w:hint="eastAsia" w:hAnsi="宋体"/>
                      <w:kern w:val="0"/>
                      <w:szCs w:val="21"/>
                    </w:rPr>
                    <w:t>检验包装</w:t>
                  </w:r>
                </w:p>
              </w:tc>
              <w:tc>
                <w:tcPr>
                  <w:tcW w:w="525" w:type="pct"/>
                  <w:vAlign w:val="center"/>
                </w:tcPr>
                <w:p w14:paraId="5F7D39FC">
                  <w:pPr>
                    <w:pStyle w:val="105"/>
                    <w:spacing w:line="276" w:lineRule="auto"/>
                    <w:rPr>
                      <w:rFonts w:hAnsi="宋体"/>
                      <w:kern w:val="0"/>
                      <w:szCs w:val="21"/>
                    </w:rPr>
                  </w:pPr>
                  <w:r>
                    <w:rPr>
                      <w:rFonts w:hint="eastAsia" w:hAnsi="宋体"/>
                      <w:kern w:val="0"/>
                      <w:szCs w:val="21"/>
                    </w:rPr>
                    <w:t>固态</w:t>
                  </w:r>
                </w:p>
              </w:tc>
              <w:tc>
                <w:tcPr>
                  <w:tcW w:w="751" w:type="pct"/>
                  <w:vAlign w:val="center"/>
                </w:tcPr>
                <w:p w14:paraId="7D650CA0">
                  <w:pPr>
                    <w:pStyle w:val="105"/>
                    <w:spacing w:line="276" w:lineRule="auto"/>
                    <w:rPr>
                      <w:rFonts w:hAnsi="宋体"/>
                      <w:kern w:val="0"/>
                      <w:szCs w:val="21"/>
                    </w:rPr>
                  </w:pPr>
                  <w:r>
                    <w:rPr>
                      <w:rFonts w:hint="eastAsia" w:hAnsi="宋体"/>
                      <w:kern w:val="0"/>
                      <w:szCs w:val="21"/>
                    </w:rPr>
                    <w:t>酯类及其他有机物</w:t>
                  </w:r>
                </w:p>
              </w:tc>
              <w:tc>
                <w:tcPr>
                  <w:tcW w:w="384" w:type="pct"/>
                  <w:vMerge w:val="continue"/>
                  <w:vAlign w:val="center"/>
                </w:tcPr>
                <w:p w14:paraId="62032522">
                  <w:pPr>
                    <w:pStyle w:val="105"/>
                    <w:spacing w:line="276" w:lineRule="auto"/>
                    <w:rPr>
                      <w:rFonts w:hAnsi="宋体"/>
                      <w:kern w:val="0"/>
                      <w:szCs w:val="21"/>
                    </w:rPr>
                  </w:pPr>
                </w:p>
              </w:tc>
              <w:tc>
                <w:tcPr>
                  <w:tcW w:w="646" w:type="pct"/>
                  <w:vMerge w:val="continue"/>
                  <w:vAlign w:val="center"/>
                </w:tcPr>
                <w:p w14:paraId="084E5DAE">
                  <w:pPr>
                    <w:pStyle w:val="105"/>
                    <w:spacing w:line="276" w:lineRule="auto"/>
                    <w:rPr>
                      <w:rFonts w:hAnsi="宋体"/>
                      <w:kern w:val="0"/>
                      <w:szCs w:val="21"/>
                    </w:rPr>
                  </w:pPr>
                </w:p>
              </w:tc>
            </w:tr>
            <w:tr w14:paraId="58AC8A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3" w:type="pct"/>
                  <w:vAlign w:val="center"/>
                </w:tcPr>
                <w:p w14:paraId="2F254E16">
                  <w:pPr>
                    <w:pStyle w:val="105"/>
                    <w:spacing w:line="276" w:lineRule="auto"/>
                    <w:rPr>
                      <w:rFonts w:hAnsi="宋体"/>
                      <w:kern w:val="0"/>
                      <w:szCs w:val="21"/>
                    </w:rPr>
                  </w:pPr>
                  <w:r>
                    <w:rPr>
                      <w:rFonts w:hint="eastAsia" w:hAnsi="宋体"/>
                      <w:kern w:val="0"/>
                      <w:szCs w:val="21"/>
                    </w:rPr>
                    <w:t>5</w:t>
                  </w:r>
                </w:p>
              </w:tc>
              <w:tc>
                <w:tcPr>
                  <w:tcW w:w="775" w:type="pct"/>
                  <w:vAlign w:val="center"/>
                </w:tcPr>
                <w:p w14:paraId="4BB537A2">
                  <w:pPr>
                    <w:pStyle w:val="105"/>
                    <w:spacing w:line="276" w:lineRule="auto"/>
                    <w:rPr>
                      <w:rFonts w:hAnsi="宋体"/>
                      <w:kern w:val="0"/>
                      <w:szCs w:val="21"/>
                    </w:rPr>
                  </w:pPr>
                  <w:r>
                    <w:rPr>
                      <w:rFonts w:hint="eastAsia" w:hAnsi="宋体"/>
                      <w:kern w:val="0"/>
                      <w:szCs w:val="21"/>
                    </w:rPr>
                    <w:t>离心废液</w:t>
                  </w:r>
                </w:p>
              </w:tc>
              <w:tc>
                <w:tcPr>
                  <w:tcW w:w="653" w:type="pct"/>
                  <w:vAlign w:val="center"/>
                </w:tcPr>
                <w:p w14:paraId="7CD78300">
                  <w:pPr>
                    <w:pStyle w:val="105"/>
                    <w:spacing w:line="276" w:lineRule="auto"/>
                    <w:rPr>
                      <w:rFonts w:hAnsi="宋体"/>
                      <w:kern w:val="0"/>
                      <w:szCs w:val="21"/>
                    </w:rPr>
                  </w:pPr>
                  <w:r>
                    <w:rPr>
                      <w:rFonts w:hAnsi="宋体"/>
                      <w:kern w:val="0"/>
                      <w:szCs w:val="21"/>
                    </w:rPr>
                    <w:t>0.30</w:t>
                  </w:r>
                  <w:r>
                    <w:rPr>
                      <w:rFonts w:hint="eastAsia" w:hAnsi="宋体"/>
                      <w:kern w:val="0"/>
                      <w:szCs w:val="21"/>
                    </w:rPr>
                    <w:t>21</w:t>
                  </w:r>
                </w:p>
              </w:tc>
              <w:tc>
                <w:tcPr>
                  <w:tcW w:w="883" w:type="pct"/>
                  <w:vAlign w:val="center"/>
                </w:tcPr>
                <w:p w14:paraId="1CF3BA2F">
                  <w:pPr>
                    <w:pStyle w:val="105"/>
                    <w:spacing w:line="276" w:lineRule="auto"/>
                    <w:rPr>
                      <w:rFonts w:hAnsi="宋体"/>
                      <w:kern w:val="0"/>
                      <w:szCs w:val="21"/>
                    </w:rPr>
                  </w:pPr>
                  <w:r>
                    <w:rPr>
                      <w:rFonts w:hint="eastAsia" w:hAnsi="宋体"/>
                      <w:kern w:val="0"/>
                      <w:szCs w:val="21"/>
                    </w:rPr>
                    <w:t>离心工序</w:t>
                  </w:r>
                </w:p>
              </w:tc>
              <w:tc>
                <w:tcPr>
                  <w:tcW w:w="525" w:type="pct"/>
                  <w:vAlign w:val="center"/>
                </w:tcPr>
                <w:p w14:paraId="0E9B2922">
                  <w:pPr>
                    <w:pStyle w:val="105"/>
                    <w:spacing w:line="276" w:lineRule="auto"/>
                    <w:rPr>
                      <w:rFonts w:hAnsi="宋体"/>
                      <w:kern w:val="0"/>
                      <w:szCs w:val="21"/>
                    </w:rPr>
                  </w:pPr>
                  <w:r>
                    <w:rPr>
                      <w:rFonts w:hint="eastAsia" w:hAnsi="宋体"/>
                      <w:kern w:val="0"/>
                      <w:szCs w:val="21"/>
                    </w:rPr>
                    <w:t>液态</w:t>
                  </w:r>
                </w:p>
              </w:tc>
              <w:tc>
                <w:tcPr>
                  <w:tcW w:w="751" w:type="pct"/>
                  <w:vAlign w:val="center"/>
                </w:tcPr>
                <w:p w14:paraId="546C8978">
                  <w:pPr>
                    <w:pStyle w:val="105"/>
                    <w:spacing w:line="276" w:lineRule="auto"/>
                    <w:rPr>
                      <w:rFonts w:hAnsi="宋体"/>
                      <w:kern w:val="0"/>
                      <w:szCs w:val="21"/>
                    </w:rPr>
                  </w:pPr>
                  <w:r>
                    <w:rPr>
                      <w:rFonts w:hint="eastAsia" w:hAnsi="宋体"/>
                      <w:kern w:val="0"/>
                      <w:szCs w:val="21"/>
                    </w:rPr>
                    <w:t>酯类、醇类有机物</w:t>
                  </w:r>
                </w:p>
              </w:tc>
              <w:tc>
                <w:tcPr>
                  <w:tcW w:w="384" w:type="pct"/>
                  <w:vMerge w:val="continue"/>
                  <w:vAlign w:val="center"/>
                </w:tcPr>
                <w:p w14:paraId="7A82869B">
                  <w:pPr>
                    <w:pStyle w:val="105"/>
                    <w:spacing w:line="276" w:lineRule="auto"/>
                    <w:rPr>
                      <w:rFonts w:hAnsi="宋体"/>
                      <w:kern w:val="0"/>
                      <w:szCs w:val="21"/>
                    </w:rPr>
                  </w:pPr>
                </w:p>
              </w:tc>
              <w:tc>
                <w:tcPr>
                  <w:tcW w:w="646" w:type="pct"/>
                  <w:vMerge w:val="continue"/>
                  <w:vAlign w:val="center"/>
                </w:tcPr>
                <w:p w14:paraId="3DB05AD0">
                  <w:pPr>
                    <w:pStyle w:val="105"/>
                    <w:spacing w:line="276" w:lineRule="auto"/>
                    <w:rPr>
                      <w:rFonts w:hAnsi="宋体"/>
                      <w:kern w:val="0"/>
                      <w:szCs w:val="21"/>
                    </w:rPr>
                  </w:pPr>
                </w:p>
              </w:tc>
            </w:tr>
            <w:tr w14:paraId="0BCFB6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3" w:type="pct"/>
                  <w:vAlign w:val="center"/>
                </w:tcPr>
                <w:p w14:paraId="7E2FF5DA">
                  <w:pPr>
                    <w:pStyle w:val="105"/>
                    <w:spacing w:line="276" w:lineRule="auto"/>
                    <w:rPr>
                      <w:rFonts w:hAnsi="宋体"/>
                      <w:kern w:val="0"/>
                      <w:szCs w:val="21"/>
                    </w:rPr>
                  </w:pPr>
                  <w:r>
                    <w:rPr>
                      <w:rFonts w:hint="eastAsia" w:hAnsi="宋体"/>
                      <w:kern w:val="0"/>
                      <w:szCs w:val="21"/>
                    </w:rPr>
                    <w:t>6</w:t>
                  </w:r>
                </w:p>
              </w:tc>
              <w:tc>
                <w:tcPr>
                  <w:tcW w:w="775" w:type="pct"/>
                  <w:vAlign w:val="center"/>
                </w:tcPr>
                <w:p w14:paraId="1571EB78">
                  <w:pPr>
                    <w:pStyle w:val="105"/>
                    <w:spacing w:line="276" w:lineRule="auto"/>
                    <w:rPr>
                      <w:rFonts w:hAnsi="宋体"/>
                      <w:kern w:val="0"/>
                      <w:szCs w:val="21"/>
                    </w:rPr>
                  </w:pPr>
                  <w:r>
                    <w:rPr>
                      <w:rFonts w:hint="eastAsia" w:hAnsi="宋体"/>
                      <w:kern w:val="0"/>
                      <w:szCs w:val="21"/>
                    </w:rPr>
                    <w:t>清洗废液</w:t>
                  </w:r>
                </w:p>
              </w:tc>
              <w:tc>
                <w:tcPr>
                  <w:tcW w:w="653" w:type="pct"/>
                  <w:vAlign w:val="center"/>
                </w:tcPr>
                <w:p w14:paraId="6C1CBFD4">
                  <w:pPr>
                    <w:pStyle w:val="105"/>
                    <w:spacing w:line="276" w:lineRule="auto"/>
                    <w:rPr>
                      <w:rFonts w:hAnsi="宋体"/>
                      <w:kern w:val="0"/>
                      <w:szCs w:val="21"/>
                    </w:rPr>
                  </w:pPr>
                  <w:r>
                    <w:rPr>
                      <w:rFonts w:hAnsi="宋体"/>
                      <w:kern w:val="0"/>
                      <w:szCs w:val="21"/>
                    </w:rPr>
                    <w:t>2.89</w:t>
                  </w:r>
                </w:p>
              </w:tc>
              <w:tc>
                <w:tcPr>
                  <w:tcW w:w="883" w:type="pct"/>
                  <w:vAlign w:val="center"/>
                </w:tcPr>
                <w:p w14:paraId="5AF83843">
                  <w:pPr>
                    <w:pStyle w:val="105"/>
                    <w:spacing w:line="276" w:lineRule="auto"/>
                    <w:rPr>
                      <w:rFonts w:hAnsi="宋体"/>
                      <w:kern w:val="0"/>
                      <w:szCs w:val="21"/>
                    </w:rPr>
                  </w:pPr>
                  <w:r>
                    <w:rPr>
                      <w:rFonts w:hint="eastAsia" w:hAnsi="宋体"/>
                      <w:kern w:val="0"/>
                      <w:szCs w:val="21"/>
                    </w:rPr>
                    <w:t>清洗工序</w:t>
                  </w:r>
                </w:p>
              </w:tc>
              <w:tc>
                <w:tcPr>
                  <w:tcW w:w="525" w:type="pct"/>
                  <w:vAlign w:val="center"/>
                </w:tcPr>
                <w:p w14:paraId="41F1D3BC">
                  <w:pPr>
                    <w:pStyle w:val="105"/>
                    <w:spacing w:line="276" w:lineRule="auto"/>
                    <w:rPr>
                      <w:rFonts w:hAnsi="宋体"/>
                      <w:kern w:val="0"/>
                      <w:szCs w:val="21"/>
                    </w:rPr>
                  </w:pPr>
                  <w:r>
                    <w:rPr>
                      <w:rFonts w:hint="eastAsia" w:hAnsi="宋体"/>
                      <w:kern w:val="0"/>
                      <w:szCs w:val="21"/>
                    </w:rPr>
                    <w:t>液态</w:t>
                  </w:r>
                </w:p>
              </w:tc>
              <w:tc>
                <w:tcPr>
                  <w:tcW w:w="751" w:type="pct"/>
                  <w:vAlign w:val="center"/>
                </w:tcPr>
                <w:p w14:paraId="3D630FB0">
                  <w:pPr>
                    <w:pStyle w:val="105"/>
                    <w:spacing w:line="276" w:lineRule="auto"/>
                    <w:rPr>
                      <w:rFonts w:hAnsi="宋体"/>
                      <w:kern w:val="0"/>
                      <w:szCs w:val="21"/>
                    </w:rPr>
                  </w:pPr>
                  <w:r>
                    <w:rPr>
                      <w:rFonts w:hint="eastAsia" w:hAnsi="宋体"/>
                      <w:kern w:val="0"/>
                      <w:szCs w:val="21"/>
                    </w:rPr>
                    <w:t>酯类、醇类有机物</w:t>
                  </w:r>
                </w:p>
              </w:tc>
              <w:tc>
                <w:tcPr>
                  <w:tcW w:w="384" w:type="pct"/>
                  <w:vMerge w:val="continue"/>
                  <w:vAlign w:val="center"/>
                </w:tcPr>
                <w:p w14:paraId="2B9806C4">
                  <w:pPr>
                    <w:pStyle w:val="105"/>
                    <w:spacing w:line="276" w:lineRule="auto"/>
                    <w:rPr>
                      <w:rFonts w:hAnsi="宋体"/>
                      <w:kern w:val="0"/>
                      <w:szCs w:val="21"/>
                    </w:rPr>
                  </w:pPr>
                </w:p>
              </w:tc>
              <w:tc>
                <w:tcPr>
                  <w:tcW w:w="646" w:type="pct"/>
                  <w:vMerge w:val="continue"/>
                  <w:vAlign w:val="center"/>
                </w:tcPr>
                <w:p w14:paraId="331DF288">
                  <w:pPr>
                    <w:pStyle w:val="105"/>
                    <w:spacing w:line="276" w:lineRule="auto"/>
                    <w:rPr>
                      <w:rFonts w:hAnsi="宋体"/>
                      <w:kern w:val="0"/>
                      <w:szCs w:val="21"/>
                    </w:rPr>
                  </w:pPr>
                </w:p>
              </w:tc>
            </w:tr>
            <w:tr w14:paraId="28C2D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3" w:type="pct"/>
                  <w:vAlign w:val="center"/>
                </w:tcPr>
                <w:p w14:paraId="7DF5C790">
                  <w:pPr>
                    <w:pStyle w:val="105"/>
                    <w:spacing w:line="276" w:lineRule="auto"/>
                    <w:rPr>
                      <w:rFonts w:hAnsi="宋体"/>
                      <w:kern w:val="0"/>
                      <w:szCs w:val="21"/>
                    </w:rPr>
                  </w:pPr>
                  <w:r>
                    <w:rPr>
                      <w:rFonts w:hint="eastAsia" w:hAnsi="宋体"/>
                      <w:kern w:val="0"/>
                      <w:szCs w:val="21"/>
                    </w:rPr>
                    <w:t>7</w:t>
                  </w:r>
                </w:p>
              </w:tc>
              <w:tc>
                <w:tcPr>
                  <w:tcW w:w="775" w:type="pct"/>
                  <w:vAlign w:val="center"/>
                </w:tcPr>
                <w:p w14:paraId="28BEA9EE">
                  <w:pPr>
                    <w:pStyle w:val="105"/>
                    <w:spacing w:line="276" w:lineRule="auto"/>
                    <w:rPr>
                      <w:rFonts w:hAnsi="宋体"/>
                      <w:kern w:val="0"/>
                      <w:szCs w:val="21"/>
                    </w:rPr>
                  </w:pPr>
                  <w:r>
                    <w:rPr>
                      <w:rFonts w:hint="eastAsia" w:hAnsi="宋体"/>
                      <w:kern w:val="0"/>
                      <w:szCs w:val="21"/>
                    </w:rPr>
                    <w:t>废活性炭</w:t>
                  </w:r>
                </w:p>
              </w:tc>
              <w:tc>
                <w:tcPr>
                  <w:tcW w:w="653" w:type="pct"/>
                  <w:vAlign w:val="center"/>
                </w:tcPr>
                <w:p w14:paraId="30A27F80">
                  <w:pPr>
                    <w:pStyle w:val="105"/>
                    <w:spacing w:line="276" w:lineRule="auto"/>
                    <w:rPr>
                      <w:rFonts w:hAnsi="宋体"/>
                      <w:kern w:val="0"/>
                      <w:szCs w:val="21"/>
                    </w:rPr>
                  </w:pPr>
                  <w:r>
                    <w:rPr>
                      <w:rFonts w:hint="eastAsia" w:hAnsi="宋体"/>
                      <w:kern w:val="0"/>
                      <w:szCs w:val="21"/>
                    </w:rPr>
                    <w:t>1.184</w:t>
                  </w:r>
                </w:p>
              </w:tc>
              <w:tc>
                <w:tcPr>
                  <w:tcW w:w="883" w:type="pct"/>
                  <w:vAlign w:val="center"/>
                </w:tcPr>
                <w:p w14:paraId="4E10A9ED">
                  <w:pPr>
                    <w:pStyle w:val="105"/>
                    <w:spacing w:line="276" w:lineRule="auto"/>
                    <w:rPr>
                      <w:rFonts w:hAnsi="宋体"/>
                      <w:kern w:val="0"/>
                      <w:szCs w:val="21"/>
                    </w:rPr>
                  </w:pPr>
                  <w:r>
                    <w:rPr>
                      <w:rFonts w:hint="eastAsia" w:hAnsi="宋体"/>
                      <w:kern w:val="0"/>
                      <w:szCs w:val="21"/>
                    </w:rPr>
                    <w:t>废气处理工序</w:t>
                  </w:r>
                </w:p>
              </w:tc>
              <w:tc>
                <w:tcPr>
                  <w:tcW w:w="525" w:type="pct"/>
                  <w:vAlign w:val="center"/>
                </w:tcPr>
                <w:p w14:paraId="1110DA87">
                  <w:pPr>
                    <w:pStyle w:val="105"/>
                    <w:spacing w:line="276" w:lineRule="auto"/>
                    <w:rPr>
                      <w:rFonts w:hAnsi="宋体"/>
                      <w:kern w:val="0"/>
                      <w:szCs w:val="21"/>
                    </w:rPr>
                  </w:pPr>
                  <w:r>
                    <w:rPr>
                      <w:rFonts w:hint="eastAsia" w:hAnsi="宋体"/>
                      <w:kern w:val="0"/>
                      <w:szCs w:val="21"/>
                    </w:rPr>
                    <w:t>固态</w:t>
                  </w:r>
                </w:p>
              </w:tc>
              <w:tc>
                <w:tcPr>
                  <w:tcW w:w="751" w:type="pct"/>
                  <w:vAlign w:val="center"/>
                </w:tcPr>
                <w:p w14:paraId="66AA6FBA">
                  <w:pPr>
                    <w:pStyle w:val="105"/>
                    <w:spacing w:line="276" w:lineRule="auto"/>
                    <w:rPr>
                      <w:rFonts w:hAnsi="宋体"/>
                      <w:kern w:val="0"/>
                      <w:szCs w:val="21"/>
                    </w:rPr>
                  </w:pPr>
                  <w:r>
                    <w:rPr>
                      <w:kern w:val="0"/>
                      <w:szCs w:val="21"/>
                    </w:rPr>
                    <w:t>失活活性炭</w:t>
                  </w:r>
                  <w:r>
                    <w:rPr>
                      <w:rFonts w:hint="eastAsia"/>
                      <w:kern w:val="0"/>
                      <w:szCs w:val="21"/>
                    </w:rPr>
                    <w:t>、</w:t>
                  </w:r>
                  <w:r>
                    <w:rPr>
                      <w:kern w:val="0"/>
                      <w:szCs w:val="21"/>
                    </w:rPr>
                    <w:t>挥发性有机物</w:t>
                  </w:r>
                </w:p>
              </w:tc>
              <w:tc>
                <w:tcPr>
                  <w:tcW w:w="384" w:type="pct"/>
                  <w:vMerge w:val="continue"/>
                  <w:vAlign w:val="center"/>
                </w:tcPr>
                <w:p w14:paraId="7E331E11">
                  <w:pPr>
                    <w:pStyle w:val="105"/>
                    <w:spacing w:line="276" w:lineRule="auto"/>
                    <w:rPr>
                      <w:rFonts w:hAnsi="宋体"/>
                      <w:kern w:val="0"/>
                      <w:szCs w:val="21"/>
                    </w:rPr>
                  </w:pPr>
                </w:p>
              </w:tc>
              <w:tc>
                <w:tcPr>
                  <w:tcW w:w="646" w:type="pct"/>
                  <w:vMerge w:val="continue"/>
                  <w:vAlign w:val="center"/>
                </w:tcPr>
                <w:p w14:paraId="052B612B">
                  <w:pPr>
                    <w:pStyle w:val="105"/>
                    <w:spacing w:line="276" w:lineRule="auto"/>
                    <w:rPr>
                      <w:rFonts w:hAnsi="宋体"/>
                      <w:kern w:val="0"/>
                      <w:szCs w:val="21"/>
                    </w:rPr>
                  </w:pPr>
                </w:p>
              </w:tc>
            </w:tr>
            <w:tr w14:paraId="0EF711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83" w:type="pct"/>
                  <w:vAlign w:val="center"/>
                </w:tcPr>
                <w:p w14:paraId="45250266">
                  <w:pPr>
                    <w:pStyle w:val="105"/>
                    <w:spacing w:line="276" w:lineRule="auto"/>
                    <w:rPr>
                      <w:rFonts w:hAnsi="宋体"/>
                      <w:kern w:val="0"/>
                      <w:szCs w:val="21"/>
                    </w:rPr>
                  </w:pPr>
                  <w:r>
                    <w:rPr>
                      <w:rFonts w:hint="eastAsia" w:hAnsi="宋体"/>
                      <w:kern w:val="0"/>
                      <w:szCs w:val="21"/>
                    </w:rPr>
                    <w:t>8</w:t>
                  </w:r>
                </w:p>
              </w:tc>
              <w:tc>
                <w:tcPr>
                  <w:tcW w:w="775" w:type="pct"/>
                  <w:vAlign w:val="center"/>
                </w:tcPr>
                <w:p w14:paraId="1E5618A3">
                  <w:pPr>
                    <w:pStyle w:val="105"/>
                    <w:spacing w:line="276" w:lineRule="auto"/>
                    <w:rPr>
                      <w:rFonts w:hAnsi="宋体"/>
                      <w:kern w:val="0"/>
                      <w:szCs w:val="21"/>
                    </w:rPr>
                  </w:pPr>
                  <w:r>
                    <w:rPr>
                      <w:rFonts w:hint="eastAsia" w:hAnsi="宋体"/>
                      <w:kern w:val="0"/>
                      <w:szCs w:val="21"/>
                    </w:rPr>
                    <w:t>生活垃圾</w:t>
                  </w:r>
                </w:p>
              </w:tc>
              <w:tc>
                <w:tcPr>
                  <w:tcW w:w="653" w:type="pct"/>
                  <w:vAlign w:val="center"/>
                </w:tcPr>
                <w:p w14:paraId="714E6770">
                  <w:pPr>
                    <w:pStyle w:val="105"/>
                    <w:spacing w:line="276" w:lineRule="auto"/>
                    <w:rPr>
                      <w:rFonts w:hAnsi="宋体"/>
                      <w:kern w:val="0"/>
                      <w:szCs w:val="21"/>
                    </w:rPr>
                  </w:pPr>
                  <w:r>
                    <w:rPr>
                      <w:rFonts w:hAnsi="宋体"/>
                      <w:kern w:val="0"/>
                      <w:szCs w:val="21"/>
                    </w:rPr>
                    <w:t>2.7</w:t>
                  </w:r>
                </w:p>
              </w:tc>
              <w:tc>
                <w:tcPr>
                  <w:tcW w:w="883" w:type="pct"/>
                  <w:vAlign w:val="center"/>
                </w:tcPr>
                <w:p w14:paraId="22073033">
                  <w:pPr>
                    <w:pStyle w:val="105"/>
                    <w:spacing w:line="276" w:lineRule="auto"/>
                    <w:rPr>
                      <w:kern w:val="0"/>
                      <w:szCs w:val="21"/>
                    </w:rPr>
                  </w:pPr>
                  <w:r>
                    <w:rPr>
                      <w:rFonts w:hint="eastAsia" w:hAnsi="宋体"/>
                      <w:kern w:val="0"/>
                      <w:szCs w:val="21"/>
                    </w:rPr>
                    <w:t>员工生活</w:t>
                  </w:r>
                </w:p>
              </w:tc>
              <w:tc>
                <w:tcPr>
                  <w:tcW w:w="525" w:type="pct"/>
                  <w:vAlign w:val="center"/>
                </w:tcPr>
                <w:p w14:paraId="3092B21C">
                  <w:pPr>
                    <w:pStyle w:val="105"/>
                    <w:spacing w:line="276" w:lineRule="auto"/>
                    <w:rPr>
                      <w:kern w:val="0"/>
                      <w:szCs w:val="21"/>
                    </w:rPr>
                  </w:pPr>
                  <w:r>
                    <w:rPr>
                      <w:rFonts w:hint="eastAsia" w:hAnsi="宋体"/>
                      <w:szCs w:val="21"/>
                    </w:rPr>
                    <w:t>固态</w:t>
                  </w:r>
                </w:p>
              </w:tc>
              <w:tc>
                <w:tcPr>
                  <w:tcW w:w="751" w:type="pct"/>
                  <w:vAlign w:val="center"/>
                </w:tcPr>
                <w:p w14:paraId="61AB48B7">
                  <w:pPr>
                    <w:pStyle w:val="105"/>
                    <w:spacing w:line="276" w:lineRule="auto"/>
                    <w:rPr>
                      <w:kern w:val="0"/>
                      <w:szCs w:val="21"/>
                    </w:rPr>
                  </w:pPr>
                  <w:r>
                    <w:rPr>
                      <w:kern w:val="0"/>
                      <w:szCs w:val="21"/>
                    </w:rPr>
                    <w:t>/</w:t>
                  </w:r>
                </w:p>
              </w:tc>
              <w:tc>
                <w:tcPr>
                  <w:tcW w:w="384" w:type="pct"/>
                  <w:vAlign w:val="center"/>
                </w:tcPr>
                <w:p w14:paraId="5560E577">
                  <w:pPr>
                    <w:pStyle w:val="105"/>
                    <w:spacing w:line="276" w:lineRule="auto"/>
                    <w:rPr>
                      <w:kern w:val="0"/>
                      <w:szCs w:val="21"/>
                    </w:rPr>
                  </w:pPr>
                  <w:r>
                    <w:rPr>
                      <w:kern w:val="0"/>
                      <w:szCs w:val="21"/>
                    </w:rPr>
                    <w:t>/</w:t>
                  </w:r>
                </w:p>
              </w:tc>
              <w:tc>
                <w:tcPr>
                  <w:tcW w:w="646" w:type="pct"/>
                  <w:vAlign w:val="center"/>
                </w:tcPr>
                <w:p w14:paraId="43A7D277">
                  <w:pPr>
                    <w:pStyle w:val="105"/>
                    <w:spacing w:line="276" w:lineRule="auto"/>
                    <w:rPr>
                      <w:kern w:val="0"/>
                      <w:szCs w:val="21"/>
                    </w:rPr>
                  </w:pPr>
                  <w:r>
                    <w:rPr>
                      <w:rFonts w:hint="eastAsia" w:hAnsi="宋体"/>
                      <w:kern w:val="0"/>
                      <w:szCs w:val="21"/>
                    </w:rPr>
                    <w:t>环卫部门清运</w:t>
                  </w:r>
                </w:p>
              </w:tc>
            </w:tr>
          </w:tbl>
          <w:p w14:paraId="1EEBA0CB">
            <w:pPr>
              <w:pStyle w:val="108"/>
              <w:adjustRightInd/>
              <w:spacing w:line="360" w:lineRule="auto"/>
              <w:jc w:val="center"/>
              <w:rPr>
                <w:rFonts w:eastAsia="黑体"/>
                <w:bCs/>
                <w:color w:val="auto"/>
                <w:sz w:val="21"/>
                <w:szCs w:val="21"/>
              </w:rPr>
            </w:pPr>
            <w:r>
              <w:rPr>
                <w:rFonts w:hint="eastAsia" w:hAnsi="黑体" w:eastAsia="黑体"/>
                <w:color w:val="auto"/>
              </w:rPr>
              <w:t>表51</w:t>
            </w:r>
            <w:r>
              <w:rPr>
                <w:rFonts w:hAnsi="黑体" w:eastAsia="黑体"/>
                <w:color w:val="auto"/>
              </w:rPr>
              <w:t xml:space="preserve">  危险废物汇总表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38"/>
              <w:gridCol w:w="654"/>
              <w:gridCol w:w="984"/>
              <w:gridCol w:w="1196"/>
              <w:gridCol w:w="794"/>
              <w:gridCol w:w="657"/>
              <w:gridCol w:w="434"/>
              <w:gridCol w:w="658"/>
              <w:gridCol w:w="658"/>
              <w:gridCol w:w="597"/>
              <w:gridCol w:w="1079"/>
            </w:tblGrid>
            <w:tr w14:paraId="4B331D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4" w:type="pct"/>
                  <w:vAlign w:val="center"/>
                </w:tcPr>
                <w:p w14:paraId="7812B316">
                  <w:pPr>
                    <w:topLinePunct/>
                    <w:spacing w:line="276" w:lineRule="auto"/>
                    <w:jc w:val="center"/>
                    <w:rPr>
                      <w:b/>
                      <w:kern w:val="0"/>
                      <w:szCs w:val="21"/>
                    </w:rPr>
                  </w:pPr>
                  <w:r>
                    <w:rPr>
                      <w:rFonts w:hint="eastAsia"/>
                      <w:b/>
                      <w:kern w:val="0"/>
                      <w:szCs w:val="21"/>
                    </w:rPr>
                    <w:t>序号</w:t>
                  </w:r>
                </w:p>
              </w:tc>
              <w:tc>
                <w:tcPr>
                  <w:tcW w:w="407" w:type="pct"/>
                  <w:vAlign w:val="center"/>
                </w:tcPr>
                <w:p w14:paraId="3904F8B5">
                  <w:pPr>
                    <w:topLinePunct/>
                    <w:spacing w:line="276" w:lineRule="auto"/>
                    <w:jc w:val="center"/>
                    <w:rPr>
                      <w:b/>
                      <w:kern w:val="0"/>
                      <w:szCs w:val="21"/>
                    </w:rPr>
                  </w:pPr>
                  <w:r>
                    <w:rPr>
                      <w:rFonts w:hint="eastAsia"/>
                      <w:b/>
                      <w:kern w:val="0"/>
                      <w:szCs w:val="21"/>
                    </w:rPr>
                    <w:t>危险废物名称</w:t>
                  </w:r>
                </w:p>
              </w:tc>
              <w:tc>
                <w:tcPr>
                  <w:tcW w:w="609" w:type="pct"/>
                  <w:vAlign w:val="center"/>
                </w:tcPr>
                <w:p w14:paraId="08325B2C">
                  <w:pPr>
                    <w:topLinePunct/>
                    <w:spacing w:line="276" w:lineRule="auto"/>
                    <w:jc w:val="center"/>
                    <w:rPr>
                      <w:b/>
                      <w:kern w:val="0"/>
                      <w:szCs w:val="21"/>
                    </w:rPr>
                  </w:pPr>
                  <w:r>
                    <w:rPr>
                      <w:rFonts w:hint="eastAsia"/>
                      <w:b/>
                      <w:kern w:val="0"/>
                      <w:szCs w:val="21"/>
                    </w:rPr>
                    <w:t>危险废物类别</w:t>
                  </w:r>
                </w:p>
              </w:tc>
              <w:tc>
                <w:tcPr>
                  <w:tcW w:w="686" w:type="pct"/>
                  <w:vAlign w:val="center"/>
                </w:tcPr>
                <w:p w14:paraId="7A059211">
                  <w:pPr>
                    <w:topLinePunct/>
                    <w:spacing w:line="276" w:lineRule="auto"/>
                    <w:jc w:val="center"/>
                    <w:rPr>
                      <w:b/>
                      <w:kern w:val="0"/>
                      <w:szCs w:val="21"/>
                    </w:rPr>
                  </w:pPr>
                  <w:r>
                    <w:rPr>
                      <w:rFonts w:hint="eastAsia"/>
                      <w:b/>
                      <w:kern w:val="0"/>
                      <w:szCs w:val="21"/>
                    </w:rPr>
                    <w:t>危险废物代码</w:t>
                  </w:r>
                </w:p>
              </w:tc>
              <w:tc>
                <w:tcPr>
                  <w:tcW w:w="492" w:type="pct"/>
                  <w:vAlign w:val="center"/>
                </w:tcPr>
                <w:p w14:paraId="15379A3C">
                  <w:pPr>
                    <w:topLinePunct/>
                    <w:spacing w:line="276" w:lineRule="auto"/>
                    <w:jc w:val="center"/>
                    <w:rPr>
                      <w:b/>
                      <w:kern w:val="0"/>
                      <w:szCs w:val="21"/>
                    </w:rPr>
                  </w:pPr>
                  <w:r>
                    <w:rPr>
                      <w:rFonts w:hint="eastAsia"/>
                      <w:b/>
                      <w:kern w:val="0"/>
                      <w:szCs w:val="21"/>
                    </w:rPr>
                    <w:t>产生量（</w:t>
                  </w:r>
                  <w:r>
                    <w:rPr>
                      <w:b/>
                      <w:kern w:val="0"/>
                      <w:szCs w:val="21"/>
                    </w:rPr>
                    <w:t>t/a</w:t>
                  </w:r>
                  <w:r>
                    <w:rPr>
                      <w:rFonts w:hint="eastAsia"/>
                      <w:b/>
                      <w:kern w:val="0"/>
                      <w:szCs w:val="21"/>
                    </w:rPr>
                    <w:t>）</w:t>
                  </w:r>
                </w:p>
              </w:tc>
              <w:tc>
                <w:tcPr>
                  <w:tcW w:w="409" w:type="pct"/>
                  <w:vAlign w:val="center"/>
                </w:tcPr>
                <w:p w14:paraId="543DDA94">
                  <w:pPr>
                    <w:topLinePunct/>
                    <w:spacing w:line="276" w:lineRule="auto"/>
                    <w:jc w:val="center"/>
                    <w:rPr>
                      <w:b/>
                      <w:kern w:val="0"/>
                      <w:szCs w:val="21"/>
                    </w:rPr>
                  </w:pPr>
                  <w:r>
                    <w:rPr>
                      <w:rFonts w:hint="eastAsia"/>
                      <w:b/>
                      <w:kern w:val="0"/>
                      <w:szCs w:val="21"/>
                    </w:rPr>
                    <w:t>产生工序</w:t>
                  </w:r>
                </w:p>
              </w:tc>
              <w:tc>
                <w:tcPr>
                  <w:tcW w:w="272" w:type="pct"/>
                  <w:vAlign w:val="center"/>
                </w:tcPr>
                <w:p w14:paraId="2FF5F365">
                  <w:pPr>
                    <w:topLinePunct/>
                    <w:spacing w:line="276" w:lineRule="auto"/>
                    <w:jc w:val="center"/>
                    <w:rPr>
                      <w:b/>
                      <w:kern w:val="0"/>
                      <w:szCs w:val="21"/>
                    </w:rPr>
                  </w:pPr>
                  <w:r>
                    <w:rPr>
                      <w:rFonts w:hint="eastAsia"/>
                      <w:b/>
                      <w:kern w:val="0"/>
                      <w:szCs w:val="21"/>
                    </w:rPr>
                    <w:t>形态</w:t>
                  </w:r>
                </w:p>
              </w:tc>
              <w:tc>
                <w:tcPr>
                  <w:tcW w:w="409" w:type="pct"/>
                  <w:vAlign w:val="center"/>
                </w:tcPr>
                <w:p w14:paraId="226B6048">
                  <w:pPr>
                    <w:topLinePunct/>
                    <w:spacing w:line="276" w:lineRule="auto"/>
                    <w:jc w:val="center"/>
                    <w:rPr>
                      <w:b/>
                      <w:kern w:val="0"/>
                      <w:szCs w:val="21"/>
                    </w:rPr>
                  </w:pPr>
                  <w:r>
                    <w:rPr>
                      <w:rFonts w:hint="eastAsia"/>
                      <w:b/>
                      <w:kern w:val="0"/>
                      <w:szCs w:val="21"/>
                    </w:rPr>
                    <w:t>主要成分</w:t>
                  </w:r>
                </w:p>
              </w:tc>
              <w:tc>
                <w:tcPr>
                  <w:tcW w:w="409" w:type="pct"/>
                  <w:vAlign w:val="center"/>
                </w:tcPr>
                <w:p w14:paraId="4D74CC2C">
                  <w:pPr>
                    <w:topLinePunct/>
                    <w:spacing w:line="276" w:lineRule="auto"/>
                    <w:jc w:val="center"/>
                    <w:rPr>
                      <w:b/>
                      <w:kern w:val="0"/>
                      <w:szCs w:val="21"/>
                    </w:rPr>
                  </w:pPr>
                  <w:r>
                    <w:rPr>
                      <w:rFonts w:hint="eastAsia"/>
                      <w:b/>
                      <w:kern w:val="0"/>
                      <w:szCs w:val="21"/>
                    </w:rPr>
                    <w:t>有害成分</w:t>
                  </w:r>
                </w:p>
              </w:tc>
              <w:tc>
                <w:tcPr>
                  <w:tcW w:w="371" w:type="pct"/>
                  <w:vAlign w:val="center"/>
                </w:tcPr>
                <w:p w14:paraId="25213EC0">
                  <w:pPr>
                    <w:topLinePunct/>
                    <w:spacing w:line="276" w:lineRule="auto"/>
                    <w:jc w:val="center"/>
                    <w:rPr>
                      <w:b/>
                      <w:kern w:val="0"/>
                      <w:szCs w:val="21"/>
                    </w:rPr>
                  </w:pPr>
                  <w:r>
                    <w:rPr>
                      <w:rFonts w:hint="eastAsia"/>
                      <w:b/>
                      <w:kern w:val="0"/>
                      <w:szCs w:val="21"/>
                    </w:rPr>
                    <w:t>危险</w:t>
                  </w:r>
                </w:p>
                <w:p w14:paraId="01F80B3B">
                  <w:pPr>
                    <w:topLinePunct/>
                    <w:spacing w:line="276" w:lineRule="auto"/>
                    <w:jc w:val="center"/>
                    <w:rPr>
                      <w:b/>
                      <w:kern w:val="0"/>
                      <w:szCs w:val="21"/>
                    </w:rPr>
                  </w:pPr>
                  <w:r>
                    <w:rPr>
                      <w:rFonts w:hint="eastAsia"/>
                      <w:b/>
                      <w:kern w:val="0"/>
                      <w:szCs w:val="21"/>
                    </w:rPr>
                    <w:t>特性</w:t>
                  </w:r>
                </w:p>
              </w:tc>
              <w:tc>
                <w:tcPr>
                  <w:tcW w:w="662" w:type="pct"/>
                  <w:vAlign w:val="center"/>
                </w:tcPr>
                <w:p w14:paraId="102CA5FC">
                  <w:pPr>
                    <w:topLinePunct/>
                    <w:spacing w:line="276" w:lineRule="auto"/>
                    <w:jc w:val="center"/>
                    <w:rPr>
                      <w:b/>
                      <w:kern w:val="0"/>
                      <w:szCs w:val="21"/>
                    </w:rPr>
                  </w:pPr>
                  <w:r>
                    <w:rPr>
                      <w:rFonts w:hint="eastAsia"/>
                      <w:b/>
                      <w:kern w:val="0"/>
                      <w:szCs w:val="21"/>
                    </w:rPr>
                    <w:t>污染防治措施</w:t>
                  </w:r>
                </w:p>
              </w:tc>
            </w:tr>
            <w:tr w14:paraId="780793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4" w:type="pct"/>
                  <w:vAlign w:val="center"/>
                </w:tcPr>
                <w:p w14:paraId="71A8FECB">
                  <w:pPr>
                    <w:spacing w:line="276" w:lineRule="auto"/>
                    <w:jc w:val="center"/>
                    <w:rPr>
                      <w:szCs w:val="21"/>
                    </w:rPr>
                  </w:pPr>
                  <w:r>
                    <w:rPr>
                      <w:szCs w:val="21"/>
                    </w:rPr>
                    <w:t>1</w:t>
                  </w:r>
                </w:p>
              </w:tc>
              <w:tc>
                <w:tcPr>
                  <w:tcW w:w="407" w:type="pct"/>
                  <w:vAlign w:val="center"/>
                </w:tcPr>
                <w:p w14:paraId="09B8FEDA">
                  <w:pPr>
                    <w:spacing w:line="276" w:lineRule="auto"/>
                    <w:jc w:val="center"/>
                    <w:rPr>
                      <w:szCs w:val="21"/>
                    </w:rPr>
                  </w:pPr>
                  <w:r>
                    <w:rPr>
                      <w:rFonts w:hint="eastAsia" w:hAnsi="宋体"/>
                    </w:rPr>
                    <w:t>废包装桶</w:t>
                  </w:r>
                </w:p>
              </w:tc>
              <w:tc>
                <w:tcPr>
                  <w:tcW w:w="609" w:type="pct"/>
                  <w:vAlign w:val="center"/>
                </w:tcPr>
                <w:p w14:paraId="233DE5BA">
                  <w:pPr>
                    <w:topLinePunct/>
                    <w:spacing w:line="276" w:lineRule="auto"/>
                    <w:jc w:val="center"/>
                    <w:rPr>
                      <w:szCs w:val="21"/>
                    </w:rPr>
                  </w:pPr>
                  <w:r>
                    <w:rPr>
                      <w:rFonts w:hint="eastAsia"/>
                      <w:szCs w:val="21"/>
                    </w:rPr>
                    <w:t>HW49其他废物</w:t>
                  </w:r>
                </w:p>
              </w:tc>
              <w:tc>
                <w:tcPr>
                  <w:tcW w:w="686" w:type="pct"/>
                  <w:vAlign w:val="center"/>
                </w:tcPr>
                <w:p w14:paraId="0374BAD7">
                  <w:pPr>
                    <w:topLinePunct/>
                    <w:spacing w:line="276" w:lineRule="auto"/>
                    <w:jc w:val="center"/>
                    <w:rPr>
                      <w:szCs w:val="21"/>
                    </w:rPr>
                  </w:pPr>
                  <w:r>
                    <w:rPr>
                      <w:rFonts w:hint="eastAsia" w:hAnsi="宋体"/>
                    </w:rPr>
                    <w:t>900-041-49</w:t>
                  </w:r>
                </w:p>
              </w:tc>
              <w:tc>
                <w:tcPr>
                  <w:tcW w:w="492" w:type="pct"/>
                  <w:vAlign w:val="center"/>
                </w:tcPr>
                <w:p w14:paraId="3B1217C4">
                  <w:pPr>
                    <w:pStyle w:val="105"/>
                    <w:spacing w:line="276" w:lineRule="auto"/>
                    <w:rPr>
                      <w:rFonts w:hAnsi="宋体"/>
                      <w:kern w:val="0"/>
                      <w:szCs w:val="21"/>
                    </w:rPr>
                  </w:pPr>
                  <w:r>
                    <w:rPr>
                      <w:rFonts w:hint="eastAsia" w:hAnsi="宋体"/>
                      <w:kern w:val="0"/>
                      <w:szCs w:val="21"/>
                    </w:rPr>
                    <w:t>1</w:t>
                  </w:r>
                  <w:r>
                    <w:rPr>
                      <w:rFonts w:hAnsi="宋体"/>
                      <w:kern w:val="0"/>
                      <w:szCs w:val="21"/>
                    </w:rPr>
                    <w:t>.91</w:t>
                  </w:r>
                </w:p>
              </w:tc>
              <w:tc>
                <w:tcPr>
                  <w:tcW w:w="409" w:type="pct"/>
                  <w:vAlign w:val="center"/>
                </w:tcPr>
                <w:p w14:paraId="60F16B4F">
                  <w:pPr>
                    <w:pStyle w:val="105"/>
                    <w:spacing w:line="276" w:lineRule="auto"/>
                    <w:rPr>
                      <w:rFonts w:hAnsi="宋体"/>
                      <w:kern w:val="0"/>
                      <w:szCs w:val="21"/>
                    </w:rPr>
                  </w:pPr>
                  <w:r>
                    <w:rPr>
                      <w:rFonts w:hint="eastAsia" w:hAnsi="宋体"/>
                      <w:kern w:val="0"/>
                      <w:szCs w:val="21"/>
                    </w:rPr>
                    <w:t>原辅材料拆包</w:t>
                  </w:r>
                </w:p>
              </w:tc>
              <w:tc>
                <w:tcPr>
                  <w:tcW w:w="272" w:type="pct"/>
                  <w:vAlign w:val="center"/>
                </w:tcPr>
                <w:p w14:paraId="16120071">
                  <w:pPr>
                    <w:pStyle w:val="105"/>
                    <w:spacing w:line="276" w:lineRule="auto"/>
                    <w:rPr>
                      <w:rFonts w:hAnsi="宋体"/>
                      <w:kern w:val="0"/>
                      <w:szCs w:val="21"/>
                    </w:rPr>
                  </w:pPr>
                  <w:r>
                    <w:rPr>
                      <w:rFonts w:hint="eastAsia" w:hAnsi="宋体"/>
                      <w:kern w:val="0"/>
                      <w:szCs w:val="21"/>
                    </w:rPr>
                    <w:t>固态</w:t>
                  </w:r>
                </w:p>
              </w:tc>
              <w:tc>
                <w:tcPr>
                  <w:tcW w:w="409" w:type="pct"/>
                  <w:vAlign w:val="center"/>
                </w:tcPr>
                <w:p w14:paraId="5A55704C">
                  <w:pPr>
                    <w:pStyle w:val="105"/>
                    <w:spacing w:line="276" w:lineRule="auto"/>
                    <w:rPr>
                      <w:rFonts w:hAnsi="宋体"/>
                      <w:kern w:val="0"/>
                      <w:szCs w:val="21"/>
                    </w:rPr>
                  </w:pPr>
                  <w:r>
                    <w:rPr>
                      <w:rFonts w:hint="eastAsia" w:hAnsi="宋体"/>
                      <w:kern w:val="0"/>
                      <w:szCs w:val="21"/>
                    </w:rPr>
                    <w:t>酯类及其他有机物</w:t>
                  </w:r>
                </w:p>
              </w:tc>
              <w:tc>
                <w:tcPr>
                  <w:tcW w:w="409" w:type="pct"/>
                  <w:vAlign w:val="center"/>
                </w:tcPr>
                <w:p w14:paraId="3C168A8A">
                  <w:pPr>
                    <w:topLinePunct/>
                    <w:adjustRightInd w:val="0"/>
                    <w:snapToGrid w:val="0"/>
                    <w:spacing w:line="276" w:lineRule="auto"/>
                    <w:jc w:val="center"/>
                    <w:rPr>
                      <w:szCs w:val="21"/>
                    </w:rPr>
                  </w:pPr>
                  <w:r>
                    <w:rPr>
                      <w:rFonts w:hint="eastAsia" w:hAnsi="宋体"/>
                      <w:kern w:val="0"/>
                      <w:szCs w:val="21"/>
                    </w:rPr>
                    <w:t>酯类</w:t>
                  </w:r>
                </w:p>
              </w:tc>
              <w:tc>
                <w:tcPr>
                  <w:tcW w:w="371" w:type="pct"/>
                  <w:vAlign w:val="center"/>
                </w:tcPr>
                <w:p w14:paraId="2EDFBCB1">
                  <w:pPr>
                    <w:topLinePunct/>
                    <w:adjustRightInd w:val="0"/>
                    <w:snapToGrid w:val="0"/>
                    <w:spacing w:line="276" w:lineRule="auto"/>
                    <w:jc w:val="center"/>
                    <w:rPr>
                      <w:kern w:val="0"/>
                      <w:szCs w:val="21"/>
                    </w:rPr>
                  </w:pPr>
                  <w:r>
                    <w:rPr>
                      <w:kern w:val="0"/>
                      <w:szCs w:val="21"/>
                    </w:rPr>
                    <w:t>In/T</w:t>
                  </w:r>
                </w:p>
              </w:tc>
              <w:tc>
                <w:tcPr>
                  <w:tcW w:w="662" w:type="pct"/>
                  <w:vMerge w:val="restart"/>
                  <w:vAlign w:val="center"/>
                </w:tcPr>
                <w:p w14:paraId="09896F85">
                  <w:pPr>
                    <w:spacing w:line="276" w:lineRule="auto"/>
                    <w:jc w:val="center"/>
                    <w:rPr>
                      <w:szCs w:val="21"/>
                    </w:rPr>
                  </w:pPr>
                  <w:r>
                    <w:rPr>
                      <w:szCs w:val="21"/>
                    </w:rPr>
                    <w:t>收集暂存于危险废物暂存间</w:t>
                  </w:r>
                  <w:r>
                    <w:rPr>
                      <w:rFonts w:hint="eastAsia"/>
                      <w:szCs w:val="21"/>
                    </w:rPr>
                    <w:t>（占地面积25m</w:t>
                  </w:r>
                  <w:r>
                    <w:rPr>
                      <w:rFonts w:hint="eastAsia"/>
                      <w:szCs w:val="21"/>
                      <w:vertAlign w:val="superscript"/>
                    </w:rPr>
                    <w:t>2</w:t>
                  </w:r>
                  <w:r>
                    <w:rPr>
                      <w:rFonts w:hint="eastAsia"/>
                      <w:szCs w:val="21"/>
                    </w:rPr>
                    <w:t>）</w:t>
                  </w:r>
                  <w:r>
                    <w:rPr>
                      <w:szCs w:val="21"/>
                    </w:rPr>
                    <w:t>，委托有资质单位定期处理处置</w:t>
                  </w:r>
                </w:p>
              </w:tc>
            </w:tr>
            <w:tr w14:paraId="66EFFE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4" w:type="pct"/>
                  <w:vAlign w:val="center"/>
                </w:tcPr>
                <w:p w14:paraId="510C41FC">
                  <w:pPr>
                    <w:spacing w:line="276" w:lineRule="auto"/>
                    <w:jc w:val="center"/>
                    <w:rPr>
                      <w:szCs w:val="21"/>
                    </w:rPr>
                  </w:pPr>
                  <w:r>
                    <w:rPr>
                      <w:szCs w:val="21"/>
                    </w:rPr>
                    <w:t>2</w:t>
                  </w:r>
                </w:p>
              </w:tc>
              <w:tc>
                <w:tcPr>
                  <w:tcW w:w="407" w:type="pct"/>
                  <w:vAlign w:val="center"/>
                </w:tcPr>
                <w:p w14:paraId="1762A6BB">
                  <w:pPr>
                    <w:spacing w:line="276" w:lineRule="auto"/>
                    <w:jc w:val="center"/>
                    <w:rPr>
                      <w:szCs w:val="21"/>
                    </w:rPr>
                  </w:pPr>
                  <w:r>
                    <w:rPr>
                      <w:szCs w:val="21"/>
                    </w:rPr>
                    <w:t>不合格品</w:t>
                  </w:r>
                </w:p>
              </w:tc>
              <w:tc>
                <w:tcPr>
                  <w:tcW w:w="609" w:type="pct"/>
                  <w:vAlign w:val="center"/>
                </w:tcPr>
                <w:p w14:paraId="7F68DFE7">
                  <w:pPr>
                    <w:topLinePunct/>
                    <w:spacing w:line="276" w:lineRule="auto"/>
                    <w:jc w:val="center"/>
                    <w:rPr>
                      <w:szCs w:val="21"/>
                    </w:rPr>
                  </w:pPr>
                  <w:r>
                    <w:rPr>
                      <w:rFonts w:hint="eastAsia"/>
                      <w:szCs w:val="21"/>
                    </w:rPr>
                    <w:t>HW49其他废物</w:t>
                  </w:r>
                </w:p>
              </w:tc>
              <w:tc>
                <w:tcPr>
                  <w:tcW w:w="686" w:type="pct"/>
                  <w:vAlign w:val="center"/>
                </w:tcPr>
                <w:p w14:paraId="73AA37D0">
                  <w:pPr>
                    <w:topLinePunct/>
                    <w:spacing w:line="276" w:lineRule="auto"/>
                    <w:jc w:val="center"/>
                    <w:rPr>
                      <w:szCs w:val="21"/>
                    </w:rPr>
                  </w:pPr>
                  <w:r>
                    <w:rPr>
                      <w:rFonts w:hint="eastAsia" w:hAnsi="宋体"/>
                    </w:rPr>
                    <w:t>900-041-49</w:t>
                  </w:r>
                </w:p>
              </w:tc>
              <w:tc>
                <w:tcPr>
                  <w:tcW w:w="492" w:type="pct"/>
                  <w:vAlign w:val="center"/>
                </w:tcPr>
                <w:p w14:paraId="69441ADB">
                  <w:pPr>
                    <w:pStyle w:val="105"/>
                    <w:spacing w:line="276" w:lineRule="auto"/>
                    <w:rPr>
                      <w:rFonts w:hAnsi="宋体"/>
                      <w:kern w:val="0"/>
                      <w:szCs w:val="21"/>
                    </w:rPr>
                  </w:pPr>
                  <w:r>
                    <w:rPr>
                      <w:rFonts w:hint="eastAsia" w:hAnsi="宋体"/>
                      <w:kern w:val="0"/>
                      <w:szCs w:val="21"/>
                    </w:rPr>
                    <w:t>6.3</w:t>
                  </w:r>
                </w:p>
              </w:tc>
              <w:tc>
                <w:tcPr>
                  <w:tcW w:w="409" w:type="pct"/>
                  <w:vAlign w:val="center"/>
                </w:tcPr>
                <w:p w14:paraId="125F8BCB">
                  <w:pPr>
                    <w:pStyle w:val="105"/>
                    <w:spacing w:line="276" w:lineRule="auto"/>
                    <w:rPr>
                      <w:rFonts w:hAnsi="宋体"/>
                      <w:kern w:val="0"/>
                      <w:szCs w:val="21"/>
                    </w:rPr>
                  </w:pPr>
                  <w:r>
                    <w:rPr>
                      <w:rFonts w:hint="eastAsia" w:hAnsi="宋体"/>
                      <w:kern w:val="0"/>
                      <w:szCs w:val="21"/>
                    </w:rPr>
                    <w:t>检验包装</w:t>
                  </w:r>
                </w:p>
              </w:tc>
              <w:tc>
                <w:tcPr>
                  <w:tcW w:w="272" w:type="pct"/>
                  <w:vAlign w:val="center"/>
                </w:tcPr>
                <w:p w14:paraId="4ABF063A">
                  <w:pPr>
                    <w:pStyle w:val="105"/>
                    <w:spacing w:line="276" w:lineRule="auto"/>
                    <w:rPr>
                      <w:szCs w:val="21"/>
                    </w:rPr>
                  </w:pPr>
                  <w:r>
                    <w:rPr>
                      <w:rFonts w:hint="eastAsia" w:hAnsi="宋体"/>
                      <w:kern w:val="0"/>
                      <w:szCs w:val="21"/>
                    </w:rPr>
                    <w:t>固态</w:t>
                  </w:r>
                </w:p>
              </w:tc>
              <w:tc>
                <w:tcPr>
                  <w:tcW w:w="409" w:type="pct"/>
                  <w:vAlign w:val="center"/>
                </w:tcPr>
                <w:p w14:paraId="2183D25F">
                  <w:pPr>
                    <w:pStyle w:val="105"/>
                    <w:spacing w:line="276" w:lineRule="auto"/>
                    <w:rPr>
                      <w:kern w:val="0"/>
                      <w:szCs w:val="21"/>
                    </w:rPr>
                  </w:pPr>
                  <w:r>
                    <w:rPr>
                      <w:rFonts w:hint="eastAsia" w:hAnsi="宋体"/>
                      <w:kern w:val="0"/>
                      <w:szCs w:val="21"/>
                    </w:rPr>
                    <w:t>酯类及其他有机物</w:t>
                  </w:r>
                </w:p>
              </w:tc>
              <w:tc>
                <w:tcPr>
                  <w:tcW w:w="409" w:type="pct"/>
                  <w:vAlign w:val="center"/>
                </w:tcPr>
                <w:p w14:paraId="3D53E320">
                  <w:pPr>
                    <w:topLinePunct/>
                    <w:adjustRightInd w:val="0"/>
                    <w:snapToGrid w:val="0"/>
                    <w:spacing w:line="276" w:lineRule="auto"/>
                    <w:jc w:val="center"/>
                    <w:rPr>
                      <w:szCs w:val="21"/>
                    </w:rPr>
                  </w:pPr>
                  <w:r>
                    <w:rPr>
                      <w:rFonts w:hint="eastAsia" w:hAnsi="宋体"/>
                      <w:kern w:val="0"/>
                      <w:szCs w:val="21"/>
                    </w:rPr>
                    <w:t>酯类</w:t>
                  </w:r>
                </w:p>
              </w:tc>
              <w:tc>
                <w:tcPr>
                  <w:tcW w:w="371" w:type="pct"/>
                  <w:vAlign w:val="center"/>
                </w:tcPr>
                <w:p w14:paraId="2890440D">
                  <w:pPr>
                    <w:topLinePunct/>
                    <w:adjustRightInd w:val="0"/>
                    <w:snapToGrid w:val="0"/>
                    <w:spacing w:line="276" w:lineRule="auto"/>
                    <w:jc w:val="center"/>
                    <w:rPr>
                      <w:kern w:val="0"/>
                      <w:szCs w:val="21"/>
                    </w:rPr>
                  </w:pPr>
                  <w:r>
                    <w:rPr>
                      <w:kern w:val="0"/>
                      <w:szCs w:val="21"/>
                    </w:rPr>
                    <w:t>In/T</w:t>
                  </w:r>
                </w:p>
              </w:tc>
              <w:tc>
                <w:tcPr>
                  <w:tcW w:w="662" w:type="pct"/>
                  <w:vMerge w:val="continue"/>
                  <w:vAlign w:val="center"/>
                </w:tcPr>
                <w:p w14:paraId="7DD490FC">
                  <w:pPr>
                    <w:widowControl/>
                    <w:spacing w:line="276" w:lineRule="auto"/>
                    <w:jc w:val="center"/>
                    <w:rPr>
                      <w:szCs w:val="21"/>
                    </w:rPr>
                  </w:pPr>
                </w:p>
              </w:tc>
            </w:tr>
            <w:tr w14:paraId="5C9448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4" w:type="pct"/>
                  <w:vAlign w:val="center"/>
                </w:tcPr>
                <w:p w14:paraId="6ADC3429">
                  <w:pPr>
                    <w:spacing w:line="276" w:lineRule="auto"/>
                    <w:jc w:val="center"/>
                    <w:rPr>
                      <w:szCs w:val="21"/>
                    </w:rPr>
                  </w:pPr>
                  <w:r>
                    <w:rPr>
                      <w:rFonts w:hint="eastAsia"/>
                      <w:szCs w:val="21"/>
                    </w:rPr>
                    <w:t>3</w:t>
                  </w:r>
                </w:p>
              </w:tc>
              <w:tc>
                <w:tcPr>
                  <w:tcW w:w="407" w:type="pct"/>
                  <w:vAlign w:val="center"/>
                </w:tcPr>
                <w:p w14:paraId="36EE5B33">
                  <w:pPr>
                    <w:spacing w:line="276" w:lineRule="auto"/>
                    <w:jc w:val="center"/>
                    <w:rPr>
                      <w:szCs w:val="21"/>
                    </w:rPr>
                  </w:pPr>
                  <w:r>
                    <w:rPr>
                      <w:szCs w:val="21"/>
                    </w:rPr>
                    <w:t>离心废液</w:t>
                  </w:r>
                </w:p>
              </w:tc>
              <w:tc>
                <w:tcPr>
                  <w:tcW w:w="609" w:type="pct"/>
                  <w:vAlign w:val="center"/>
                </w:tcPr>
                <w:p w14:paraId="5EB8C45F">
                  <w:pPr>
                    <w:topLinePunct/>
                    <w:spacing w:line="276" w:lineRule="auto"/>
                    <w:jc w:val="center"/>
                    <w:rPr>
                      <w:szCs w:val="21"/>
                    </w:rPr>
                  </w:pPr>
                  <w:r>
                    <w:rPr>
                      <w:rFonts w:hint="eastAsia"/>
                      <w:szCs w:val="21"/>
                    </w:rPr>
                    <w:t>HW06废有机溶剂与含有机溶剂废物</w:t>
                  </w:r>
                </w:p>
              </w:tc>
              <w:tc>
                <w:tcPr>
                  <w:tcW w:w="686" w:type="pct"/>
                  <w:vAlign w:val="center"/>
                </w:tcPr>
                <w:p w14:paraId="436ABBE1">
                  <w:pPr>
                    <w:topLinePunct/>
                    <w:spacing w:line="276" w:lineRule="auto"/>
                    <w:jc w:val="center"/>
                    <w:rPr>
                      <w:szCs w:val="21"/>
                    </w:rPr>
                  </w:pPr>
                  <w:r>
                    <w:rPr>
                      <w:rFonts w:hint="eastAsia"/>
                      <w:szCs w:val="21"/>
                    </w:rPr>
                    <w:t>900-402-06</w:t>
                  </w:r>
                </w:p>
              </w:tc>
              <w:tc>
                <w:tcPr>
                  <w:tcW w:w="492" w:type="pct"/>
                  <w:vAlign w:val="center"/>
                </w:tcPr>
                <w:p w14:paraId="2A5CFD75">
                  <w:pPr>
                    <w:pStyle w:val="105"/>
                    <w:spacing w:line="276" w:lineRule="auto"/>
                    <w:rPr>
                      <w:rFonts w:hAnsi="宋体"/>
                      <w:kern w:val="0"/>
                      <w:szCs w:val="21"/>
                    </w:rPr>
                  </w:pPr>
                  <w:r>
                    <w:rPr>
                      <w:rFonts w:hint="eastAsia" w:hAnsi="宋体"/>
                      <w:kern w:val="0"/>
                      <w:szCs w:val="21"/>
                    </w:rPr>
                    <w:t>0.3021</w:t>
                  </w:r>
                </w:p>
              </w:tc>
              <w:tc>
                <w:tcPr>
                  <w:tcW w:w="409" w:type="pct"/>
                  <w:vAlign w:val="center"/>
                </w:tcPr>
                <w:p w14:paraId="31480B05">
                  <w:pPr>
                    <w:pStyle w:val="105"/>
                    <w:spacing w:line="276" w:lineRule="auto"/>
                    <w:rPr>
                      <w:rFonts w:hAnsi="宋体"/>
                      <w:kern w:val="0"/>
                      <w:szCs w:val="21"/>
                    </w:rPr>
                  </w:pPr>
                  <w:r>
                    <w:rPr>
                      <w:rFonts w:hint="eastAsia" w:hAnsi="宋体"/>
                      <w:kern w:val="0"/>
                      <w:szCs w:val="21"/>
                    </w:rPr>
                    <w:t>离心工序</w:t>
                  </w:r>
                </w:p>
              </w:tc>
              <w:tc>
                <w:tcPr>
                  <w:tcW w:w="272" w:type="pct"/>
                  <w:vAlign w:val="center"/>
                </w:tcPr>
                <w:p w14:paraId="5CE46913">
                  <w:pPr>
                    <w:pStyle w:val="105"/>
                    <w:spacing w:line="276" w:lineRule="auto"/>
                    <w:rPr>
                      <w:szCs w:val="21"/>
                    </w:rPr>
                  </w:pPr>
                  <w:r>
                    <w:rPr>
                      <w:szCs w:val="21"/>
                    </w:rPr>
                    <w:t>液态</w:t>
                  </w:r>
                </w:p>
              </w:tc>
              <w:tc>
                <w:tcPr>
                  <w:tcW w:w="409" w:type="pct"/>
                  <w:vAlign w:val="center"/>
                </w:tcPr>
                <w:p w14:paraId="37E1BFBE">
                  <w:pPr>
                    <w:pStyle w:val="105"/>
                    <w:spacing w:line="276" w:lineRule="auto"/>
                    <w:rPr>
                      <w:kern w:val="0"/>
                      <w:szCs w:val="21"/>
                    </w:rPr>
                  </w:pPr>
                  <w:r>
                    <w:rPr>
                      <w:rFonts w:hint="eastAsia" w:hAnsi="宋体"/>
                      <w:kern w:val="0"/>
                      <w:szCs w:val="21"/>
                    </w:rPr>
                    <w:t>酯类、醇类有机物</w:t>
                  </w:r>
                </w:p>
              </w:tc>
              <w:tc>
                <w:tcPr>
                  <w:tcW w:w="409" w:type="pct"/>
                  <w:vAlign w:val="center"/>
                </w:tcPr>
                <w:p w14:paraId="5B1E693E">
                  <w:pPr>
                    <w:topLinePunct/>
                    <w:adjustRightInd w:val="0"/>
                    <w:snapToGrid w:val="0"/>
                    <w:spacing w:line="276" w:lineRule="auto"/>
                    <w:jc w:val="center"/>
                    <w:rPr>
                      <w:szCs w:val="21"/>
                    </w:rPr>
                  </w:pPr>
                  <w:r>
                    <w:rPr>
                      <w:rFonts w:hint="eastAsia" w:hAnsi="宋体"/>
                      <w:kern w:val="0"/>
                      <w:szCs w:val="21"/>
                    </w:rPr>
                    <w:t>酯类、挥发性有机物</w:t>
                  </w:r>
                </w:p>
              </w:tc>
              <w:tc>
                <w:tcPr>
                  <w:tcW w:w="371" w:type="pct"/>
                  <w:vAlign w:val="center"/>
                </w:tcPr>
                <w:p w14:paraId="67D708FF">
                  <w:pPr>
                    <w:topLinePunct/>
                    <w:adjustRightInd w:val="0"/>
                    <w:snapToGrid w:val="0"/>
                    <w:spacing w:line="276" w:lineRule="auto"/>
                    <w:jc w:val="center"/>
                    <w:rPr>
                      <w:kern w:val="0"/>
                      <w:szCs w:val="21"/>
                    </w:rPr>
                  </w:pPr>
                  <w:r>
                    <w:rPr>
                      <w:kern w:val="0"/>
                      <w:szCs w:val="21"/>
                    </w:rPr>
                    <w:t>T，</w:t>
                  </w:r>
                  <w:r>
                    <w:rPr>
                      <w:rFonts w:hint="eastAsia"/>
                      <w:kern w:val="0"/>
                      <w:szCs w:val="21"/>
                    </w:rPr>
                    <w:t>I，R</w:t>
                  </w:r>
                </w:p>
              </w:tc>
              <w:tc>
                <w:tcPr>
                  <w:tcW w:w="662" w:type="pct"/>
                  <w:vMerge w:val="continue"/>
                  <w:vAlign w:val="center"/>
                </w:tcPr>
                <w:p w14:paraId="4EDB2891">
                  <w:pPr>
                    <w:widowControl/>
                    <w:spacing w:line="276" w:lineRule="auto"/>
                    <w:jc w:val="center"/>
                    <w:rPr>
                      <w:szCs w:val="21"/>
                    </w:rPr>
                  </w:pPr>
                </w:p>
              </w:tc>
            </w:tr>
            <w:tr w14:paraId="52565F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4" w:type="pct"/>
                  <w:vAlign w:val="center"/>
                </w:tcPr>
                <w:p w14:paraId="6BA88DA5">
                  <w:pPr>
                    <w:spacing w:line="276" w:lineRule="auto"/>
                    <w:jc w:val="center"/>
                    <w:rPr>
                      <w:szCs w:val="21"/>
                    </w:rPr>
                  </w:pPr>
                  <w:r>
                    <w:rPr>
                      <w:rFonts w:hint="eastAsia"/>
                      <w:szCs w:val="21"/>
                    </w:rPr>
                    <w:t>4</w:t>
                  </w:r>
                </w:p>
              </w:tc>
              <w:tc>
                <w:tcPr>
                  <w:tcW w:w="407" w:type="pct"/>
                  <w:vAlign w:val="center"/>
                </w:tcPr>
                <w:p w14:paraId="7B981559">
                  <w:pPr>
                    <w:spacing w:line="276" w:lineRule="auto"/>
                    <w:jc w:val="center"/>
                  </w:pPr>
                  <w:r>
                    <w:t>清洗废液</w:t>
                  </w:r>
                </w:p>
              </w:tc>
              <w:tc>
                <w:tcPr>
                  <w:tcW w:w="609" w:type="pct"/>
                  <w:vAlign w:val="center"/>
                </w:tcPr>
                <w:p w14:paraId="4426874A">
                  <w:pPr>
                    <w:topLinePunct/>
                    <w:spacing w:line="276" w:lineRule="auto"/>
                    <w:jc w:val="center"/>
                    <w:rPr>
                      <w:szCs w:val="21"/>
                    </w:rPr>
                  </w:pPr>
                  <w:r>
                    <w:rPr>
                      <w:rFonts w:hint="eastAsia"/>
                      <w:szCs w:val="21"/>
                    </w:rPr>
                    <w:t>HW06废有机溶剂与含有机溶剂废物</w:t>
                  </w:r>
                </w:p>
              </w:tc>
              <w:tc>
                <w:tcPr>
                  <w:tcW w:w="686" w:type="pct"/>
                  <w:vAlign w:val="center"/>
                </w:tcPr>
                <w:p w14:paraId="5392D61E">
                  <w:pPr>
                    <w:topLinePunct/>
                    <w:spacing w:line="276" w:lineRule="auto"/>
                    <w:jc w:val="center"/>
                    <w:rPr>
                      <w:szCs w:val="21"/>
                    </w:rPr>
                  </w:pPr>
                  <w:r>
                    <w:rPr>
                      <w:rFonts w:hint="eastAsia"/>
                      <w:szCs w:val="21"/>
                    </w:rPr>
                    <w:t>900-402-06</w:t>
                  </w:r>
                </w:p>
              </w:tc>
              <w:tc>
                <w:tcPr>
                  <w:tcW w:w="492" w:type="pct"/>
                  <w:vAlign w:val="center"/>
                </w:tcPr>
                <w:p w14:paraId="357DAA14">
                  <w:pPr>
                    <w:pStyle w:val="105"/>
                    <w:spacing w:line="276" w:lineRule="auto"/>
                    <w:rPr>
                      <w:rFonts w:hAnsi="宋体"/>
                      <w:kern w:val="0"/>
                      <w:szCs w:val="21"/>
                    </w:rPr>
                  </w:pPr>
                  <w:r>
                    <w:rPr>
                      <w:rFonts w:hAnsi="宋体"/>
                      <w:kern w:val="0"/>
                      <w:szCs w:val="21"/>
                    </w:rPr>
                    <w:t>2.89</w:t>
                  </w:r>
                </w:p>
              </w:tc>
              <w:tc>
                <w:tcPr>
                  <w:tcW w:w="409" w:type="pct"/>
                  <w:vAlign w:val="center"/>
                </w:tcPr>
                <w:p w14:paraId="4AD11FE8">
                  <w:pPr>
                    <w:pStyle w:val="105"/>
                    <w:spacing w:line="276" w:lineRule="auto"/>
                    <w:rPr>
                      <w:rFonts w:hAnsi="宋体"/>
                      <w:kern w:val="0"/>
                      <w:szCs w:val="21"/>
                    </w:rPr>
                  </w:pPr>
                  <w:r>
                    <w:rPr>
                      <w:rFonts w:hint="eastAsia" w:hAnsi="宋体"/>
                      <w:kern w:val="0"/>
                      <w:szCs w:val="21"/>
                    </w:rPr>
                    <w:t>清洗工序</w:t>
                  </w:r>
                </w:p>
              </w:tc>
              <w:tc>
                <w:tcPr>
                  <w:tcW w:w="272" w:type="pct"/>
                  <w:vAlign w:val="center"/>
                </w:tcPr>
                <w:p w14:paraId="3BD6AA10">
                  <w:pPr>
                    <w:pStyle w:val="105"/>
                    <w:spacing w:line="276" w:lineRule="auto"/>
                    <w:rPr>
                      <w:szCs w:val="21"/>
                    </w:rPr>
                  </w:pPr>
                  <w:r>
                    <w:rPr>
                      <w:szCs w:val="21"/>
                    </w:rPr>
                    <w:t>液态</w:t>
                  </w:r>
                </w:p>
              </w:tc>
              <w:tc>
                <w:tcPr>
                  <w:tcW w:w="409" w:type="pct"/>
                  <w:vAlign w:val="center"/>
                </w:tcPr>
                <w:p w14:paraId="6AFF242E">
                  <w:pPr>
                    <w:pStyle w:val="105"/>
                    <w:spacing w:line="276" w:lineRule="auto"/>
                    <w:rPr>
                      <w:kern w:val="0"/>
                      <w:szCs w:val="21"/>
                    </w:rPr>
                  </w:pPr>
                  <w:r>
                    <w:rPr>
                      <w:rFonts w:hint="eastAsia" w:hAnsi="宋体"/>
                      <w:kern w:val="0"/>
                      <w:szCs w:val="21"/>
                    </w:rPr>
                    <w:t>酯类、醇类有机物</w:t>
                  </w:r>
                </w:p>
              </w:tc>
              <w:tc>
                <w:tcPr>
                  <w:tcW w:w="409" w:type="pct"/>
                  <w:vAlign w:val="center"/>
                </w:tcPr>
                <w:p w14:paraId="3E5B2561">
                  <w:pPr>
                    <w:topLinePunct/>
                    <w:adjustRightInd w:val="0"/>
                    <w:snapToGrid w:val="0"/>
                    <w:spacing w:line="276" w:lineRule="auto"/>
                    <w:jc w:val="center"/>
                    <w:rPr>
                      <w:szCs w:val="21"/>
                    </w:rPr>
                  </w:pPr>
                  <w:r>
                    <w:rPr>
                      <w:rFonts w:hint="eastAsia" w:hAnsi="宋体"/>
                      <w:kern w:val="0"/>
                      <w:szCs w:val="21"/>
                    </w:rPr>
                    <w:t>酯类、挥发性有机物</w:t>
                  </w:r>
                </w:p>
              </w:tc>
              <w:tc>
                <w:tcPr>
                  <w:tcW w:w="371" w:type="pct"/>
                  <w:vAlign w:val="center"/>
                </w:tcPr>
                <w:p w14:paraId="220DCDDB">
                  <w:pPr>
                    <w:topLinePunct/>
                    <w:adjustRightInd w:val="0"/>
                    <w:snapToGrid w:val="0"/>
                    <w:spacing w:line="276" w:lineRule="auto"/>
                    <w:jc w:val="center"/>
                    <w:rPr>
                      <w:kern w:val="0"/>
                      <w:szCs w:val="21"/>
                    </w:rPr>
                  </w:pPr>
                  <w:r>
                    <w:rPr>
                      <w:kern w:val="0"/>
                      <w:szCs w:val="21"/>
                    </w:rPr>
                    <w:t>T，</w:t>
                  </w:r>
                  <w:r>
                    <w:rPr>
                      <w:rFonts w:hint="eastAsia"/>
                      <w:kern w:val="0"/>
                      <w:szCs w:val="21"/>
                    </w:rPr>
                    <w:t>I，R</w:t>
                  </w:r>
                </w:p>
              </w:tc>
              <w:tc>
                <w:tcPr>
                  <w:tcW w:w="662" w:type="pct"/>
                  <w:vMerge w:val="continue"/>
                  <w:vAlign w:val="center"/>
                </w:tcPr>
                <w:p w14:paraId="5E002C71">
                  <w:pPr>
                    <w:widowControl/>
                    <w:spacing w:line="276" w:lineRule="auto"/>
                    <w:jc w:val="center"/>
                    <w:rPr>
                      <w:szCs w:val="21"/>
                    </w:rPr>
                  </w:pPr>
                </w:p>
              </w:tc>
            </w:tr>
            <w:tr w14:paraId="5F37CA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4" w:type="pct"/>
                  <w:vAlign w:val="center"/>
                </w:tcPr>
                <w:p w14:paraId="5EF3CF83">
                  <w:pPr>
                    <w:spacing w:line="276" w:lineRule="auto"/>
                    <w:jc w:val="center"/>
                    <w:rPr>
                      <w:szCs w:val="21"/>
                    </w:rPr>
                  </w:pPr>
                  <w:r>
                    <w:rPr>
                      <w:rFonts w:hint="eastAsia"/>
                      <w:szCs w:val="21"/>
                    </w:rPr>
                    <w:t>5</w:t>
                  </w:r>
                </w:p>
              </w:tc>
              <w:tc>
                <w:tcPr>
                  <w:tcW w:w="407" w:type="pct"/>
                  <w:vAlign w:val="center"/>
                </w:tcPr>
                <w:p w14:paraId="01DB00C4">
                  <w:pPr>
                    <w:spacing w:line="276" w:lineRule="auto"/>
                    <w:jc w:val="center"/>
                  </w:pPr>
                  <w:r>
                    <w:rPr>
                      <w:rFonts w:hint="eastAsia" w:hAnsi="宋体"/>
                    </w:rPr>
                    <w:t>废活性炭</w:t>
                  </w:r>
                </w:p>
              </w:tc>
              <w:tc>
                <w:tcPr>
                  <w:tcW w:w="609" w:type="pct"/>
                  <w:vAlign w:val="center"/>
                </w:tcPr>
                <w:p w14:paraId="59184A6C">
                  <w:pPr>
                    <w:topLinePunct/>
                    <w:spacing w:line="276" w:lineRule="auto"/>
                    <w:jc w:val="center"/>
                    <w:rPr>
                      <w:szCs w:val="21"/>
                    </w:rPr>
                  </w:pPr>
                  <w:r>
                    <w:rPr>
                      <w:rFonts w:hint="eastAsia"/>
                      <w:szCs w:val="21"/>
                    </w:rPr>
                    <w:t>HW49其他废物</w:t>
                  </w:r>
                </w:p>
              </w:tc>
              <w:tc>
                <w:tcPr>
                  <w:tcW w:w="686" w:type="pct"/>
                  <w:vAlign w:val="center"/>
                </w:tcPr>
                <w:p w14:paraId="2545A38B">
                  <w:pPr>
                    <w:topLinePunct/>
                    <w:spacing w:line="276" w:lineRule="auto"/>
                    <w:jc w:val="center"/>
                    <w:rPr>
                      <w:szCs w:val="21"/>
                    </w:rPr>
                  </w:pPr>
                  <w:r>
                    <w:rPr>
                      <w:szCs w:val="21"/>
                    </w:rPr>
                    <w:t>900-039-49</w:t>
                  </w:r>
                </w:p>
              </w:tc>
              <w:tc>
                <w:tcPr>
                  <w:tcW w:w="492" w:type="pct"/>
                  <w:vAlign w:val="center"/>
                </w:tcPr>
                <w:p w14:paraId="61911237">
                  <w:pPr>
                    <w:pStyle w:val="105"/>
                    <w:spacing w:line="276" w:lineRule="auto"/>
                    <w:rPr>
                      <w:rFonts w:hAnsi="宋体"/>
                      <w:kern w:val="0"/>
                      <w:szCs w:val="21"/>
                    </w:rPr>
                  </w:pPr>
                  <w:r>
                    <w:rPr>
                      <w:rFonts w:hint="eastAsia" w:hAnsi="宋体"/>
                      <w:kern w:val="0"/>
                      <w:szCs w:val="21"/>
                    </w:rPr>
                    <w:t>1.184</w:t>
                  </w:r>
                </w:p>
              </w:tc>
              <w:tc>
                <w:tcPr>
                  <w:tcW w:w="409" w:type="pct"/>
                  <w:vAlign w:val="center"/>
                </w:tcPr>
                <w:p w14:paraId="34B1F2B8">
                  <w:pPr>
                    <w:pStyle w:val="105"/>
                    <w:spacing w:line="276" w:lineRule="auto"/>
                    <w:rPr>
                      <w:rFonts w:hAnsi="宋体"/>
                      <w:kern w:val="0"/>
                      <w:szCs w:val="21"/>
                    </w:rPr>
                  </w:pPr>
                  <w:r>
                    <w:rPr>
                      <w:rFonts w:hint="eastAsia" w:hAnsi="宋体"/>
                      <w:kern w:val="0"/>
                      <w:szCs w:val="21"/>
                    </w:rPr>
                    <w:t>废气处理工序</w:t>
                  </w:r>
                </w:p>
              </w:tc>
              <w:tc>
                <w:tcPr>
                  <w:tcW w:w="272" w:type="pct"/>
                  <w:vAlign w:val="center"/>
                </w:tcPr>
                <w:p w14:paraId="299AFEC5">
                  <w:pPr>
                    <w:pStyle w:val="105"/>
                    <w:spacing w:line="276" w:lineRule="auto"/>
                    <w:rPr>
                      <w:szCs w:val="21"/>
                    </w:rPr>
                  </w:pPr>
                  <w:r>
                    <w:rPr>
                      <w:rFonts w:hint="eastAsia" w:hAnsi="宋体"/>
                      <w:kern w:val="0"/>
                      <w:szCs w:val="21"/>
                    </w:rPr>
                    <w:t>固态</w:t>
                  </w:r>
                </w:p>
              </w:tc>
              <w:tc>
                <w:tcPr>
                  <w:tcW w:w="409" w:type="pct"/>
                  <w:vAlign w:val="center"/>
                </w:tcPr>
                <w:p w14:paraId="13034755">
                  <w:pPr>
                    <w:pStyle w:val="105"/>
                    <w:spacing w:line="276" w:lineRule="auto"/>
                    <w:rPr>
                      <w:kern w:val="0"/>
                      <w:szCs w:val="21"/>
                    </w:rPr>
                  </w:pPr>
                  <w:r>
                    <w:rPr>
                      <w:kern w:val="0"/>
                      <w:szCs w:val="21"/>
                    </w:rPr>
                    <w:t>失活活性炭</w:t>
                  </w:r>
                  <w:r>
                    <w:rPr>
                      <w:rFonts w:hint="eastAsia"/>
                      <w:kern w:val="0"/>
                      <w:szCs w:val="21"/>
                    </w:rPr>
                    <w:t>、</w:t>
                  </w:r>
                  <w:r>
                    <w:rPr>
                      <w:kern w:val="0"/>
                      <w:szCs w:val="21"/>
                    </w:rPr>
                    <w:t>挥发性有机物</w:t>
                  </w:r>
                </w:p>
              </w:tc>
              <w:tc>
                <w:tcPr>
                  <w:tcW w:w="409" w:type="pct"/>
                  <w:vAlign w:val="center"/>
                </w:tcPr>
                <w:p w14:paraId="3859DBC9">
                  <w:pPr>
                    <w:topLinePunct/>
                    <w:adjustRightInd w:val="0"/>
                    <w:snapToGrid w:val="0"/>
                    <w:spacing w:line="276" w:lineRule="auto"/>
                    <w:jc w:val="center"/>
                    <w:rPr>
                      <w:szCs w:val="21"/>
                    </w:rPr>
                  </w:pPr>
                  <w:r>
                    <w:rPr>
                      <w:rFonts w:hint="eastAsia"/>
                      <w:szCs w:val="21"/>
                    </w:rPr>
                    <w:t>挥发性有机物</w:t>
                  </w:r>
                </w:p>
              </w:tc>
              <w:tc>
                <w:tcPr>
                  <w:tcW w:w="371" w:type="pct"/>
                  <w:vAlign w:val="center"/>
                </w:tcPr>
                <w:p w14:paraId="15F075BB">
                  <w:pPr>
                    <w:topLinePunct/>
                    <w:adjustRightInd w:val="0"/>
                    <w:snapToGrid w:val="0"/>
                    <w:spacing w:line="276" w:lineRule="auto"/>
                    <w:jc w:val="center"/>
                    <w:rPr>
                      <w:kern w:val="0"/>
                      <w:szCs w:val="21"/>
                    </w:rPr>
                  </w:pPr>
                  <w:r>
                    <w:rPr>
                      <w:kern w:val="0"/>
                      <w:szCs w:val="21"/>
                    </w:rPr>
                    <w:t>T</w:t>
                  </w:r>
                </w:p>
              </w:tc>
              <w:tc>
                <w:tcPr>
                  <w:tcW w:w="662" w:type="pct"/>
                  <w:vMerge w:val="continue"/>
                  <w:vAlign w:val="center"/>
                </w:tcPr>
                <w:p w14:paraId="62724894">
                  <w:pPr>
                    <w:widowControl/>
                    <w:spacing w:line="276" w:lineRule="auto"/>
                    <w:jc w:val="center"/>
                    <w:rPr>
                      <w:szCs w:val="21"/>
                    </w:rPr>
                  </w:pPr>
                </w:p>
              </w:tc>
            </w:tr>
          </w:tbl>
          <w:p w14:paraId="203936E3">
            <w:pPr>
              <w:spacing w:line="360" w:lineRule="auto"/>
              <w:ind w:firstLine="482" w:firstLineChars="200"/>
              <w:rPr>
                <w:b/>
                <w:sz w:val="24"/>
              </w:rPr>
            </w:pPr>
            <w:r>
              <w:rPr>
                <w:b/>
                <w:sz w:val="24"/>
              </w:rPr>
              <w:t>4</w:t>
            </w:r>
            <w:r>
              <w:rPr>
                <w:rFonts w:hint="eastAsia"/>
                <w:b/>
                <w:sz w:val="24"/>
              </w:rPr>
              <w:t>、运营期固体废物污染防治措施</w:t>
            </w:r>
          </w:p>
          <w:p w14:paraId="32ED363E">
            <w:pPr>
              <w:spacing w:line="360" w:lineRule="auto"/>
              <w:ind w:firstLine="480" w:firstLineChars="200"/>
              <w:rPr>
                <w:sz w:val="24"/>
                <w:szCs w:val="24"/>
              </w:rPr>
            </w:pPr>
            <w:r>
              <w:rPr>
                <w:rFonts w:hint="eastAsia" w:hAnsi="宋体"/>
                <w:sz w:val="24"/>
                <w:szCs w:val="24"/>
              </w:rPr>
              <w:t>（</w:t>
            </w:r>
            <w:r>
              <w:rPr>
                <w:sz w:val="24"/>
                <w:szCs w:val="24"/>
              </w:rPr>
              <w:t>1</w:t>
            </w:r>
            <w:r>
              <w:rPr>
                <w:rFonts w:hint="eastAsia" w:hAnsi="宋体"/>
                <w:sz w:val="24"/>
                <w:szCs w:val="24"/>
              </w:rPr>
              <w:t>）贮存场所（设施）污染防治设施</w:t>
            </w:r>
          </w:p>
          <w:p w14:paraId="18E66DEE">
            <w:pPr>
              <w:spacing w:line="360" w:lineRule="auto"/>
              <w:ind w:firstLine="480" w:firstLineChars="200"/>
              <w:rPr>
                <w:sz w:val="24"/>
              </w:rPr>
            </w:pPr>
            <w:r>
              <w:rPr>
                <w:sz w:val="24"/>
              </w:rPr>
              <w:t>1</w:t>
            </w:r>
            <w:r>
              <w:rPr>
                <w:rFonts w:hint="eastAsia" w:hAnsi="宋体"/>
                <w:sz w:val="24"/>
              </w:rPr>
              <w:t>）一般工业固废暂存场所</w:t>
            </w:r>
          </w:p>
          <w:p w14:paraId="1F528CCA">
            <w:pPr>
              <w:adjustRightInd w:val="0"/>
              <w:spacing w:line="360" w:lineRule="auto"/>
              <w:ind w:firstLine="480" w:firstLineChars="200"/>
              <w:jc w:val="left"/>
              <w:rPr>
                <w:rFonts w:ascii="宋体" w:hAnsi="宋体"/>
                <w:sz w:val="24"/>
              </w:rPr>
            </w:pPr>
            <w:r>
              <w:rPr>
                <w:rFonts w:hint="eastAsia" w:ascii="宋体" w:hAnsi="宋体"/>
                <w:sz w:val="24"/>
                <w:szCs w:val="24"/>
              </w:rPr>
              <w:t>项目一般工业固废均属于</w:t>
            </w:r>
            <w:r>
              <w:rPr>
                <w:rFonts w:hAnsi="宋体"/>
                <w:sz w:val="24"/>
                <w:szCs w:val="24"/>
              </w:rPr>
              <w:t>第</w:t>
            </w:r>
            <w:r>
              <w:rPr>
                <w:sz w:val="24"/>
                <w:szCs w:val="24"/>
              </w:rPr>
              <w:t>Ⅰ</w:t>
            </w:r>
            <w:r>
              <w:rPr>
                <w:rFonts w:hAnsi="宋体"/>
                <w:sz w:val="24"/>
                <w:szCs w:val="24"/>
              </w:rPr>
              <w:t>类</w:t>
            </w:r>
            <w:r>
              <w:rPr>
                <w:rFonts w:hint="eastAsia" w:ascii="宋体" w:hAnsi="宋体"/>
                <w:sz w:val="24"/>
                <w:szCs w:val="24"/>
              </w:rPr>
              <w:t>一般工业固体废弃物，项目厂房同楼层设置</w:t>
            </w:r>
            <w:r>
              <w:rPr>
                <w:sz w:val="24"/>
                <w:szCs w:val="24"/>
              </w:rPr>
              <w:t>1</w:t>
            </w:r>
            <w:r>
              <w:rPr>
                <w:rFonts w:hAnsi="宋体"/>
                <w:sz w:val="24"/>
                <w:szCs w:val="24"/>
              </w:rPr>
              <w:t>个</w:t>
            </w:r>
            <w:r>
              <w:rPr>
                <w:rFonts w:hint="eastAsia" w:ascii="宋体" w:hAnsi="宋体"/>
                <w:sz w:val="24"/>
                <w:szCs w:val="24"/>
              </w:rPr>
              <w:t>一般工业固体废物暂存间，位于生产厂房西南角，车间为水泥硬化地面，总占地面积</w:t>
            </w:r>
            <w:r>
              <w:rPr>
                <w:sz w:val="24"/>
                <w:szCs w:val="24"/>
              </w:rPr>
              <w:t>25m</w:t>
            </w:r>
            <w:r>
              <w:rPr>
                <w:sz w:val="24"/>
                <w:szCs w:val="24"/>
                <w:vertAlign w:val="superscript"/>
              </w:rPr>
              <w:t>2</w:t>
            </w:r>
            <w:r>
              <w:rPr>
                <w:rFonts w:hint="eastAsia" w:ascii="宋体" w:hAnsi="宋体"/>
                <w:sz w:val="24"/>
                <w:szCs w:val="24"/>
              </w:rPr>
              <w:t>，可满足《一般工业固体废物贮存和填埋污染控制标准》（</w:t>
            </w:r>
            <w:r>
              <w:rPr>
                <w:sz w:val="24"/>
                <w:szCs w:val="24"/>
              </w:rPr>
              <w:t>GB18599-2020</w:t>
            </w:r>
            <w:r>
              <w:rPr>
                <w:rFonts w:hint="eastAsia" w:ascii="宋体" w:hAnsi="宋体"/>
                <w:sz w:val="24"/>
                <w:szCs w:val="24"/>
              </w:rPr>
              <w:t>）中相关要求。</w:t>
            </w:r>
          </w:p>
          <w:p w14:paraId="5637DB1E">
            <w:pPr>
              <w:spacing w:line="360" w:lineRule="auto"/>
              <w:ind w:firstLine="480" w:firstLineChars="200"/>
              <w:rPr>
                <w:sz w:val="24"/>
              </w:rPr>
            </w:pPr>
            <w:r>
              <w:rPr>
                <w:sz w:val="24"/>
              </w:rPr>
              <w:t>2</w:t>
            </w:r>
            <w:r>
              <w:rPr>
                <w:rFonts w:hint="eastAsia" w:hAnsi="宋体"/>
                <w:sz w:val="24"/>
              </w:rPr>
              <w:t>）危险废物暂存场所</w:t>
            </w:r>
          </w:p>
          <w:p w14:paraId="2715BF8F">
            <w:pPr>
              <w:spacing w:line="360" w:lineRule="auto"/>
              <w:ind w:firstLine="480" w:firstLineChars="200"/>
              <w:rPr>
                <w:sz w:val="24"/>
              </w:rPr>
            </w:pPr>
            <w:r>
              <w:rPr>
                <w:rFonts w:hint="eastAsia" w:hAnsi="宋体"/>
                <w:sz w:val="24"/>
                <w:szCs w:val="24"/>
              </w:rPr>
              <w:t>项目厂区设置</w:t>
            </w:r>
            <w:r>
              <w:rPr>
                <w:rFonts w:hAnsi="宋体"/>
                <w:sz w:val="24"/>
                <w:szCs w:val="24"/>
              </w:rPr>
              <w:t>1</w:t>
            </w:r>
            <w:r>
              <w:rPr>
                <w:rFonts w:hint="eastAsia" w:hAnsi="宋体"/>
                <w:sz w:val="24"/>
                <w:szCs w:val="24"/>
              </w:rPr>
              <w:t>个</w:t>
            </w:r>
            <w:r>
              <w:rPr>
                <w:rFonts w:hint="eastAsia"/>
                <w:sz w:val="24"/>
                <w:szCs w:val="24"/>
              </w:rPr>
              <w:t>危险废物暂存间，位于生产厂房西南角，总占地面积25</w:t>
            </w:r>
            <w:r>
              <w:rPr>
                <w:sz w:val="24"/>
                <w:szCs w:val="24"/>
              </w:rPr>
              <w:t>m</w:t>
            </w:r>
            <w:r>
              <w:rPr>
                <w:sz w:val="24"/>
                <w:szCs w:val="24"/>
                <w:vertAlign w:val="superscript"/>
              </w:rPr>
              <w:t>2</w:t>
            </w:r>
            <w:r>
              <w:rPr>
                <w:rFonts w:hint="eastAsia"/>
                <w:sz w:val="24"/>
                <w:szCs w:val="24"/>
              </w:rPr>
              <w:t>。</w:t>
            </w:r>
            <w:r>
              <w:rPr>
                <w:rFonts w:hint="eastAsia" w:hAnsi="宋体"/>
                <w:sz w:val="24"/>
              </w:rPr>
              <w:t>根据《危险废物贮存污染控制标准》（</w:t>
            </w:r>
            <w:r>
              <w:rPr>
                <w:sz w:val="24"/>
              </w:rPr>
              <w:t>G18597-20</w:t>
            </w:r>
            <w:r>
              <w:rPr>
                <w:rFonts w:hint="eastAsia"/>
                <w:sz w:val="24"/>
              </w:rPr>
              <w:t>23</w:t>
            </w:r>
            <w:r>
              <w:rPr>
                <w:rFonts w:hint="eastAsia" w:hAnsi="宋体"/>
                <w:sz w:val="24"/>
              </w:rPr>
              <w:t>）要求，危险废物暂存间相关要求如下：</w:t>
            </w:r>
          </w:p>
          <w:p w14:paraId="5A611788">
            <w:pPr>
              <w:adjustRightInd w:val="0"/>
              <w:spacing w:line="360" w:lineRule="auto"/>
              <w:ind w:firstLine="480" w:firstLineChars="200"/>
              <w:jc w:val="left"/>
              <w:rPr>
                <w:sz w:val="24"/>
              </w:rPr>
            </w:pPr>
            <w:r>
              <w:rPr>
                <w:rFonts w:hint="eastAsia" w:hAnsi="宋体"/>
                <w:sz w:val="24"/>
              </w:rPr>
              <w:t>①应根据危险废物的类别、数量、形态、物理化学性质和污染防治等要求设置必要的贮存分区，避免不相容的危险废物接触、混合；</w:t>
            </w:r>
          </w:p>
          <w:p w14:paraId="4266D905">
            <w:pPr>
              <w:adjustRightInd w:val="0"/>
              <w:spacing w:line="360" w:lineRule="auto"/>
              <w:ind w:firstLine="480" w:firstLineChars="200"/>
              <w:jc w:val="left"/>
              <w:rPr>
                <w:sz w:val="24"/>
              </w:rPr>
            </w:pPr>
            <w:r>
              <w:rPr>
                <w:rFonts w:hint="eastAsia" w:hAnsi="宋体"/>
                <w:sz w:val="24"/>
              </w:rPr>
              <w:t>②地面、墙面裙脚、堵截泄漏的围堰、接触危险废物的隔板和墙体等应采用坚固的材料建造，表面无裂缝；</w:t>
            </w:r>
          </w:p>
          <w:p w14:paraId="6106EE4E">
            <w:pPr>
              <w:adjustRightInd w:val="0"/>
              <w:spacing w:line="360" w:lineRule="auto"/>
              <w:ind w:firstLine="480" w:firstLineChars="200"/>
              <w:jc w:val="left"/>
              <w:rPr>
                <w:sz w:val="24"/>
              </w:rPr>
            </w:pPr>
            <w:r>
              <w:rPr>
                <w:rFonts w:hint="eastAsia" w:hAnsi="宋体"/>
                <w:sz w:val="24"/>
              </w:rPr>
              <w:t>③地面与裙脚应采取表面防渗措施；表面防渗材料应与所接触的物料或污染物相容，可采用抗渗混凝土、高密度聚乙烯膜、钠基膨润土防水毯或其他防渗性能等效的材料。危险废物直接接触地面的，还应进行基础防渗，防渗层为至少1m厚黏土层（渗透系数不大于10</w:t>
            </w:r>
            <w:r>
              <w:rPr>
                <w:rFonts w:hint="eastAsia" w:hAnsi="宋体"/>
                <w:sz w:val="24"/>
                <w:vertAlign w:val="superscript"/>
              </w:rPr>
              <w:t>-7</w:t>
            </w:r>
            <w:r>
              <w:rPr>
                <w:rFonts w:hint="eastAsia" w:hAnsi="宋体"/>
                <w:sz w:val="24"/>
              </w:rPr>
              <w:t>cm/s），或至少2mm厚高密度聚乙烯膜等人工防渗材料（渗透系数不大于10</w:t>
            </w:r>
            <w:r>
              <w:rPr>
                <w:rFonts w:hint="eastAsia" w:hAnsi="宋体"/>
                <w:sz w:val="24"/>
                <w:vertAlign w:val="superscript"/>
              </w:rPr>
              <w:t>-10</w:t>
            </w:r>
            <w:r>
              <w:rPr>
                <w:rFonts w:hint="eastAsia" w:hAnsi="宋体"/>
                <w:sz w:val="24"/>
              </w:rPr>
              <w:t>cm/s），或其他防渗性能等效的材料。</w:t>
            </w:r>
          </w:p>
          <w:p w14:paraId="5839EE1E">
            <w:pPr>
              <w:adjustRightInd w:val="0"/>
              <w:spacing w:line="360" w:lineRule="auto"/>
              <w:ind w:firstLine="480" w:firstLineChars="200"/>
              <w:jc w:val="left"/>
              <w:rPr>
                <w:sz w:val="24"/>
              </w:rPr>
            </w:pPr>
            <w:r>
              <w:rPr>
                <w:rFonts w:hint="eastAsia" w:hAnsi="宋体"/>
                <w:sz w:val="24"/>
              </w:rPr>
              <w:t>④危废暂存间应采取技术和管理措施防止无关人员进入；</w:t>
            </w:r>
          </w:p>
          <w:p w14:paraId="3F13A56E">
            <w:pPr>
              <w:adjustRightInd w:val="0"/>
              <w:spacing w:line="360" w:lineRule="auto"/>
              <w:ind w:firstLine="480" w:firstLineChars="200"/>
              <w:jc w:val="left"/>
              <w:rPr>
                <w:sz w:val="24"/>
              </w:rPr>
            </w:pPr>
            <w:r>
              <w:rPr>
                <w:rFonts w:hint="eastAsia" w:hAnsi="宋体"/>
                <w:sz w:val="24"/>
              </w:rPr>
              <w:t>⑤</w:t>
            </w:r>
            <w:r>
              <w:rPr>
                <w:rFonts w:hint="eastAsia" w:hAnsi="宋体"/>
                <w:bCs/>
                <w:sz w:val="24"/>
              </w:rPr>
              <w:t>危险废物贮存过程产生的液态废物和固态废物应分类收集，按其环境管理要求妥善处理</w:t>
            </w:r>
            <w:r>
              <w:rPr>
                <w:rFonts w:hint="eastAsia" w:hAnsi="宋体"/>
                <w:sz w:val="24"/>
              </w:rPr>
              <w:t>；</w:t>
            </w:r>
          </w:p>
          <w:p w14:paraId="0070E98B">
            <w:pPr>
              <w:adjustRightInd w:val="0"/>
              <w:spacing w:line="360" w:lineRule="auto"/>
              <w:ind w:firstLine="480" w:firstLineChars="200"/>
              <w:jc w:val="left"/>
              <w:rPr>
                <w:sz w:val="24"/>
              </w:rPr>
            </w:pPr>
            <w:r>
              <w:rPr>
                <w:rFonts w:hint="eastAsia" w:hAnsi="宋体"/>
                <w:sz w:val="24"/>
              </w:rPr>
              <w:t>⑥危废暂存间应按HJ1276要求设置危险废物贮存设施或场所标志、危险废物贮存分区标志和危险废物标签等危险废物识别标志。</w:t>
            </w:r>
          </w:p>
          <w:p w14:paraId="043B71F9">
            <w:pPr>
              <w:spacing w:line="360" w:lineRule="auto"/>
              <w:ind w:firstLine="480" w:firstLineChars="200"/>
              <w:rPr>
                <w:sz w:val="24"/>
              </w:rPr>
            </w:pPr>
            <w:r>
              <w:rPr>
                <w:rFonts w:hint="eastAsia" w:hAnsi="宋体"/>
                <w:sz w:val="24"/>
              </w:rPr>
              <w:t>（</w:t>
            </w:r>
            <w:r>
              <w:rPr>
                <w:sz w:val="24"/>
              </w:rPr>
              <w:t>2</w:t>
            </w:r>
            <w:r>
              <w:rPr>
                <w:rFonts w:hint="eastAsia" w:hAnsi="宋体"/>
                <w:sz w:val="24"/>
              </w:rPr>
              <w:t>）运输过程污染防治措施</w:t>
            </w:r>
          </w:p>
          <w:p w14:paraId="2D353D83">
            <w:pPr>
              <w:spacing w:line="360" w:lineRule="auto"/>
              <w:ind w:firstLine="480" w:firstLineChars="200"/>
              <w:rPr>
                <w:rFonts w:hAnsi="宋体"/>
                <w:sz w:val="24"/>
              </w:rPr>
            </w:pPr>
            <w:r>
              <w:rPr>
                <w:rFonts w:hint="eastAsia" w:hAnsi="宋体"/>
                <w:sz w:val="24"/>
              </w:rPr>
              <w:t>项目危废从产生场所转移运输到暂存场所过程中采用防渗漏的袋装、桶装，通过规范管理，可以保证转移过程桶、袋不破裂，不撒漏，避免危废泄漏或撒漏对周边环境造成影响。</w:t>
            </w:r>
          </w:p>
          <w:p w14:paraId="508F94D3">
            <w:pPr>
              <w:spacing w:line="360" w:lineRule="auto"/>
              <w:ind w:firstLine="480" w:firstLineChars="200"/>
              <w:rPr>
                <w:rStyle w:val="242"/>
                <w:rFonts w:hint="default" w:ascii="Times New Roman"/>
                <w:color w:val="auto"/>
              </w:rPr>
            </w:pPr>
            <w:r>
              <w:rPr>
                <w:rFonts w:hint="eastAsia" w:hAnsi="宋体"/>
                <w:sz w:val="24"/>
              </w:rPr>
              <w:t>危险废物外运时</w:t>
            </w:r>
            <w:r>
              <w:rPr>
                <w:rStyle w:val="242"/>
                <w:rFonts w:hint="default" w:ascii="Times New Roman"/>
                <w:color w:val="auto"/>
              </w:rPr>
              <w:t>严格按照国家环境保护总局令第5号文件《危险废物转移联单管理办法》的相关规定报批危险废物转移计划</w:t>
            </w:r>
            <w:r>
              <w:rPr>
                <w:rFonts w:hint="eastAsia" w:hAnsi="宋体"/>
                <w:sz w:val="24"/>
              </w:rPr>
              <w:t>。</w:t>
            </w:r>
            <w:r>
              <w:rPr>
                <w:rStyle w:val="242"/>
                <w:rFonts w:hint="default" w:ascii="Times New Roman"/>
                <w:color w:val="auto"/>
              </w:rPr>
              <w:t>转移危险废物时按照规定填报危险废物转移联单，并向危险废物移出地和接受地的县级以上地方人民政府环境保护行政主管部门报告。</w:t>
            </w:r>
          </w:p>
          <w:p w14:paraId="71362B86">
            <w:pPr>
              <w:spacing w:line="360" w:lineRule="auto"/>
              <w:ind w:firstLine="480" w:firstLineChars="200"/>
              <w:rPr>
                <w:rFonts w:hAnsi="宋体"/>
                <w:sz w:val="24"/>
                <w:szCs w:val="24"/>
              </w:rPr>
            </w:pPr>
            <w:r>
              <w:rPr>
                <w:rFonts w:hAnsi="宋体"/>
                <w:sz w:val="24"/>
                <w:szCs w:val="24"/>
              </w:rPr>
              <w:t>按照《危险货物道路安全管理办法》的相关规定，托运人在托运危险货物时，应当向承运人提交电子或者纸质形式的危险货物托运清单。危险货物托运清单应当载明危险货物的托运人、承运人、收货人、装货人、始发地、目的地、危险货物的类别、项别、品名、编号、包装及规格、数量、应急联系电话等信息，以及危险货物危险特性、运输注意事项、急救措施、消防措施、泄漏应急处置、次生环境污染处置措施等信息。</w:t>
            </w:r>
          </w:p>
          <w:p w14:paraId="66D28E6D">
            <w:pPr>
              <w:spacing w:line="360" w:lineRule="auto"/>
              <w:ind w:firstLine="480" w:firstLineChars="200"/>
              <w:rPr>
                <w:sz w:val="24"/>
              </w:rPr>
            </w:pPr>
            <w:r>
              <w:rPr>
                <w:rStyle w:val="242"/>
                <w:rFonts w:hint="default" w:ascii="Times New Roman"/>
                <w:color w:val="auto"/>
              </w:rPr>
              <w:t>运输危险废物的人员接受专业培训经考核合格后从事运</w:t>
            </w:r>
            <w:r>
              <w:rPr>
                <w:sz w:val="24"/>
                <w:szCs w:val="24"/>
              </w:rPr>
              <w:t>输危险废物的工作；运输危险废物的资质单位应当制定在发生意外事故时采取的应急措施和防范措施方可运输；运输时，发生突发性事故必须立即采取措施消除或者减轻对环境的污染危害，及时通报给附近的单位和居民，并向事故发生地县级以上人民政府环境保护行政主管部门和有关部门报告，接受调查处理。运输过程中做到密闭，沿途不抛洒，应有明显的标志，并有防雨、防晒等设施。运输路线按照主管部门制定路线进行运输，同时应配备全球卫星定位和事故报警装置。</w:t>
            </w:r>
          </w:p>
          <w:p w14:paraId="73B144A6">
            <w:pPr>
              <w:spacing w:line="360" w:lineRule="auto"/>
              <w:ind w:firstLine="480" w:firstLineChars="200"/>
              <w:rPr>
                <w:sz w:val="24"/>
              </w:rPr>
            </w:pPr>
            <w:r>
              <w:rPr>
                <w:rFonts w:hint="eastAsia" w:hAnsi="宋体"/>
                <w:sz w:val="24"/>
              </w:rPr>
              <w:t>（</w:t>
            </w:r>
            <w:r>
              <w:rPr>
                <w:sz w:val="24"/>
              </w:rPr>
              <w:t>3</w:t>
            </w:r>
            <w:r>
              <w:rPr>
                <w:rFonts w:hint="eastAsia" w:hAnsi="宋体"/>
                <w:sz w:val="24"/>
              </w:rPr>
              <w:t>）日常管理要求</w:t>
            </w:r>
          </w:p>
          <w:p w14:paraId="22910607">
            <w:pPr>
              <w:spacing w:line="360" w:lineRule="auto"/>
              <w:ind w:firstLine="480" w:firstLineChars="200"/>
              <w:rPr>
                <w:sz w:val="24"/>
              </w:rPr>
            </w:pPr>
            <w:r>
              <w:rPr>
                <w:rFonts w:hint="eastAsia" w:hAnsi="宋体"/>
                <w:sz w:val="24"/>
              </w:rPr>
              <w:t>项目固废处置时，尽可能采用减量化、资源化利用措施。委托处置的应与处置单位签订委托处理合同，报生态环境部门备案。危险废物转移需执行报批和转移联单等制度。各固废在外运处置前，须在厂内安全暂存，确保固废不产生二次污染。</w:t>
            </w:r>
          </w:p>
          <w:p w14:paraId="1A8E65D3">
            <w:pPr>
              <w:spacing w:line="360" w:lineRule="auto"/>
              <w:ind w:firstLine="480" w:firstLineChars="200"/>
              <w:jc w:val="left"/>
              <w:rPr>
                <w:snapToGrid w:val="0"/>
                <w:kern w:val="0"/>
                <w:sz w:val="24"/>
              </w:rPr>
            </w:pPr>
            <w:r>
              <w:rPr>
                <w:rFonts w:hint="eastAsia"/>
                <w:snapToGrid w:val="0"/>
                <w:kern w:val="0"/>
                <w:sz w:val="24"/>
              </w:rPr>
              <w:t>综上所述，项目采取的各项固体废弃物处置措施可行，从一定程度上实现了固体废物资源化利用的原则，只要在运营过程中落实各项处理措施，认真执行，可将固体废弃物对环境的影响程度降到最小程度。因此，本项目固废处置措施可行。</w:t>
            </w:r>
          </w:p>
          <w:p w14:paraId="5C4E8CFB">
            <w:pPr>
              <w:spacing w:line="360" w:lineRule="auto"/>
              <w:ind w:firstLine="482" w:firstLineChars="200"/>
              <w:jc w:val="left"/>
              <w:rPr>
                <w:b/>
                <w:snapToGrid w:val="0"/>
                <w:kern w:val="0"/>
                <w:sz w:val="24"/>
              </w:rPr>
            </w:pPr>
            <w:r>
              <w:rPr>
                <w:rFonts w:hint="eastAsia"/>
                <w:b/>
                <w:snapToGrid w:val="0"/>
                <w:kern w:val="0"/>
                <w:sz w:val="24"/>
              </w:rPr>
              <w:t>五、土壤、地下水环境影响分析</w:t>
            </w:r>
          </w:p>
          <w:p w14:paraId="6E4AC5D1">
            <w:pPr>
              <w:spacing w:line="360" w:lineRule="auto"/>
              <w:ind w:firstLine="480" w:firstLineChars="200"/>
              <w:jc w:val="left"/>
              <w:rPr>
                <w:sz w:val="24"/>
                <w:szCs w:val="24"/>
              </w:rPr>
            </w:pPr>
            <w:r>
              <w:rPr>
                <w:rFonts w:hint="eastAsia"/>
                <w:sz w:val="24"/>
                <w:szCs w:val="24"/>
              </w:rPr>
              <w:t>为更好的保护地下水环境、土壤环境，将本项目对地下水、土壤的影响降至最低，建议采取以下的污染防治措施：</w:t>
            </w:r>
          </w:p>
          <w:p w14:paraId="71589357">
            <w:pPr>
              <w:pStyle w:val="108"/>
              <w:adjustRightInd/>
              <w:spacing w:line="360" w:lineRule="auto"/>
              <w:ind w:firstLine="480" w:firstLineChars="200"/>
              <w:rPr>
                <w:color w:val="auto"/>
              </w:rPr>
            </w:pPr>
            <w:r>
              <w:rPr>
                <w:rFonts w:hint="eastAsia"/>
                <w:color w:val="auto"/>
              </w:rPr>
              <w:t>（1）源头控制</w:t>
            </w:r>
          </w:p>
          <w:p w14:paraId="14AE011C">
            <w:pPr>
              <w:pStyle w:val="108"/>
              <w:adjustRightInd/>
              <w:spacing w:line="360" w:lineRule="auto"/>
              <w:ind w:firstLine="480" w:firstLineChars="200"/>
              <w:rPr>
                <w:color w:val="auto"/>
              </w:rPr>
            </w:pPr>
            <w:r>
              <w:rPr>
                <w:rFonts w:hint="eastAsia"/>
                <w:color w:val="auto"/>
              </w:rPr>
              <w:t>严格按照国家相关规范要求，坚持预防为主，防治结合，综合治理的原则，从源头上减少地下水、土壤污染源的产生，是符合污染防治的基本措施。</w:t>
            </w:r>
          </w:p>
          <w:p w14:paraId="497B114C">
            <w:pPr>
              <w:pStyle w:val="108"/>
              <w:adjustRightInd/>
              <w:spacing w:line="360" w:lineRule="auto"/>
              <w:ind w:firstLine="480" w:firstLineChars="200"/>
              <w:rPr>
                <w:color w:val="auto"/>
              </w:rPr>
            </w:pPr>
            <w:r>
              <w:rPr>
                <w:rFonts w:hint="eastAsia"/>
                <w:color w:val="auto"/>
              </w:rPr>
              <w:t>（2）分区防渗</w:t>
            </w:r>
          </w:p>
          <w:p w14:paraId="2FE03AD7">
            <w:pPr>
              <w:pStyle w:val="142"/>
              <w:spacing w:line="360" w:lineRule="auto"/>
              <w:ind w:firstLine="480"/>
              <w:rPr>
                <w:rFonts w:hAnsi="宋体"/>
                <w:sz w:val="24"/>
              </w:rPr>
            </w:pPr>
            <w:r>
              <w:rPr>
                <w:rFonts w:hint="eastAsia"/>
                <w:sz w:val="24"/>
              </w:rPr>
              <w:t>①重点防渗区：危废暂存间、化学品库。</w:t>
            </w:r>
            <w:r>
              <w:rPr>
                <w:rFonts w:hAnsi="宋体"/>
                <w:sz w:val="24"/>
              </w:rPr>
              <w:t>根据《危险废物贮存污染控制标准》（</w:t>
            </w:r>
            <w:r>
              <w:rPr>
                <w:sz w:val="24"/>
              </w:rPr>
              <w:t>GB18597-20</w:t>
            </w:r>
            <w:r>
              <w:rPr>
                <w:rFonts w:hint="eastAsia"/>
                <w:sz w:val="24"/>
              </w:rPr>
              <w:t>23</w:t>
            </w:r>
            <w:r>
              <w:rPr>
                <w:rFonts w:hAnsi="宋体"/>
                <w:sz w:val="24"/>
              </w:rPr>
              <w:t>），危险废物直接接触地面的基础</w:t>
            </w:r>
            <w:r>
              <w:rPr>
                <w:rFonts w:hint="eastAsia" w:hAnsi="宋体"/>
                <w:sz w:val="24"/>
              </w:rPr>
              <w:t>防渗层为至少1m厚黏土层（渗透系数不大于10</w:t>
            </w:r>
            <w:r>
              <w:rPr>
                <w:rFonts w:hint="eastAsia" w:hAnsi="宋体"/>
                <w:sz w:val="24"/>
                <w:vertAlign w:val="superscript"/>
              </w:rPr>
              <w:t>-7</w:t>
            </w:r>
            <w:r>
              <w:rPr>
                <w:rFonts w:hint="eastAsia" w:hAnsi="宋体"/>
                <w:sz w:val="24"/>
              </w:rPr>
              <w:t>cm/s），或至少2mm厚高密度聚乙烯膜等人工防渗材料（渗透系数不大于10</w:t>
            </w:r>
            <w:r>
              <w:rPr>
                <w:rFonts w:hint="eastAsia" w:hAnsi="宋体"/>
                <w:sz w:val="24"/>
                <w:vertAlign w:val="superscript"/>
              </w:rPr>
              <w:t>-10</w:t>
            </w:r>
            <w:r>
              <w:rPr>
                <w:rFonts w:hint="eastAsia" w:hAnsi="宋体"/>
                <w:sz w:val="24"/>
              </w:rPr>
              <w:t>cm/s），或其他防渗性能等效的材料。本项目设计采用抗渗混凝土防渗并涂抹2mm厚的环氧树脂。</w:t>
            </w:r>
          </w:p>
          <w:p w14:paraId="5EA12977">
            <w:pPr>
              <w:pStyle w:val="142"/>
              <w:spacing w:line="360" w:lineRule="auto"/>
              <w:ind w:firstLine="480"/>
              <w:rPr>
                <w:sz w:val="24"/>
              </w:rPr>
            </w:pPr>
            <w:r>
              <w:rPr>
                <w:rFonts w:hint="eastAsia" w:hAnsi="宋体"/>
                <w:sz w:val="24"/>
              </w:rPr>
              <w:t>②一般防渗区：除重点防渗区域之外的生产厂房其他区域。本项目设计采用抗渗混凝土防渗。</w:t>
            </w:r>
          </w:p>
          <w:p w14:paraId="113F07DD">
            <w:pPr>
              <w:pStyle w:val="108"/>
              <w:adjustRightInd/>
              <w:spacing w:line="360" w:lineRule="auto"/>
              <w:jc w:val="center"/>
              <w:rPr>
                <w:rFonts w:eastAsia="黑体"/>
                <w:bCs/>
                <w:color w:val="auto"/>
                <w:sz w:val="21"/>
                <w:szCs w:val="21"/>
              </w:rPr>
            </w:pPr>
            <w:r>
              <w:rPr>
                <w:rFonts w:hint="eastAsia" w:hAnsi="黑体" w:eastAsia="黑体"/>
                <w:color w:val="auto"/>
              </w:rPr>
              <w:t>表52  本项目分区防渗</w:t>
            </w:r>
            <w:r>
              <w:rPr>
                <w:rFonts w:hAnsi="黑体" w:eastAsia="黑体"/>
                <w:color w:val="auto"/>
              </w:rPr>
              <w:t>措施要求</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345"/>
              <w:gridCol w:w="2813"/>
              <w:gridCol w:w="2476"/>
            </w:tblGrid>
            <w:tr w14:paraId="5DA20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0" w:type="pct"/>
                  <w:vAlign w:val="center"/>
                </w:tcPr>
                <w:p w14:paraId="3B5319B5">
                  <w:pPr>
                    <w:widowControl/>
                    <w:autoSpaceDN w:val="0"/>
                    <w:spacing w:line="276" w:lineRule="auto"/>
                    <w:jc w:val="center"/>
                    <w:rPr>
                      <w:b/>
                      <w:szCs w:val="21"/>
                    </w:rPr>
                  </w:pPr>
                  <w:r>
                    <w:rPr>
                      <w:rFonts w:hint="eastAsia"/>
                      <w:b/>
                      <w:szCs w:val="21"/>
                    </w:rPr>
                    <w:t>构筑物</w:t>
                  </w:r>
                  <w:r>
                    <w:rPr>
                      <w:b/>
                      <w:szCs w:val="21"/>
                    </w:rPr>
                    <w:t>单元名称</w:t>
                  </w:r>
                </w:p>
              </w:tc>
              <w:tc>
                <w:tcPr>
                  <w:tcW w:w="825" w:type="pct"/>
                  <w:vAlign w:val="center"/>
                </w:tcPr>
                <w:p w14:paraId="78F7A198">
                  <w:pPr>
                    <w:widowControl/>
                    <w:autoSpaceDN w:val="0"/>
                    <w:spacing w:line="276" w:lineRule="auto"/>
                    <w:jc w:val="center"/>
                    <w:rPr>
                      <w:b/>
                      <w:szCs w:val="21"/>
                    </w:rPr>
                  </w:pPr>
                  <w:r>
                    <w:rPr>
                      <w:b/>
                      <w:szCs w:val="21"/>
                    </w:rPr>
                    <w:t>污染防治区类别</w:t>
                  </w:r>
                </w:p>
              </w:tc>
              <w:tc>
                <w:tcPr>
                  <w:tcW w:w="1726" w:type="pct"/>
                  <w:vAlign w:val="center"/>
                </w:tcPr>
                <w:p w14:paraId="3E9BF72E">
                  <w:pPr>
                    <w:widowControl/>
                    <w:autoSpaceDN w:val="0"/>
                    <w:spacing w:line="276" w:lineRule="auto"/>
                    <w:jc w:val="center"/>
                    <w:rPr>
                      <w:b/>
                      <w:szCs w:val="21"/>
                    </w:rPr>
                  </w:pPr>
                  <w:r>
                    <w:rPr>
                      <w:b/>
                      <w:szCs w:val="21"/>
                    </w:rPr>
                    <w:t>防渗设计要求</w:t>
                  </w:r>
                </w:p>
              </w:tc>
              <w:tc>
                <w:tcPr>
                  <w:tcW w:w="1519" w:type="pct"/>
                  <w:vAlign w:val="center"/>
                </w:tcPr>
                <w:p w14:paraId="0E4ED09E">
                  <w:pPr>
                    <w:widowControl/>
                    <w:autoSpaceDN w:val="0"/>
                    <w:spacing w:line="276" w:lineRule="auto"/>
                    <w:jc w:val="center"/>
                    <w:rPr>
                      <w:b/>
                      <w:szCs w:val="21"/>
                    </w:rPr>
                  </w:pPr>
                  <w:r>
                    <w:rPr>
                      <w:b/>
                      <w:szCs w:val="21"/>
                    </w:rPr>
                    <w:t>本项目防渗设计</w:t>
                  </w:r>
                </w:p>
              </w:tc>
            </w:tr>
            <w:tr w14:paraId="5BF7FB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30" w:type="pct"/>
                  <w:vAlign w:val="center"/>
                </w:tcPr>
                <w:p w14:paraId="5B98725B">
                  <w:pPr>
                    <w:widowControl/>
                    <w:autoSpaceDN w:val="0"/>
                    <w:spacing w:line="276" w:lineRule="auto"/>
                    <w:jc w:val="center"/>
                    <w:rPr>
                      <w:szCs w:val="21"/>
                    </w:rPr>
                  </w:pPr>
                  <w:r>
                    <w:rPr>
                      <w:rFonts w:hint="eastAsia"/>
                      <w:szCs w:val="21"/>
                    </w:rPr>
                    <w:t>危废暂存间、化学品库</w:t>
                  </w:r>
                </w:p>
              </w:tc>
              <w:tc>
                <w:tcPr>
                  <w:tcW w:w="825" w:type="pct"/>
                  <w:vAlign w:val="center"/>
                </w:tcPr>
                <w:p w14:paraId="76314F4D">
                  <w:pPr>
                    <w:widowControl/>
                    <w:autoSpaceDN w:val="0"/>
                    <w:spacing w:line="276" w:lineRule="auto"/>
                    <w:jc w:val="center"/>
                    <w:rPr>
                      <w:szCs w:val="21"/>
                    </w:rPr>
                  </w:pPr>
                  <w:r>
                    <w:rPr>
                      <w:szCs w:val="21"/>
                    </w:rPr>
                    <w:t>重点防渗区</w:t>
                  </w:r>
                </w:p>
              </w:tc>
              <w:tc>
                <w:tcPr>
                  <w:tcW w:w="1726" w:type="pct"/>
                  <w:vAlign w:val="center"/>
                </w:tcPr>
                <w:p w14:paraId="7DE1C362">
                  <w:pPr>
                    <w:spacing w:line="276" w:lineRule="auto"/>
                    <w:jc w:val="center"/>
                    <w:rPr>
                      <w:szCs w:val="21"/>
                    </w:rPr>
                  </w:pPr>
                  <w:r>
                    <w:t>等效黏土防渗层Mb≥6.0m，K≤1×10</w:t>
                  </w:r>
                  <w:r>
                    <w:rPr>
                      <w:vertAlign w:val="superscript"/>
                    </w:rPr>
                    <w:t>-</w:t>
                  </w:r>
                  <w:r>
                    <w:rPr>
                      <w:rFonts w:hint="eastAsia"/>
                      <w:vertAlign w:val="superscript"/>
                    </w:rPr>
                    <w:t>7</w:t>
                  </w:r>
                  <w:r>
                    <w:t>cm/s；或参照GB18598</w:t>
                  </w:r>
                  <w:r>
                    <w:rPr>
                      <w:szCs w:val="21"/>
                    </w:rPr>
                    <w:t xml:space="preserve"> </w:t>
                  </w:r>
                </w:p>
              </w:tc>
              <w:tc>
                <w:tcPr>
                  <w:tcW w:w="1519" w:type="pct"/>
                  <w:vAlign w:val="center"/>
                </w:tcPr>
                <w:p w14:paraId="639A044F">
                  <w:pPr>
                    <w:spacing w:line="276" w:lineRule="auto"/>
                    <w:jc w:val="center"/>
                  </w:pPr>
                  <w:r>
                    <w:rPr>
                      <w:rFonts w:hint="eastAsia"/>
                    </w:rPr>
                    <w:t>采用抗渗混凝土防渗+涂抹2mm厚的环氧树脂</w:t>
                  </w:r>
                </w:p>
              </w:tc>
            </w:tr>
            <w:tr w14:paraId="578AF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0" w:type="pct"/>
                  <w:vAlign w:val="center"/>
                </w:tcPr>
                <w:p w14:paraId="55F47D9D">
                  <w:pPr>
                    <w:autoSpaceDN w:val="0"/>
                    <w:spacing w:line="276" w:lineRule="auto"/>
                    <w:jc w:val="center"/>
                    <w:rPr>
                      <w:szCs w:val="21"/>
                      <w:lang w:val="zh-CN"/>
                    </w:rPr>
                  </w:pPr>
                  <w:r>
                    <w:rPr>
                      <w:szCs w:val="21"/>
                      <w:lang w:val="zh-CN"/>
                    </w:rPr>
                    <w:t>除重点防渗区以外生产厂房的其他区域</w:t>
                  </w:r>
                </w:p>
              </w:tc>
              <w:tc>
                <w:tcPr>
                  <w:tcW w:w="825" w:type="pct"/>
                  <w:vAlign w:val="center"/>
                </w:tcPr>
                <w:p w14:paraId="2DD3D005">
                  <w:pPr>
                    <w:widowControl/>
                    <w:autoSpaceDN w:val="0"/>
                    <w:spacing w:line="276" w:lineRule="auto"/>
                    <w:jc w:val="center"/>
                    <w:rPr>
                      <w:szCs w:val="21"/>
                    </w:rPr>
                  </w:pPr>
                  <w:r>
                    <w:rPr>
                      <w:rFonts w:hint="eastAsia"/>
                      <w:szCs w:val="21"/>
                    </w:rPr>
                    <w:t>一般</w:t>
                  </w:r>
                  <w:r>
                    <w:rPr>
                      <w:szCs w:val="21"/>
                    </w:rPr>
                    <w:t>防渗区</w:t>
                  </w:r>
                </w:p>
              </w:tc>
              <w:tc>
                <w:tcPr>
                  <w:tcW w:w="1726" w:type="pct"/>
                  <w:vAlign w:val="center"/>
                </w:tcPr>
                <w:p w14:paraId="646952D4">
                  <w:pPr>
                    <w:widowControl/>
                    <w:autoSpaceDN w:val="0"/>
                    <w:spacing w:line="276" w:lineRule="auto"/>
                    <w:jc w:val="center"/>
                    <w:rPr>
                      <w:szCs w:val="21"/>
                    </w:rPr>
                  </w:pPr>
                  <w:r>
                    <w:t>等效黏土防渗层Mb≥1.5m，或参照GB16889</w:t>
                  </w:r>
                  <w:r>
                    <w:rPr>
                      <w:szCs w:val="21"/>
                    </w:rPr>
                    <w:t xml:space="preserve"> </w:t>
                  </w:r>
                </w:p>
              </w:tc>
              <w:tc>
                <w:tcPr>
                  <w:tcW w:w="1519" w:type="pct"/>
                  <w:vAlign w:val="center"/>
                </w:tcPr>
                <w:p w14:paraId="23649262">
                  <w:pPr>
                    <w:widowControl/>
                    <w:autoSpaceDN w:val="0"/>
                    <w:spacing w:line="276" w:lineRule="auto"/>
                    <w:jc w:val="center"/>
                  </w:pPr>
                  <w:r>
                    <w:rPr>
                      <w:rFonts w:hint="eastAsia"/>
                    </w:rPr>
                    <w:t>采用抗渗混凝土防渗</w:t>
                  </w:r>
                </w:p>
              </w:tc>
            </w:tr>
          </w:tbl>
          <w:p w14:paraId="560B44C0">
            <w:pPr>
              <w:spacing w:line="440" w:lineRule="exact"/>
              <w:ind w:firstLine="470" w:firstLineChars="196"/>
              <w:rPr>
                <w:b/>
                <w:sz w:val="24"/>
                <w:szCs w:val="24"/>
              </w:rPr>
            </w:pPr>
            <w:r>
              <w:rPr>
                <w:kern w:val="0"/>
                <w:sz w:val="24"/>
                <w:szCs w:val="24"/>
              </w:rPr>
              <w:t>因此，在落实各项防渗措施后，</w:t>
            </w:r>
            <w:r>
              <w:rPr>
                <w:rFonts w:hint="eastAsia"/>
                <w:sz w:val="24"/>
                <w:szCs w:val="20"/>
              </w:rPr>
              <w:t>项目不会对区域地下水、土壤环境产生明显影响。可不开展跟踪监测。</w:t>
            </w:r>
          </w:p>
          <w:p w14:paraId="04662EE8">
            <w:pPr>
              <w:spacing w:line="360" w:lineRule="auto"/>
              <w:ind w:firstLine="482" w:firstLineChars="200"/>
              <w:jc w:val="left"/>
              <w:rPr>
                <w:b/>
                <w:snapToGrid w:val="0"/>
                <w:kern w:val="0"/>
                <w:sz w:val="24"/>
              </w:rPr>
            </w:pPr>
            <w:r>
              <w:rPr>
                <w:rFonts w:hint="eastAsia"/>
                <w:b/>
                <w:snapToGrid w:val="0"/>
                <w:kern w:val="0"/>
                <w:sz w:val="24"/>
              </w:rPr>
              <w:t>六、</w:t>
            </w:r>
            <w:r>
              <w:rPr>
                <w:rFonts w:hint="eastAsia" w:hAnsi="宋体"/>
                <w:b/>
                <w:snapToGrid w:val="0"/>
                <w:kern w:val="0"/>
                <w:sz w:val="24"/>
              </w:rPr>
              <w:t>环境</w:t>
            </w:r>
            <w:r>
              <w:rPr>
                <w:rFonts w:hAnsi="宋体"/>
                <w:b/>
                <w:snapToGrid w:val="0"/>
                <w:kern w:val="0"/>
                <w:sz w:val="24"/>
              </w:rPr>
              <w:t>风险评价</w:t>
            </w:r>
          </w:p>
          <w:p w14:paraId="2AD2A21E">
            <w:pPr>
              <w:pStyle w:val="108"/>
              <w:adjustRightInd/>
              <w:spacing w:line="360" w:lineRule="auto"/>
              <w:ind w:firstLine="480" w:firstLineChars="200"/>
              <w:rPr>
                <w:color w:val="auto"/>
              </w:rPr>
            </w:pPr>
            <w:r>
              <w:rPr>
                <w:rFonts w:hint="eastAsia"/>
                <w:color w:val="auto"/>
              </w:rPr>
              <w:t>环境风险评价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37FDDAE5">
            <w:pPr>
              <w:spacing w:line="360" w:lineRule="auto"/>
              <w:ind w:firstLine="480" w:firstLineChars="200"/>
              <w:rPr>
                <w:sz w:val="24"/>
              </w:rPr>
            </w:pPr>
            <w:r>
              <w:rPr>
                <w:rFonts w:hint="eastAsia"/>
                <w:sz w:val="24"/>
              </w:rPr>
              <w:t>1、风险物质识别</w:t>
            </w:r>
          </w:p>
          <w:p w14:paraId="2E1472FC">
            <w:pPr>
              <w:spacing w:line="360" w:lineRule="auto"/>
              <w:ind w:firstLine="480" w:firstLineChars="200"/>
              <w:rPr>
                <w:sz w:val="24"/>
              </w:rPr>
            </w:pPr>
            <w:r>
              <w:rPr>
                <w:rFonts w:hint="eastAsia"/>
                <w:sz w:val="24"/>
                <w:szCs w:val="24"/>
              </w:rPr>
              <w:t>项目使用的主要原辅材料为邻苯二甲酸二甲酯、双草酸酯、双氧水、乙醇等及产生的“三废”污染物，对</w:t>
            </w:r>
            <w:r>
              <w:rPr>
                <w:rFonts w:hint="eastAsia"/>
                <w:sz w:val="24"/>
              </w:rPr>
              <w:t>照《建设项目环境风险评价技术导则》（</w:t>
            </w:r>
            <w:r>
              <w:rPr>
                <w:sz w:val="24"/>
              </w:rPr>
              <w:t>HJ169-2018</w:t>
            </w:r>
            <w:r>
              <w:rPr>
                <w:rFonts w:hint="eastAsia"/>
                <w:sz w:val="24"/>
              </w:rPr>
              <w:t>）中附录B中的风险物质，本项目涉及的环境风险物质主要为危险废物（不合格品、离心废液、清洗废液）、</w:t>
            </w:r>
            <w:r>
              <w:rPr>
                <w:rFonts w:hint="eastAsia"/>
                <w:sz w:val="24"/>
                <w:szCs w:val="24"/>
              </w:rPr>
              <w:t>邻苯二甲酸二甲酯、双草酸酯、乙醇、液化天然气（甲烷）</w:t>
            </w:r>
            <w:r>
              <w:rPr>
                <w:rFonts w:hint="eastAsia"/>
                <w:sz w:val="24"/>
              </w:rPr>
              <w:t>，对照各风险物质临界量，计算所涉及的每种危险物质在厂界内的最大存在量与其对应临界量的比值Q。</w:t>
            </w:r>
          </w:p>
          <w:p w14:paraId="394D51E9">
            <w:pPr>
              <w:spacing w:line="360" w:lineRule="auto"/>
              <w:ind w:firstLine="480" w:firstLineChars="200"/>
              <w:jc w:val="center"/>
              <w:rPr>
                <w:sz w:val="24"/>
              </w:rPr>
            </w:pPr>
            <w:r>
              <w:rPr>
                <w:rFonts w:hint="eastAsia"/>
                <w:sz w:val="24"/>
              </w:rPr>
              <w:t>Q=q</w:t>
            </w:r>
            <w:r>
              <w:rPr>
                <w:rFonts w:hint="eastAsia"/>
                <w:sz w:val="24"/>
                <w:vertAlign w:val="subscript"/>
              </w:rPr>
              <w:t>1</w:t>
            </w:r>
            <w:r>
              <w:rPr>
                <w:rFonts w:hint="eastAsia"/>
                <w:sz w:val="24"/>
              </w:rPr>
              <w:t>/Q</w:t>
            </w:r>
            <w:r>
              <w:rPr>
                <w:rFonts w:hint="eastAsia"/>
                <w:sz w:val="24"/>
                <w:vertAlign w:val="subscript"/>
              </w:rPr>
              <w:t>1</w:t>
            </w:r>
            <w:r>
              <w:rPr>
                <w:rFonts w:hint="eastAsia"/>
                <w:sz w:val="24"/>
              </w:rPr>
              <w:t>+ q</w:t>
            </w:r>
            <w:r>
              <w:rPr>
                <w:rFonts w:hint="eastAsia"/>
                <w:sz w:val="24"/>
                <w:vertAlign w:val="subscript"/>
              </w:rPr>
              <w:t>2</w:t>
            </w:r>
            <w:r>
              <w:rPr>
                <w:rFonts w:hint="eastAsia"/>
                <w:sz w:val="24"/>
              </w:rPr>
              <w:t>/Q</w:t>
            </w:r>
            <w:r>
              <w:rPr>
                <w:rFonts w:hint="eastAsia"/>
                <w:sz w:val="24"/>
                <w:vertAlign w:val="subscript"/>
              </w:rPr>
              <w:t>2+</w:t>
            </w:r>
            <w:r>
              <w:rPr>
                <w:sz w:val="24"/>
              </w:rPr>
              <w:t>…</w:t>
            </w:r>
            <w:r>
              <w:rPr>
                <w:rFonts w:hint="eastAsia"/>
                <w:sz w:val="24"/>
              </w:rPr>
              <w:t>q</w:t>
            </w:r>
            <w:r>
              <w:rPr>
                <w:rFonts w:hint="eastAsia"/>
                <w:sz w:val="24"/>
                <w:vertAlign w:val="subscript"/>
              </w:rPr>
              <w:t>n</w:t>
            </w:r>
            <w:r>
              <w:rPr>
                <w:rFonts w:hint="eastAsia"/>
                <w:sz w:val="24"/>
              </w:rPr>
              <w:t>/Q</w:t>
            </w:r>
            <w:r>
              <w:rPr>
                <w:rFonts w:hint="eastAsia"/>
                <w:sz w:val="24"/>
                <w:vertAlign w:val="subscript"/>
              </w:rPr>
              <w:t>n</w:t>
            </w:r>
          </w:p>
          <w:p w14:paraId="5DD36D2E">
            <w:pPr>
              <w:spacing w:line="360" w:lineRule="auto"/>
              <w:ind w:firstLine="480" w:firstLineChars="200"/>
              <w:rPr>
                <w:sz w:val="24"/>
              </w:rPr>
            </w:pPr>
            <w:r>
              <w:rPr>
                <w:rFonts w:hint="eastAsia"/>
                <w:sz w:val="24"/>
              </w:rPr>
              <w:t>式中：q</w:t>
            </w:r>
            <w:r>
              <w:rPr>
                <w:rFonts w:hint="eastAsia"/>
                <w:sz w:val="24"/>
                <w:vertAlign w:val="subscript"/>
              </w:rPr>
              <w:t>1</w:t>
            </w:r>
            <w:r>
              <w:rPr>
                <w:rFonts w:hint="eastAsia"/>
                <w:sz w:val="24"/>
              </w:rPr>
              <w:t>，q</w:t>
            </w:r>
            <w:r>
              <w:rPr>
                <w:rFonts w:hint="eastAsia"/>
                <w:sz w:val="24"/>
                <w:vertAlign w:val="subscript"/>
              </w:rPr>
              <w:t>2</w:t>
            </w:r>
            <w:r>
              <w:rPr>
                <w:rFonts w:hint="eastAsia"/>
                <w:sz w:val="24"/>
              </w:rPr>
              <w:t>，</w:t>
            </w:r>
            <w:r>
              <w:rPr>
                <w:sz w:val="24"/>
              </w:rPr>
              <w:t>…</w:t>
            </w:r>
            <w:r>
              <w:rPr>
                <w:rFonts w:hint="eastAsia"/>
                <w:sz w:val="24"/>
              </w:rPr>
              <w:t>，q</w:t>
            </w:r>
            <w:r>
              <w:rPr>
                <w:rFonts w:hint="eastAsia"/>
                <w:sz w:val="24"/>
                <w:vertAlign w:val="subscript"/>
              </w:rPr>
              <w:t>n</w:t>
            </w:r>
            <w:r>
              <w:rPr>
                <w:rFonts w:hint="eastAsia"/>
                <w:sz w:val="24"/>
              </w:rPr>
              <w:t>——每种危险物质的最大存在总量，t；</w:t>
            </w:r>
          </w:p>
          <w:p w14:paraId="642D3779">
            <w:pPr>
              <w:spacing w:line="360" w:lineRule="auto"/>
              <w:ind w:firstLine="480" w:firstLineChars="200"/>
              <w:rPr>
                <w:sz w:val="24"/>
              </w:rPr>
            </w:pPr>
            <w:r>
              <w:rPr>
                <w:rFonts w:hint="eastAsia"/>
                <w:sz w:val="24"/>
              </w:rPr>
              <w:t>Q</w:t>
            </w:r>
            <w:r>
              <w:rPr>
                <w:rFonts w:hint="eastAsia"/>
                <w:sz w:val="24"/>
                <w:vertAlign w:val="subscript"/>
              </w:rPr>
              <w:t>1</w:t>
            </w:r>
            <w:r>
              <w:rPr>
                <w:rFonts w:hint="eastAsia"/>
                <w:sz w:val="24"/>
              </w:rPr>
              <w:t>，Q</w:t>
            </w:r>
            <w:r>
              <w:rPr>
                <w:rFonts w:hint="eastAsia"/>
                <w:sz w:val="24"/>
                <w:vertAlign w:val="subscript"/>
              </w:rPr>
              <w:t>2</w:t>
            </w:r>
            <w:r>
              <w:rPr>
                <w:rFonts w:hint="eastAsia"/>
                <w:sz w:val="24"/>
              </w:rPr>
              <w:t>，</w:t>
            </w:r>
            <w:r>
              <w:rPr>
                <w:sz w:val="24"/>
              </w:rPr>
              <w:t>…</w:t>
            </w:r>
            <w:r>
              <w:rPr>
                <w:rFonts w:hint="eastAsia"/>
                <w:sz w:val="24"/>
              </w:rPr>
              <w:t>，Q</w:t>
            </w:r>
            <w:r>
              <w:rPr>
                <w:rFonts w:hint="eastAsia"/>
                <w:sz w:val="24"/>
                <w:vertAlign w:val="subscript"/>
              </w:rPr>
              <w:t>n</w:t>
            </w:r>
            <w:r>
              <w:rPr>
                <w:rFonts w:hint="eastAsia"/>
                <w:sz w:val="24"/>
              </w:rPr>
              <w:t>——每种危险物质的临界量，t。</w:t>
            </w:r>
          </w:p>
          <w:p w14:paraId="76E8CEB0">
            <w:pPr>
              <w:spacing w:line="360" w:lineRule="auto"/>
              <w:ind w:firstLine="480" w:firstLineChars="200"/>
              <w:rPr>
                <w:sz w:val="24"/>
              </w:rPr>
            </w:pPr>
            <w:r>
              <w:rPr>
                <w:rFonts w:hint="eastAsia"/>
                <w:sz w:val="24"/>
              </w:rPr>
              <w:t>当Q&lt;1时，该项目环境风险潜势为</w:t>
            </w:r>
            <w:r>
              <w:rPr>
                <w:sz w:val="24"/>
              </w:rPr>
              <w:t>Ⅰ。</w:t>
            </w:r>
          </w:p>
          <w:p w14:paraId="53348F20">
            <w:pPr>
              <w:spacing w:line="360" w:lineRule="auto"/>
              <w:ind w:firstLine="480" w:firstLineChars="200"/>
              <w:rPr>
                <w:sz w:val="24"/>
              </w:rPr>
            </w:pPr>
            <w:r>
              <w:rPr>
                <w:sz w:val="24"/>
              </w:rPr>
              <w:t>当Q≥1时，将Q值划分为：（1）1≤Q&lt;10；（2）10≤Q&lt;100；（3）Q≥100</w:t>
            </w:r>
          </w:p>
          <w:p w14:paraId="4713AAC8">
            <w:pPr>
              <w:pStyle w:val="108"/>
              <w:adjustRightInd/>
              <w:spacing w:line="360" w:lineRule="auto"/>
              <w:jc w:val="center"/>
              <w:rPr>
                <w:rFonts w:eastAsia="黑体"/>
                <w:bCs/>
                <w:color w:val="auto"/>
                <w:sz w:val="21"/>
                <w:szCs w:val="21"/>
              </w:rPr>
            </w:pPr>
            <w:r>
              <w:rPr>
                <w:rFonts w:hint="eastAsia" w:hAnsi="黑体" w:eastAsia="黑体"/>
                <w:color w:val="auto"/>
              </w:rPr>
              <w:t>表53  项目风险物质最大储存量与临界量的比值（Q）</w:t>
            </w:r>
          </w:p>
          <w:tbl>
            <w:tblPr>
              <w:tblStyle w:val="34"/>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45"/>
              <w:gridCol w:w="719"/>
              <w:gridCol w:w="1186"/>
              <w:gridCol w:w="1672"/>
              <w:gridCol w:w="1672"/>
              <w:gridCol w:w="1601"/>
            </w:tblGrid>
            <w:tr w14:paraId="259416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 w:hRule="atLeast"/>
                <w:jc w:val="center"/>
              </w:trPr>
              <w:tc>
                <w:tcPr>
                  <w:tcW w:w="1245" w:type="dxa"/>
                  <w:tcBorders>
                    <w:top w:val="single" w:color="000000" w:sz="12" w:space="0"/>
                    <w:left w:val="nil"/>
                    <w:bottom w:val="single" w:color="000000" w:sz="4" w:space="0"/>
                    <w:right w:val="single" w:color="000000" w:sz="4" w:space="0"/>
                  </w:tcBorders>
                </w:tcPr>
                <w:p w14:paraId="2BD895F1">
                  <w:pPr>
                    <w:spacing w:line="276" w:lineRule="auto"/>
                    <w:jc w:val="center"/>
                    <w:rPr>
                      <w:b/>
                      <w:szCs w:val="21"/>
                    </w:rPr>
                  </w:pPr>
                  <w:r>
                    <w:rPr>
                      <w:rFonts w:hint="eastAsia"/>
                      <w:b/>
                      <w:szCs w:val="21"/>
                    </w:rPr>
                    <w:t>序号</w:t>
                  </w:r>
                </w:p>
              </w:tc>
              <w:tc>
                <w:tcPr>
                  <w:tcW w:w="1905" w:type="dxa"/>
                  <w:gridSpan w:val="2"/>
                  <w:tcBorders>
                    <w:top w:val="single" w:color="000000" w:sz="12" w:space="0"/>
                    <w:left w:val="single" w:color="000000" w:sz="4" w:space="0"/>
                    <w:bottom w:val="single" w:color="000000" w:sz="4" w:space="0"/>
                    <w:right w:val="single" w:color="000000" w:sz="4" w:space="0"/>
                  </w:tcBorders>
                  <w:vAlign w:val="center"/>
                </w:tcPr>
                <w:p w14:paraId="276A6F48">
                  <w:pPr>
                    <w:spacing w:line="276" w:lineRule="auto"/>
                    <w:jc w:val="center"/>
                    <w:rPr>
                      <w:b/>
                      <w:szCs w:val="21"/>
                    </w:rPr>
                  </w:pPr>
                  <w:r>
                    <w:rPr>
                      <w:rFonts w:hint="eastAsia"/>
                      <w:b/>
                      <w:szCs w:val="21"/>
                    </w:rPr>
                    <w:t>风险物质名称</w:t>
                  </w:r>
                </w:p>
              </w:tc>
              <w:tc>
                <w:tcPr>
                  <w:tcW w:w="1672" w:type="dxa"/>
                  <w:tcBorders>
                    <w:top w:val="single" w:color="000000" w:sz="12" w:space="0"/>
                    <w:left w:val="single" w:color="000000" w:sz="4" w:space="0"/>
                    <w:bottom w:val="single" w:color="000000" w:sz="4" w:space="0"/>
                    <w:right w:val="single" w:color="000000" w:sz="4" w:space="0"/>
                  </w:tcBorders>
                  <w:vAlign w:val="center"/>
                </w:tcPr>
                <w:p w14:paraId="44A9A1D9">
                  <w:pPr>
                    <w:spacing w:line="276" w:lineRule="auto"/>
                    <w:jc w:val="center"/>
                    <w:rPr>
                      <w:b/>
                      <w:szCs w:val="21"/>
                    </w:rPr>
                  </w:pPr>
                  <w:r>
                    <w:rPr>
                      <w:rFonts w:hint="eastAsia"/>
                      <w:b/>
                      <w:szCs w:val="21"/>
                    </w:rPr>
                    <w:t>最大储存量（</w:t>
                  </w:r>
                  <w:r>
                    <w:rPr>
                      <w:b/>
                      <w:szCs w:val="21"/>
                    </w:rPr>
                    <w:t>t</w:t>
                  </w:r>
                  <w:r>
                    <w:rPr>
                      <w:rFonts w:hint="eastAsia"/>
                      <w:b/>
                      <w:szCs w:val="21"/>
                    </w:rPr>
                    <w:t>）</w:t>
                  </w:r>
                </w:p>
              </w:tc>
              <w:tc>
                <w:tcPr>
                  <w:tcW w:w="1672" w:type="dxa"/>
                  <w:tcBorders>
                    <w:top w:val="single" w:color="000000" w:sz="12" w:space="0"/>
                    <w:left w:val="single" w:color="000000" w:sz="4" w:space="0"/>
                    <w:bottom w:val="single" w:color="000000" w:sz="4" w:space="0"/>
                    <w:right w:val="single" w:color="000000" w:sz="4" w:space="0"/>
                  </w:tcBorders>
                  <w:vAlign w:val="center"/>
                </w:tcPr>
                <w:p w14:paraId="34D2C07E">
                  <w:pPr>
                    <w:spacing w:line="276" w:lineRule="auto"/>
                    <w:jc w:val="center"/>
                    <w:rPr>
                      <w:b/>
                      <w:szCs w:val="21"/>
                    </w:rPr>
                  </w:pPr>
                  <w:r>
                    <w:rPr>
                      <w:rFonts w:hint="eastAsia"/>
                      <w:b/>
                      <w:szCs w:val="21"/>
                    </w:rPr>
                    <w:t>临界量（</w:t>
                  </w:r>
                  <w:r>
                    <w:rPr>
                      <w:b/>
                      <w:szCs w:val="21"/>
                    </w:rPr>
                    <w:t>t</w:t>
                  </w:r>
                  <w:r>
                    <w:rPr>
                      <w:rFonts w:hint="eastAsia"/>
                      <w:b/>
                      <w:szCs w:val="21"/>
                    </w:rPr>
                    <w:t>）</w:t>
                  </w:r>
                </w:p>
              </w:tc>
              <w:tc>
                <w:tcPr>
                  <w:tcW w:w="1601" w:type="dxa"/>
                  <w:tcBorders>
                    <w:top w:val="single" w:color="000000" w:sz="12" w:space="0"/>
                    <w:left w:val="single" w:color="000000" w:sz="4" w:space="0"/>
                    <w:bottom w:val="single" w:color="000000" w:sz="4" w:space="0"/>
                    <w:right w:val="nil"/>
                  </w:tcBorders>
                  <w:vAlign w:val="center"/>
                </w:tcPr>
                <w:p w14:paraId="76EB1E38">
                  <w:pPr>
                    <w:spacing w:line="276" w:lineRule="auto"/>
                    <w:jc w:val="center"/>
                    <w:rPr>
                      <w:b/>
                      <w:szCs w:val="21"/>
                    </w:rPr>
                  </w:pPr>
                  <w:r>
                    <w:rPr>
                      <w:b/>
                      <w:szCs w:val="21"/>
                    </w:rPr>
                    <w:t>Q</w:t>
                  </w:r>
                  <w:r>
                    <w:rPr>
                      <w:rFonts w:hint="eastAsia"/>
                      <w:b/>
                      <w:szCs w:val="21"/>
                    </w:rPr>
                    <w:t>值</w:t>
                  </w:r>
                </w:p>
              </w:tc>
            </w:tr>
            <w:tr w14:paraId="52B90F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vMerge w:val="restart"/>
                  <w:tcBorders>
                    <w:top w:val="single" w:color="000000" w:sz="4" w:space="0"/>
                    <w:left w:val="nil"/>
                    <w:right w:val="single" w:color="000000" w:sz="4" w:space="0"/>
                  </w:tcBorders>
                  <w:vAlign w:val="center"/>
                </w:tcPr>
                <w:p w14:paraId="3BE53895">
                  <w:pPr>
                    <w:spacing w:line="276" w:lineRule="auto"/>
                    <w:jc w:val="center"/>
                    <w:rPr>
                      <w:szCs w:val="21"/>
                    </w:rPr>
                  </w:pPr>
                  <w:r>
                    <w:rPr>
                      <w:szCs w:val="21"/>
                    </w:rPr>
                    <w:t>1</w:t>
                  </w:r>
                </w:p>
              </w:tc>
              <w:tc>
                <w:tcPr>
                  <w:tcW w:w="719" w:type="dxa"/>
                  <w:vMerge w:val="restart"/>
                  <w:tcBorders>
                    <w:top w:val="single" w:color="000000" w:sz="4" w:space="0"/>
                    <w:left w:val="single" w:color="000000" w:sz="4" w:space="0"/>
                    <w:right w:val="single" w:color="000000" w:sz="4" w:space="0"/>
                  </w:tcBorders>
                  <w:vAlign w:val="center"/>
                </w:tcPr>
                <w:p w14:paraId="6AAD661C">
                  <w:pPr>
                    <w:spacing w:line="276" w:lineRule="auto"/>
                    <w:jc w:val="center"/>
                    <w:rPr>
                      <w:szCs w:val="21"/>
                    </w:rPr>
                  </w:pPr>
                  <w:r>
                    <w:rPr>
                      <w:szCs w:val="21"/>
                    </w:rPr>
                    <w:t>危险废物</w:t>
                  </w:r>
                </w:p>
              </w:tc>
              <w:tc>
                <w:tcPr>
                  <w:tcW w:w="1186" w:type="dxa"/>
                  <w:tcBorders>
                    <w:top w:val="single" w:color="000000" w:sz="4" w:space="0"/>
                    <w:left w:val="single" w:color="000000" w:sz="4" w:space="0"/>
                    <w:bottom w:val="single" w:color="000000" w:sz="4" w:space="0"/>
                    <w:right w:val="single" w:color="000000" w:sz="4" w:space="0"/>
                  </w:tcBorders>
                  <w:vAlign w:val="center"/>
                </w:tcPr>
                <w:p w14:paraId="609D94C3">
                  <w:pPr>
                    <w:spacing w:line="276" w:lineRule="auto"/>
                    <w:jc w:val="center"/>
                    <w:rPr>
                      <w:szCs w:val="21"/>
                    </w:rPr>
                  </w:pPr>
                  <w:r>
                    <w:rPr>
                      <w:rFonts w:hint="eastAsia"/>
                      <w:szCs w:val="21"/>
                    </w:rPr>
                    <w:t>不合格品</w:t>
                  </w:r>
                </w:p>
              </w:tc>
              <w:tc>
                <w:tcPr>
                  <w:tcW w:w="1672" w:type="dxa"/>
                  <w:tcBorders>
                    <w:top w:val="single" w:color="000000" w:sz="4" w:space="0"/>
                    <w:left w:val="single" w:color="000000" w:sz="4" w:space="0"/>
                    <w:bottom w:val="single" w:color="000000" w:sz="4" w:space="0"/>
                    <w:right w:val="single" w:color="000000" w:sz="4" w:space="0"/>
                  </w:tcBorders>
                  <w:vAlign w:val="center"/>
                </w:tcPr>
                <w:p w14:paraId="673747CC">
                  <w:pPr>
                    <w:spacing w:line="276" w:lineRule="auto"/>
                    <w:jc w:val="center"/>
                    <w:rPr>
                      <w:szCs w:val="21"/>
                    </w:rPr>
                  </w:pPr>
                  <w:r>
                    <w:rPr>
                      <w:rFonts w:hint="eastAsia"/>
                      <w:szCs w:val="21"/>
                    </w:rPr>
                    <w:t>0</w:t>
                  </w:r>
                  <w:r>
                    <w:rPr>
                      <w:szCs w:val="21"/>
                    </w:rPr>
                    <w:t>.8</w:t>
                  </w:r>
                </w:p>
              </w:tc>
              <w:tc>
                <w:tcPr>
                  <w:tcW w:w="1672" w:type="dxa"/>
                  <w:tcBorders>
                    <w:top w:val="single" w:color="000000" w:sz="4" w:space="0"/>
                    <w:left w:val="single" w:color="000000" w:sz="4" w:space="0"/>
                    <w:bottom w:val="single" w:color="000000" w:sz="4" w:space="0"/>
                    <w:right w:val="single" w:color="000000" w:sz="4" w:space="0"/>
                  </w:tcBorders>
                  <w:vAlign w:val="center"/>
                </w:tcPr>
                <w:p w14:paraId="5351EC27">
                  <w:pPr>
                    <w:spacing w:line="276" w:lineRule="auto"/>
                    <w:jc w:val="center"/>
                    <w:rPr>
                      <w:szCs w:val="21"/>
                    </w:rPr>
                  </w:pPr>
                  <w:r>
                    <w:rPr>
                      <w:rFonts w:hint="eastAsia"/>
                      <w:szCs w:val="21"/>
                    </w:rPr>
                    <w:t>1</w:t>
                  </w:r>
                  <w:r>
                    <w:rPr>
                      <w:szCs w:val="21"/>
                    </w:rPr>
                    <w:t>0</w:t>
                  </w:r>
                </w:p>
              </w:tc>
              <w:tc>
                <w:tcPr>
                  <w:tcW w:w="1601" w:type="dxa"/>
                  <w:tcBorders>
                    <w:top w:val="single" w:color="000000" w:sz="4" w:space="0"/>
                    <w:left w:val="single" w:color="000000" w:sz="4" w:space="0"/>
                    <w:bottom w:val="single" w:color="000000" w:sz="4" w:space="0"/>
                    <w:right w:val="nil"/>
                  </w:tcBorders>
                  <w:vAlign w:val="center"/>
                </w:tcPr>
                <w:p w14:paraId="4121A135">
                  <w:pPr>
                    <w:spacing w:line="276" w:lineRule="auto"/>
                    <w:jc w:val="center"/>
                    <w:rPr>
                      <w:szCs w:val="21"/>
                    </w:rPr>
                  </w:pPr>
                  <w:r>
                    <w:rPr>
                      <w:rFonts w:hint="eastAsia"/>
                      <w:szCs w:val="21"/>
                    </w:rPr>
                    <w:t>0</w:t>
                  </w:r>
                  <w:r>
                    <w:rPr>
                      <w:szCs w:val="21"/>
                    </w:rPr>
                    <w:t>.08</w:t>
                  </w:r>
                </w:p>
              </w:tc>
            </w:tr>
            <w:tr w14:paraId="4B6354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vMerge w:val="continue"/>
                  <w:tcBorders>
                    <w:left w:val="nil"/>
                    <w:right w:val="single" w:color="000000" w:sz="4" w:space="0"/>
                  </w:tcBorders>
                  <w:vAlign w:val="center"/>
                </w:tcPr>
                <w:p w14:paraId="6F470841">
                  <w:pPr>
                    <w:spacing w:line="276" w:lineRule="auto"/>
                    <w:jc w:val="center"/>
                    <w:rPr>
                      <w:szCs w:val="21"/>
                    </w:rPr>
                  </w:pPr>
                </w:p>
              </w:tc>
              <w:tc>
                <w:tcPr>
                  <w:tcW w:w="719" w:type="dxa"/>
                  <w:vMerge w:val="continue"/>
                  <w:tcBorders>
                    <w:left w:val="single" w:color="000000" w:sz="4" w:space="0"/>
                    <w:right w:val="single" w:color="000000" w:sz="4" w:space="0"/>
                  </w:tcBorders>
                  <w:vAlign w:val="center"/>
                </w:tcPr>
                <w:p w14:paraId="20DFF735">
                  <w:pPr>
                    <w:spacing w:line="276" w:lineRule="auto"/>
                    <w:jc w:val="center"/>
                    <w:rPr>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45994169">
                  <w:pPr>
                    <w:spacing w:line="276" w:lineRule="auto"/>
                    <w:jc w:val="center"/>
                    <w:rPr>
                      <w:szCs w:val="21"/>
                    </w:rPr>
                  </w:pPr>
                  <w:r>
                    <w:rPr>
                      <w:rFonts w:hint="eastAsia"/>
                      <w:szCs w:val="21"/>
                    </w:rPr>
                    <w:t>离心废液</w:t>
                  </w:r>
                </w:p>
              </w:tc>
              <w:tc>
                <w:tcPr>
                  <w:tcW w:w="1672" w:type="dxa"/>
                  <w:tcBorders>
                    <w:top w:val="single" w:color="000000" w:sz="4" w:space="0"/>
                    <w:left w:val="single" w:color="000000" w:sz="4" w:space="0"/>
                    <w:bottom w:val="single" w:color="000000" w:sz="4" w:space="0"/>
                    <w:right w:val="single" w:color="000000" w:sz="4" w:space="0"/>
                  </w:tcBorders>
                  <w:vAlign w:val="center"/>
                </w:tcPr>
                <w:p w14:paraId="3C16A6D4">
                  <w:pPr>
                    <w:spacing w:line="276" w:lineRule="auto"/>
                    <w:jc w:val="center"/>
                    <w:rPr>
                      <w:szCs w:val="21"/>
                    </w:rPr>
                  </w:pPr>
                  <w:r>
                    <w:rPr>
                      <w:rFonts w:hint="eastAsia"/>
                      <w:szCs w:val="21"/>
                    </w:rPr>
                    <w:t>0</w:t>
                  </w:r>
                  <w:r>
                    <w:rPr>
                      <w:szCs w:val="21"/>
                    </w:rPr>
                    <w:t>.025</w:t>
                  </w:r>
                </w:p>
              </w:tc>
              <w:tc>
                <w:tcPr>
                  <w:tcW w:w="1672" w:type="dxa"/>
                  <w:tcBorders>
                    <w:top w:val="single" w:color="000000" w:sz="4" w:space="0"/>
                    <w:left w:val="single" w:color="000000" w:sz="4" w:space="0"/>
                    <w:bottom w:val="single" w:color="000000" w:sz="4" w:space="0"/>
                    <w:right w:val="single" w:color="000000" w:sz="4" w:space="0"/>
                  </w:tcBorders>
                  <w:vAlign w:val="center"/>
                </w:tcPr>
                <w:p w14:paraId="0E99BC98">
                  <w:pPr>
                    <w:spacing w:line="276" w:lineRule="auto"/>
                    <w:jc w:val="center"/>
                    <w:rPr>
                      <w:szCs w:val="21"/>
                    </w:rPr>
                  </w:pPr>
                  <w:r>
                    <w:rPr>
                      <w:rFonts w:hint="eastAsia"/>
                      <w:szCs w:val="21"/>
                    </w:rPr>
                    <w:t>1</w:t>
                  </w:r>
                  <w:r>
                    <w:rPr>
                      <w:szCs w:val="21"/>
                    </w:rPr>
                    <w:t>0</w:t>
                  </w:r>
                </w:p>
              </w:tc>
              <w:tc>
                <w:tcPr>
                  <w:tcW w:w="1601" w:type="dxa"/>
                  <w:tcBorders>
                    <w:top w:val="single" w:color="000000" w:sz="4" w:space="0"/>
                    <w:left w:val="single" w:color="000000" w:sz="4" w:space="0"/>
                    <w:bottom w:val="single" w:color="000000" w:sz="4" w:space="0"/>
                    <w:right w:val="nil"/>
                  </w:tcBorders>
                  <w:vAlign w:val="center"/>
                </w:tcPr>
                <w:p w14:paraId="55C1C9EB">
                  <w:pPr>
                    <w:spacing w:line="276" w:lineRule="auto"/>
                    <w:jc w:val="center"/>
                    <w:rPr>
                      <w:szCs w:val="21"/>
                    </w:rPr>
                  </w:pPr>
                  <w:r>
                    <w:rPr>
                      <w:rFonts w:hint="eastAsia"/>
                      <w:szCs w:val="21"/>
                    </w:rPr>
                    <w:t>0</w:t>
                  </w:r>
                  <w:r>
                    <w:rPr>
                      <w:szCs w:val="21"/>
                    </w:rPr>
                    <w:t>.0025</w:t>
                  </w:r>
                </w:p>
              </w:tc>
            </w:tr>
            <w:tr w14:paraId="256C05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vMerge w:val="continue"/>
                  <w:tcBorders>
                    <w:left w:val="nil"/>
                    <w:right w:val="single" w:color="000000" w:sz="4" w:space="0"/>
                  </w:tcBorders>
                  <w:vAlign w:val="center"/>
                </w:tcPr>
                <w:p w14:paraId="69548B27">
                  <w:pPr>
                    <w:spacing w:line="276" w:lineRule="auto"/>
                    <w:jc w:val="center"/>
                    <w:rPr>
                      <w:szCs w:val="21"/>
                    </w:rPr>
                  </w:pPr>
                </w:p>
              </w:tc>
              <w:tc>
                <w:tcPr>
                  <w:tcW w:w="719" w:type="dxa"/>
                  <w:vMerge w:val="continue"/>
                  <w:tcBorders>
                    <w:left w:val="single" w:color="000000" w:sz="4" w:space="0"/>
                    <w:right w:val="single" w:color="000000" w:sz="4" w:space="0"/>
                  </w:tcBorders>
                  <w:vAlign w:val="center"/>
                </w:tcPr>
                <w:p w14:paraId="12D7B18C">
                  <w:pPr>
                    <w:spacing w:line="276" w:lineRule="auto"/>
                    <w:jc w:val="center"/>
                    <w:rPr>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1DE01BDE">
                  <w:pPr>
                    <w:spacing w:line="276" w:lineRule="auto"/>
                    <w:jc w:val="center"/>
                    <w:rPr>
                      <w:szCs w:val="21"/>
                    </w:rPr>
                  </w:pPr>
                  <w:r>
                    <w:rPr>
                      <w:rFonts w:hint="eastAsia"/>
                      <w:szCs w:val="21"/>
                    </w:rPr>
                    <w:t>清洗废液</w:t>
                  </w:r>
                </w:p>
              </w:tc>
              <w:tc>
                <w:tcPr>
                  <w:tcW w:w="1672" w:type="dxa"/>
                  <w:tcBorders>
                    <w:top w:val="single" w:color="000000" w:sz="4" w:space="0"/>
                    <w:left w:val="single" w:color="000000" w:sz="4" w:space="0"/>
                    <w:bottom w:val="single" w:color="000000" w:sz="4" w:space="0"/>
                    <w:right w:val="single" w:color="000000" w:sz="4" w:space="0"/>
                  </w:tcBorders>
                  <w:vAlign w:val="center"/>
                </w:tcPr>
                <w:p w14:paraId="5E9DBA14">
                  <w:pPr>
                    <w:spacing w:line="276" w:lineRule="auto"/>
                    <w:jc w:val="center"/>
                    <w:rPr>
                      <w:szCs w:val="21"/>
                    </w:rPr>
                  </w:pPr>
                  <w:r>
                    <w:rPr>
                      <w:rFonts w:hint="eastAsia"/>
                      <w:szCs w:val="21"/>
                    </w:rPr>
                    <w:t>0</w:t>
                  </w:r>
                  <w:r>
                    <w:rPr>
                      <w:szCs w:val="21"/>
                    </w:rPr>
                    <w:t>.24</w:t>
                  </w:r>
                </w:p>
              </w:tc>
              <w:tc>
                <w:tcPr>
                  <w:tcW w:w="1672" w:type="dxa"/>
                  <w:tcBorders>
                    <w:top w:val="single" w:color="000000" w:sz="4" w:space="0"/>
                    <w:left w:val="single" w:color="000000" w:sz="4" w:space="0"/>
                    <w:bottom w:val="single" w:color="000000" w:sz="4" w:space="0"/>
                    <w:right w:val="single" w:color="000000" w:sz="4" w:space="0"/>
                  </w:tcBorders>
                  <w:vAlign w:val="center"/>
                </w:tcPr>
                <w:p w14:paraId="41EC802D">
                  <w:pPr>
                    <w:spacing w:line="276" w:lineRule="auto"/>
                    <w:jc w:val="center"/>
                    <w:rPr>
                      <w:szCs w:val="21"/>
                    </w:rPr>
                  </w:pPr>
                  <w:r>
                    <w:rPr>
                      <w:rFonts w:hint="eastAsia"/>
                      <w:szCs w:val="21"/>
                    </w:rPr>
                    <w:t>1</w:t>
                  </w:r>
                  <w:r>
                    <w:rPr>
                      <w:szCs w:val="21"/>
                    </w:rPr>
                    <w:t>0</w:t>
                  </w:r>
                </w:p>
              </w:tc>
              <w:tc>
                <w:tcPr>
                  <w:tcW w:w="1601" w:type="dxa"/>
                  <w:tcBorders>
                    <w:top w:val="single" w:color="000000" w:sz="4" w:space="0"/>
                    <w:left w:val="single" w:color="000000" w:sz="4" w:space="0"/>
                    <w:bottom w:val="single" w:color="000000" w:sz="4" w:space="0"/>
                    <w:right w:val="nil"/>
                  </w:tcBorders>
                  <w:vAlign w:val="center"/>
                </w:tcPr>
                <w:p w14:paraId="1456FCC6">
                  <w:pPr>
                    <w:spacing w:line="276" w:lineRule="auto"/>
                    <w:jc w:val="center"/>
                    <w:rPr>
                      <w:szCs w:val="21"/>
                    </w:rPr>
                  </w:pPr>
                  <w:r>
                    <w:rPr>
                      <w:rFonts w:hint="eastAsia"/>
                      <w:szCs w:val="21"/>
                    </w:rPr>
                    <w:t>0</w:t>
                  </w:r>
                  <w:r>
                    <w:rPr>
                      <w:szCs w:val="21"/>
                    </w:rPr>
                    <w:t>.024</w:t>
                  </w:r>
                </w:p>
              </w:tc>
            </w:tr>
            <w:tr w14:paraId="283256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vMerge w:val="continue"/>
                  <w:tcBorders>
                    <w:left w:val="nil"/>
                    <w:right w:val="single" w:color="000000" w:sz="4" w:space="0"/>
                  </w:tcBorders>
                  <w:vAlign w:val="center"/>
                </w:tcPr>
                <w:p w14:paraId="03956D65">
                  <w:pPr>
                    <w:spacing w:line="276" w:lineRule="auto"/>
                    <w:jc w:val="center"/>
                    <w:rPr>
                      <w:szCs w:val="21"/>
                    </w:rPr>
                  </w:pPr>
                </w:p>
              </w:tc>
              <w:tc>
                <w:tcPr>
                  <w:tcW w:w="719" w:type="dxa"/>
                  <w:vMerge w:val="continue"/>
                  <w:tcBorders>
                    <w:left w:val="single" w:color="000000" w:sz="4" w:space="0"/>
                    <w:right w:val="single" w:color="000000" w:sz="4" w:space="0"/>
                  </w:tcBorders>
                  <w:vAlign w:val="center"/>
                </w:tcPr>
                <w:p w14:paraId="4D03DCEB">
                  <w:pPr>
                    <w:spacing w:line="276" w:lineRule="auto"/>
                    <w:jc w:val="center"/>
                    <w:rPr>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1276B9BF">
                  <w:pPr>
                    <w:spacing w:line="276" w:lineRule="auto"/>
                    <w:jc w:val="center"/>
                    <w:rPr>
                      <w:szCs w:val="21"/>
                    </w:rPr>
                  </w:pPr>
                  <w:r>
                    <w:rPr>
                      <w:rFonts w:hint="eastAsia"/>
                      <w:szCs w:val="21"/>
                    </w:rPr>
                    <w:t>废活性炭</w:t>
                  </w:r>
                </w:p>
              </w:tc>
              <w:tc>
                <w:tcPr>
                  <w:tcW w:w="1672" w:type="dxa"/>
                  <w:tcBorders>
                    <w:top w:val="single" w:color="000000" w:sz="4" w:space="0"/>
                    <w:left w:val="single" w:color="000000" w:sz="4" w:space="0"/>
                    <w:bottom w:val="single" w:color="000000" w:sz="4" w:space="0"/>
                    <w:right w:val="single" w:color="000000" w:sz="4" w:space="0"/>
                  </w:tcBorders>
                  <w:vAlign w:val="center"/>
                </w:tcPr>
                <w:p w14:paraId="29B2F75C">
                  <w:pPr>
                    <w:spacing w:line="276" w:lineRule="auto"/>
                    <w:jc w:val="center"/>
                    <w:rPr>
                      <w:szCs w:val="21"/>
                    </w:rPr>
                  </w:pPr>
                  <w:r>
                    <w:rPr>
                      <w:rFonts w:hint="eastAsia"/>
                      <w:szCs w:val="21"/>
                    </w:rPr>
                    <w:t>0.296</w:t>
                  </w:r>
                </w:p>
              </w:tc>
              <w:tc>
                <w:tcPr>
                  <w:tcW w:w="1672" w:type="dxa"/>
                  <w:tcBorders>
                    <w:top w:val="single" w:color="000000" w:sz="4" w:space="0"/>
                    <w:left w:val="single" w:color="000000" w:sz="4" w:space="0"/>
                    <w:bottom w:val="single" w:color="000000" w:sz="4" w:space="0"/>
                    <w:right w:val="single" w:color="000000" w:sz="4" w:space="0"/>
                  </w:tcBorders>
                  <w:vAlign w:val="center"/>
                </w:tcPr>
                <w:p w14:paraId="4554CF85">
                  <w:pPr>
                    <w:spacing w:line="276" w:lineRule="auto"/>
                    <w:jc w:val="center"/>
                    <w:rPr>
                      <w:szCs w:val="21"/>
                    </w:rPr>
                  </w:pPr>
                  <w:r>
                    <w:rPr>
                      <w:rFonts w:hint="eastAsia"/>
                      <w:szCs w:val="21"/>
                    </w:rPr>
                    <w:t>100</w:t>
                  </w:r>
                </w:p>
              </w:tc>
              <w:tc>
                <w:tcPr>
                  <w:tcW w:w="1601" w:type="dxa"/>
                  <w:tcBorders>
                    <w:top w:val="single" w:color="000000" w:sz="4" w:space="0"/>
                    <w:left w:val="single" w:color="000000" w:sz="4" w:space="0"/>
                    <w:bottom w:val="single" w:color="000000" w:sz="4" w:space="0"/>
                    <w:right w:val="nil"/>
                  </w:tcBorders>
                  <w:vAlign w:val="center"/>
                </w:tcPr>
                <w:p w14:paraId="026B19A6">
                  <w:pPr>
                    <w:spacing w:line="276" w:lineRule="auto"/>
                    <w:jc w:val="center"/>
                    <w:rPr>
                      <w:szCs w:val="21"/>
                    </w:rPr>
                  </w:pPr>
                  <w:r>
                    <w:rPr>
                      <w:rFonts w:hint="eastAsia"/>
                      <w:szCs w:val="21"/>
                    </w:rPr>
                    <w:t>0.00296</w:t>
                  </w:r>
                </w:p>
              </w:tc>
            </w:tr>
            <w:tr w14:paraId="55D6C3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vMerge w:val="continue"/>
                  <w:tcBorders>
                    <w:left w:val="nil"/>
                    <w:bottom w:val="single" w:color="000000" w:sz="4" w:space="0"/>
                    <w:right w:val="single" w:color="000000" w:sz="4" w:space="0"/>
                  </w:tcBorders>
                  <w:vAlign w:val="center"/>
                </w:tcPr>
                <w:p w14:paraId="2E30EF90">
                  <w:pPr>
                    <w:spacing w:line="276" w:lineRule="auto"/>
                    <w:jc w:val="center"/>
                    <w:rPr>
                      <w:szCs w:val="21"/>
                    </w:rPr>
                  </w:pPr>
                </w:p>
              </w:tc>
              <w:tc>
                <w:tcPr>
                  <w:tcW w:w="719" w:type="dxa"/>
                  <w:vMerge w:val="continue"/>
                  <w:tcBorders>
                    <w:left w:val="single" w:color="000000" w:sz="4" w:space="0"/>
                    <w:bottom w:val="single" w:color="000000" w:sz="4" w:space="0"/>
                    <w:right w:val="single" w:color="000000" w:sz="4" w:space="0"/>
                  </w:tcBorders>
                  <w:vAlign w:val="center"/>
                </w:tcPr>
                <w:p w14:paraId="16B7A14F">
                  <w:pPr>
                    <w:spacing w:line="276" w:lineRule="auto"/>
                    <w:jc w:val="center"/>
                    <w:rPr>
                      <w:szCs w:val="21"/>
                    </w:rPr>
                  </w:pPr>
                </w:p>
              </w:tc>
              <w:tc>
                <w:tcPr>
                  <w:tcW w:w="1186" w:type="dxa"/>
                  <w:tcBorders>
                    <w:top w:val="single" w:color="000000" w:sz="4" w:space="0"/>
                    <w:left w:val="single" w:color="000000" w:sz="4" w:space="0"/>
                    <w:bottom w:val="single" w:color="000000" w:sz="4" w:space="0"/>
                    <w:right w:val="single" w:color="000000" w:sz="4" w:space="0"/>
                  </w:tcBorders>
                  <w:vAlign w:val="center"/>
                </w:tcPr>
                <w:p w14:paraId="74EFC72E">
                  <w:pPr>
                    <w:spacing w:line="276" w:lineRule="auto"/>
                    <w:jc w:val="center"/>
                    <w:rPr>
                      <w:szCs w:val="21"/>
                    </w:rPr>
                  </w:pPr>
                  <w:r>
                    <w:rPr>
                      <w:rFonts w:hint="eastAsia"/>
                      <w:szCs w:val="21"/>
                    </w:rPr>
                    <w:t>废包装桶</w:t>
                  </w:r>
                </w:p>
              </w:tc>
              <w:tc>
                <w:tcPr>
                  <w:tcW w:w="1672" w:type="dxa"/>
                  <w:tcBorders>
                    <w:top w:val="single" w:color="000000" w:sz="4" w:space="0"/>
                    <w:left w:val="single" w:color="000000" w:sz="4" w:space="0"/>
                    <w:bottom w:val="single" w:color="000000" w:sz="4" w:space="0"/>
                    <w:right w:val="single" w:color="000000" w:sz="4" w:space="0"/>
                  </w:tcBorders>
                  <w:vAlign w:val="center"/>
                </w:tcPr>
                <w:p w14:paraId="19BE8B84">
                  <w:pPr>
                    <w:spacing w:line="276" w:lineRule="auto"/>
                    <w:jc w:val="center"/>
                    <w:rPr>
                      <w:szCs w:val="21"/>
                    </w:rPr>
                  </w:pPr>
                  <w:r>
                    <w:rPr>
                      <w:rFonts w:hint="eastAsia"/>
                      <w:szCs w:val="21"/>
                    </w:rPr>
                    <w:t>0.16</w:t>
                  </w:r>
                </w:p>
              </w:tc>
              <w:tc>
                <w:tcPr>
                  <w:tcW w:w="1672" w:type="dxa"/>
                  <w:tcBorders>
                    <w:top w:val="single" w:color="000000" w:sz="4" w:space="0"/>
                    <w:left w:val="single" w:color="000000" w:sz="4" w:space="0"/>
                    <w:bottom w:val="single" w:color="000000" w:sz="4" w:space="0"/>
                    <w:right w:val="single" w:color="000000" w:sz="4" w:space="0"/>
                  </w:tcBorders>
                  <w:vAlign w:val="center"/>
                </w:tcPr>
                <w:p w14:paraId="0C9B6825">
                  <w:pPr>
                    <w:spacing w:line="276" w:lineRule="auto"/>
                    <w:jc w:val="center"/>
                    <w:rPr>
                      <w:szCs w:val="21"/>
                    </w:rPr>
                  </w:pPr>
                  <w:r>
                    <w:rPr>
                      <w:rFonts w:hint="eastAsia"/>
                      <w:szCs w:val="21"/>
                    </w:rPr>
                    <w:t>100</w:t>
                  </w:r>
                </w:p>
              </w:tc>
              <w:tc>
                <w:tcPr>
                  <w:tcW w:w="1601" w:type="dxa"/>
                  <w:tcBorders>
                    <w:top w:val="single" w:color="000000" w:sz="4" w:space="0"/>
                    <w:left w:val="single" w:color="000000" w:sz="4" w:space="0"/>
                    <w:bottom w:val="single" w:color="000000" w:sz="4" w:space="0"/>
                    <w:right w:val="nil"/>
                  </w:tcBorders>
                  <w:vAlign w:val="center"/>
                </w:tcPr>
                <w:p w14:paraId="5F6974BE">
                  <w:pPr>
                    <w:spacing w:line="276" w:lineRule="auto"/>
                    <w:jc w:val="center"/>
                    <w:rPr>
                      <w:szCs w:val="21"/>
                    </w:rPr>
                  </w:pPr>
                  <w:r>
                    <w:rPr>
                      <w:rFonts w:hint="eastAsia"/>
                      <w:szCs w:val="21"/>
                    </w:rPr>
                    <w:t>0.0016</w:t>
                  </w:r>
                </w:p>
              </w:tc>
            </w:tr>
            <w:tr w14:paraId="7B6E02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tcBorders>
                    <w:top w:val="single" w:color="000000" w:sz="4" w:space="0"/>
                    <w:left w:val="nil"/>
                    <w:bottom w:val="single" w:color="000000" w:sz="4" w:space="0"/>
                    <w:right w:val="single" w:color="000000" w:sz="4" w:space="0"/>
                  </w:tcBorders>
                </w:tcPr>
                <w:p w14:paraId="2383A6CC">
                  <w:pPr>
                    <w:spacing w:line="276" w:lineRule="auto"/>
                    <w:jc w:val="center"/>
                    <w:rPr>
                      <w:szCs w:val="21"/>
                    </w:rPr>
                  </w:pPr>
                  <w:r>
                    <w:rPr>
                      <w:szCs w:val="21"/>
                    </w:rPr>
                    <w:t>2</w:t>
                  </w:r>
                </w:p>
              </w:tc>
              <w:tc>
                <w:tcPr>
                  <w:tcW w:w="1905" w:type="dxa"/>
                  <w:gridSpan w:val="2"/>
                  <w:tcBorders>
                    <w:top w:val="single" w:color="000000" w:sz="4" w:space="0"/>
                    <w:left w:val="single" w:color="000000" w:sz="4" w:space="0"/>
                    <w:bottom w:val="single" w:color="000000" w:sz="4" w:space="0"/>
                    <w:right w:val="single" w:color="000000" w:sz="4" w:space="0"/>
                  </w:tcBorders>
                  <w:vAlign w:val="center"/>
                </w:tcPr>
                <w:p w14:paraId="54E08E46">
                  <w:pPr>
                    <w:spacing w:line="276" w:lineRule="auto"/>
                    <w:jc w:val="center"/>
                    <w:rPr>
                      <w:szCs w:val="21"/>
                    </w:rPr>
                  </w:pPr>
                  <w:r>
                    <w:rPr>
                      <w:szCs w:val="21"/>
                    </w:rPr>
                    <w:t>邻苯二甲酸二甲酯</w:t>
                  </w:r>
                </w:p>
              </w:tc>
              <w:tc>
                <w:tcPr>
                  <w:tcW w:w="1672" w:type="dxa"/>
                  <w:tcBorders>
                    <w:top w:val="single" w:color="000000" w:sz="4" w:space="0"/>
                    <w:left w:val="single" w:color="000000" w:sz="4" w:space="0"/>
                    <w:bottom w:val="single" w:color="000000" w:sz="4" w:space="0"/>
                    <w:right w:val="single" w:color="000000" w:sz="4" w:space="0"/>
                  </w:tcBorders>
                  <w:vAlign w:val="center"/>
                </w:tcPr>
                <w:p w14:paraId="6C0D0AF7">
                  <w:pPr>
                    <w:spacing w:line="276" w:lineRule="auto"/>
                    <w:jc w:val="center"/>
                    <w:rPr>
                      <w:szCs w:val="21"/>
                    </w:rPr>
                  </w:pPr>
                  <w:r>
                    <w:rPr>
                      <w:rFonts w:hint="eastAsia"/>
                      <w:szCs w:val="21"/>
                    </w:rPr>
                    <w:t>4</w:t>
                  </w:r>
                  <w:r>
                    <w:rPr>
                      <w:szCs w:val="21"/>
                    </w:rPr>
                    <w:t>.6</w:t>
                  </w:r>
                </w:p>
              </w:tc>
              <w:tc>
                <w:tcPr>
                  <w:tcW w:w="1672" w:type="dxa"/>
                  <w:tcBorders>
                    <w:top w:val="single" w:color="000000" w:sz="4" w:space="0"/>
                    <w:left w:val="single" w:color="000000" w:sz="4" w:space="0"/>
                    <w:bottom w:val="single" w:color="000000" w:sz="4" w:space="0"/>
                    <w:right w:val="single" w:color="000000" w:sz="4" w:space="0"/>
                  </w:tcBorders>
                  <w:vAlign w:val="center"/>
                </w:tcPr>
                <w:p w14:paraId="3CF7173B">
                  <w:pPr>
                    <w:spacing w:line="276" w:lineRule="auto"/>
                    <w:jc w:val="center"/>
                    <w:rPr>
                      <w:szCs w:val="21"/>
                    </w:rPr>
                  </w:pPr>
                  <w:r>
                    <w:rPr>
                      <w:rFonts w:hint="eastAsia"/>
                      <w:szCs w:val="21"/>
                    </w:rPr>
                    <w:t>10</w:t>
                  </w:r>
                </w:p>
              </w:tc>
              <w:tc>
                <w:tcPr>
                  <w:tcW w:w="1601" w:type="dxa"/>
                  <w:tcBorders>
                    <w:top w:val="single" w:color="000000" w:sz="4" w:space="0"/>
                    <w:left w:val="single" w:color="000000" w:sz="4" w:space="0"/>
                    <w:bottom w:val="single" w:color="000000" w:sz="4" w:space="0"/>
                    <w:right w:val="nil"/>
                  </w:tcBorders>
                  <w:vAlign w:val="center"/>
                </w:tcPr>
                <w:p w14:paraId="2302068E">
                  <w:pPr>
                    <w:spacing w:line="276" w:lineRule="auto"/>
                    <w:jc w:val="center"/>
                    <w:rPr>
                      <w:szCs w:val="21"/>
                    </w:rPr>
                  </w:pPr>
                  <w:r>
                    <w:rPr>
                      <w:rFonts w:hint="eastAsia"/>
                      <w:szCs w:val="21"/>
                    </w:rPr>
                    <w:t>0</w:t>
                  </w:r>
                  <w:r>
                    <w:rPr>
                      <w:szCs w:val="21"/>
                    </w:rPr>
                    <w:t>.46</w:t>
                  </w:r>
                </w:p>
              </w:tc>
            </w:tr>
            <w:tr w14:paraId="6B51DD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tcBorders>
                    <w:top w:val="single" w:color="000000" w:sz="4" w:space="0"/>
                    <w:left w:val="nil"/>
                    <w:bottom w:val="single" w:color="000000" w:sz="4" w:space="0"/>
                    <w:right w:val="single" w:color="000000" w:sz="4" w:space="0"/>
                  </w:tcBorders>
                </w:tcPr>
                <w:p w14:paraId="361856AC">
                  <w:pPr>
                    <w:spacing w:line="276" w:lineRule="auto"/>
                    <w:jc w:val="center"/>
                    <w:rPr>
                      <w:szCs w:val="21"/>
                    </w:rPr>
                  </w:pPr>
                  <w:r>
                    <w:rPr>
                      <w:rFonts w:hint="eastAsia"/>
                      <w:szCs w:val="21"/>
                    </w:rPr>
                    <w:t>3</w:t>
                  </w:r>
                </w:p>
              </w:tc>
              <w:tc>
                <w:tcPr>
                  <w:tcW w:w="1905" w:type="dxa"/>
                  <w:gridSpan w:val="2"/>
                  <w:tcBorders>
                    <w:top w:val="single" w:color="000000" w:sz="4" w:space="0"/>
                    <w:left w:val="single" w:color="000000" w:sz="4" w:space="0"/>
                    <w:bottom w:val="single" w:color="000000" w:sz="4" w:space="0"/>
                    <w:right w:val="single" w:color="000000" w:sz="4" w:space="0"/>
                  </w:tcBorders>
                  <w:vAlign w:val="center"/>
                </w:tcPr>
                <w:p w14:paraId="30D6B54C">
                  <w:pPr>
                    <w:spacing w:line="276" w:lineRule="auto"/>
                    <w:jc w:val="center"/>
                    <w:rPr>
                      <w:szCs w:val="21"/>
                    </w:rPr>
                  </w:pPr>
                  <w:r>
                    <w:rPr>
                      <w:szCs w:val="21"/>
                    </w:rPr>
                    <w:t>双草酸酯</w:t>
                  </w:r>
                </w:p>
              </w:tc>
              <w:tc>
                <w:tcPr>
                  <w:tcW w:w="1672" w:type="dxa"/>
                  <w:tcBorders>
                    <w:top w:val="single" w:color="000000" w:sz="4" w:space="0"/>
                    <w:left w:val="single" w:color="000000" w:sz="4" w:space="0"/>
                    <w:bottom w:val="single" w:color="000000" w:sz="4" w:space="0"/>
                    <w:right w:val="single" w:color="000000" w:sz="4" w:space="0"/>
                  </w:tcBorders>
                  <w:vAlign w:val="center"/>
                </w:tcPr>
                <w:p w14:paraId="29A685DB">
                  <w:pPr>
                    <w:spacing w:line="276" w:lineRule="auto"/>
                    <w:jc w:val="center"/>
                    <w:rPr>
                      <w:szCs w:val="21"/>
                    </w:rPr>
                  </w:pPr>
                  <w:r>
                    <w:rPr>
                      <w:rFonts w:hint="eastAsia"/>
                      <w:szCs w:val="21"/>
                    </w:rPr>
                    <w:t>0</w:t>
                  </w:r>
                  <w:r>
                    <w:rPr>
                      <w:szCs w:val="21"/>
                    </w:rPr>
                    <w:t>.2</w:t>
                  </w:r>
                </w:p>
              </w:tc>
              <w:tc>
                <w:tcPr>
                  <w:tcW w:w="1672" w:type="dxa"/>
                  <w:tcBorders>
                    <w:top w:val="single" w:color="000000" w:sz="4" w:space="0"/>
                    <w:left w:val="single" w:color="000000" w:sz="4" w:space="0"/>
                    <w:bottom w:val="single" w:color="000000" w:sz="4" w:space="0"/>
                    <w:right w:val="single" w:color="000000" w:sz="4" w:space="0"/>
                  </w:tcBorders>
                  <w:vAlign w:val="center"/>
                </w:tcPr>
                <w:p w14:paraId="29C20BC7">
                  <w:pPr>
                    <w:spacing w:line="276" w:lineRule="auto"/>
                    <w:jc w:val="center"/>
                    <w:rPr>
                      <w:szCs w:val="21"/>
                    </w:rPr>
                  </w:pPr>
                  <w:r>
                    <w:rPr>
                      <w:rFonts w:hint="eastAsia"/>
                      <w:szCs w:val="21"/>
                    </w:rPr>
                    <w:t>10</w:t>
                  </w:r>
                </w:p>
              </w:tc>
              <w:tc>
                <w:tcPr>
                  <w:tcW w:w="1601" w:type="dxa"/>
                  <w:tcBorders>
                    <w:top w:val="single" w:color="000000" w:sz="4" w:space="0"/>
                    <w:left w:val="single" w:color="000000" w:sz="4" w:space="0"/>
                    <w:bottom w:val="single" w:color="000000" w:sz="4" w:space="0"/>
                    <w:right w:val="nil"/>
                  </w:tcBorders>
                  <w:vAlign w:val="center"/>
                </w:tcPr>
                <w:p w14:paraId="637201E5">
                  <w:pPr>
                    <w:spacing w:line="276" w:lineRule="auto"/>
                    <w:jc w:val="center"/>
                    <w:rPr>
                      <w:szCs w:val="21"/>
                    </w:rPr>
                  </w:pPr>
                  <w:r>
                    <w:rPr>
                      <w:rFonts w:hint="eastAsia"/>
                      <w:szCs w:val="21"/>
                    </w:rPr>
                    <w:t>0</w:t>
                  </w:r>
                  <w:r>
                    <w:rPr>
                      <w:szCs w:val="21"/>
                    </w:rPr>
                    <w:t>.02</w:t>
                  </w:r>
                </w:p>
              </w:tc>
            </w:tr>
            <w:tr w14:paraId="54C212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tcBorders>
                    <w:top w:val="single" w:color="000000" w:sz="4" w:space="0"/>
                    <w:left w:val="nil"/>
                    <w:bottom w:val="single" w:color="000000" w:sz="4" w:space="0"/>
                    <w:right w:val="single" w:color="000000" w:sz="4" w:space="0"/>
                  </w:tcBorders>
                </w:tcPr>
                <w:p w14:paraId="28883DCA">
                  <w:pPr>
                    <w:spacing w:line="276" w:lineRule="auto"/>
                    <w:jc w:val="center"/>
                    <w:rPr>
                      <w:szCs w:val="21"/>
                    </w:rPr>
                  </w:pPr>
                  <w:r>
                    <w:rPr>
                      <w:rFonts w:hint="eastAsia"/>
                      <w:szCs w:val="21"/>
                    </w:rPr>
                    <w:t>4</w:t>
                  </w:r>
                </w:p>
              </w:tc>
              <w:tc>
                <w:tcPr>
                  <w:tcW w:w="1905" w:type="dxa"/>
                  <w:gridSpan w:val="2"/>
                  <w:tcBorders>
                    <w:top w:val="single" w:color="000000" w:sz="4" w:space="0"/>
                    <w:left w:val="single" w:color="000000" w:sz="4" w:space="0"/>
                    <w:bottom w:val="single" w:color="000000" w:sz="4" w:space="0"/>
                    <w:right w:val="single" w:color="000000" w:sz="4" w:space="0"/>
                  </w:tcBorders>
                  <w:vAlign w:val="center"/>
                </w:tcPr>
                <w:p w14:paraId="3776A888">
                  <w:pPr>
                    <w:spacing w:line="276" w:lineRule="auto"/>
                    <w:jc w:val="center"/>
                    <w:rPr>
                      <w:szCs w:val="21"/>
                    </w:rPr>
                  </w:pPr>
                  <w:r>
                    <w:rPr>
                      <w:szCs w:val="21"/>
                    </w:rPr>
                    <w:t>乙醇</w:t>
                  </w:r>
                </w:p>
              </w:tc>
              <w:tc>
                <w:tcPr>
                  <w:tcW w:w="1672" w:type="dxa"/>
                  <w:tcBorders>
                    <w:top w:val="single" w:color="000000" w:sz="4" w:space="0"/>
                    <w:left w:val="single" w:color="000000" w:sz="4" w:space="0"/>
                    <w:bottom w:val="single" w:color="000000" w:sz="4" w:space="0"/>
                    <w:right w:val="single" w:color="000000" w:sz="4" w:space="0"/>
                  </w:tcBorders>
                  <w:vAlign w:val="center"/>
                </w:tcPr>
                <w:p w14:paraId="31F35FF3">
                  <w:pPr>
                    <w:spacing w:line="276" w:lineRule="auto"/>
                    <w:jc w:val="center"/>
                    <w:rPr>
                      <w:szCs w:val="21"/>
                    </w:rPr>
                  </w:pPr>
                  <w:r>
                    <w:rPr>
                      <w:rFonts w:hint="eastAsia"/>
                      <w:szCs w:val="21"/>
                    </w:rPr>
                    <w:t>0</w:t>
                  </w:r>
                  <w:r>
                    <w:rPr>
                      <w:szCs w:val="21"/>
                    </w:rPr>
                    <w:t>.2</w:t>
                  </w:r>
                </w:p>
              </w:tc>
              <w:tc>
                <w:tcPr>
                  <w:tcW w:w="1672" w:type="dxa"/>
                  <w:tcBorders>
                    <w:top w:val="single" w:color="000000" w:sz="4" w:space="0"/>
                    <w:left w:val="single" w:color="000000" w:sz="4" w:space="0"/>
                    <w:bottom w:val="single" w:color="000000" w:sz="4" w:space="0"/>
                    <w:right w:val="single" w:color="000000" w:sz="4" w:space="0"/>
                  </w:tcBorders>
                  <w:vAlign w:val="center"/>
                </w:tcPr>
                <w:p w14:paraId="10C95887">
                  <w:pPr>
                    <w:spacing w:line="276" w:lineRule="auto"/>
                    <w:jc w:val="center"/>
                    <w:rPr>
                      <w:szCs w:val="21"/>
                    </w:rPr>
                  </w:pPr>
                  <w:r>
                    <w:rPr>
                      <w:rFonts w:hint="eastAsia"/>
                      <w:szCs w:val="21"/>
                    </w:rPr>
                    <w:t>10</w:t>
                  </w:r>
                </w:p>
              </w:tc>
              <w:tc>
                <w:tcPr>
                  <w:tcW w:w="1601" w:type="dxa"/>
                  <w:tcBorders>
                    <w:top w:val="single" w:color="000000" w:sz="4" w:space="0"/>
                    <w:left w:val="single" w:color="000000" w:sz="4" w:space="0"/>
                    <w:bottom w:val="single" w:color="000000" w:sz="4" w:space="0"/>
                    <w:right w:val="nil"/>
                  </w:tcBorders>
                  <w:vAlign w:val="center"/>
                </w:tcPr>
                <w:p w14:paraId="379D49EF">
                  <w:pPr>
                    <w:spacing w:line="276" w:lineRule="auto"/>
                    <w:jc w:val="center"/>
                    <w:rPr>
                      <w:szCs w:val="21"/>
                    </w:rPr>
                  </w:pPr>
                  <w:r>
                    <w:rPr>
                      <w:rFonts w:hint="eastAsia"/>
                      <w:szCs w:val="21"/>
                    </w:rPr>
                    <w:t>0</w:t>
                  </w:r>
                  <w:r>
                    <w:rPr>
                      <w:szCs w:val="21"/>
                    </w:rPr>
                    <w:t>.02</w:t>
                  </w:r>
                </w:p>
              </w:tc>
            </w:tr>
            <w:tr w14:paraId="116DEB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245" w:type="dxa"/>
                  <w:tcBorders>
                    <w:top w:val="single" w:color="000000" w:sz="4" w:space="0"/>
                    <w:left w:val="nil"/>
                    <w:bottom w:val="single" w:color="000000" w:sz="4" w:space="0"/>
                    <w:right w:val="single" w:color="000000" w:sz="4" w:space="0"/>
                  </w:tcBorders>
                </w:tcPr>
                <w:p w14:paraId="3548EC09">
                  <w:pPr>
                    <w:spacing w:line="276" w:lineRule="auto"/>
                    <w:jc w:val="center"/>
                    <w:rPr>
                      <w:szCs w:val="21"/>
                    </w:rPr>
                  </w:pPr>
                  <w:r>
                    <w:rPr>
                      <w:rFonts w:hint="eastAsia"/>
                      <w:szCs w:val="21"/>
                    </w:rPr>
                    <w:t>5</w:t>
                  </w:r>
                </w:p>
              </w:tc>
              <w:tc>
                <w:tcPr>
                  <w:tcW w:w="1905" w:type="dxa"/>
                  <w:gridSpan w:val="2"/>
                  <w:tcBorders>
                    <w:top w:val="single" w:color="000000" w:sz="4" w:space="0"/>
                    <w:left w:val="single" w:color="000000" w:sz="4" w:space="0"/>
                    <w:bottom w:val="single" w:color="000000" w:sz="4" w:space="0"/>
                    <w:right w:val="single" w:color="000000" w:sz="4" w:space="0"/>
                  </w:tcBorders>
                  <w:vAlign w:val="center"/>
                </w:tcPr>
                <w:p w14:paraId="3C5EC256">
                  <w:pPr>
                    <w:spacing w:line="276" w:lineRule="auto"/>
                    <w:jc w:val="center"/>
                    <w:rPr>
                      <w:szCs w:val="21"/>
                    </w:rPr>
                  </w:pPr>
                  <w:r>
                    <w:rPr>
                      <w:rFonts w:hint="eastAsia"/>
                      <w:szCs w:val="21"/>
                    </w:rPr>
                    <w:t>甲烷</w:t>
                  </w:r>
                </w:p>
              </w:tc>
              <w:tc>
                <w:tcPr>
                  <w:tcW w:w="1672" w:type="dxa"/>
                  <w:tcBorders>
                    <w:top w:val="single" w:color="000000" w:sz="4" w:space="0"/>
                    <w:left w:val="single" w:color="000000" w:sz="4" w:space="0"/>
                    <w:bottom w:val="single" w:color="000000" w:sz="4" w:space="0"/>
                    <w:right w:val="single" w:color="000000" w:sz="4" w:space="0"/>
                  </w:tcBorders>
                  <w:vAlign w:val="center"/>
                </w:tcPr>
                <w:p w14:paraId="40FE130F">
                  <w:pPr>
                    <w:spacing w:line="276" w:lineRule="auto"/>
                    <w:jc w:val="center"/>
                    <w:rPr>
                      <w:szCs w:val="21"/>
                    </w:rPr>
                  </w:pPr>
                  <w:r>
                    <w:rPr>
                      <w:rFonts w:hint="eastAsia"/>
                      <w:szCs w:val="21"/>
                    </w:rPr>
                    <w:t>0</w:t>
                  </w:r>
                  <w:r>
                    <w:rPr>
                      <w:szCs w:val="21"/>
                    </w:rPr>
                    <w:t>.0026</w:t>
                  </w:r>
                </w:p>
              </w:tc>
              <w:tc>
                <w:tcPr>
                  <w:tcW w:w="1672" w:type="dxa"/>
                  <w:tcBorders>
                    <w:top w:val="single" w:color="000000" w:sz="4" w:space="0"/>
                    <w:left w:val="single" w:color="000000" w:sz="4" w:space="0"/>
                    <w:bottom w:val="single" w:color="000000" w:sz="4" w:space="0"/>
                    <w:right w:val="single" w:color="000000" w:sz="4" w:space="0"/>
                  </w:tcBorders>
                  <w:vAlign w:val="center"/>
                </w:tcPr>
                <w:p w14:paraId="6575C559">
                  <w:pPr>
                    <w:spacing w:line="276" w:lineRule="auto"/>
                    <w:jc w:val="center"/>
                    <w:rPr>
                      <w:szCs w:val="21"/>
                    </w:rPr>
                  </w:pPr>
                  <w:r>
                    <w:rPr>
                      <w:rFonts w:hint="eastAsia"/>
                      <w:szCs w:val="21"/>
                    </w:rPr>
                    <w:t>1</w:t>
                  </w:r>
                  <w:r>
                    <w:rPr>
                      <w:szCs w:val="21"/>
                    </w:rPr>
                    <w:t>0</w:t>
                  </w:r>
                </w:p>
              </w:tc>
              <w:tc>
                <w:tcPr>
                  <w:tcW w:w="1601" w:type="dxa"/>
                  <w:tcBorders>
                    <w:top w:val="single" w:color="000000" w:sz="4" w:space="0"/>
                    <w:left w:val="single" w:color="000000" w:sz="4" w:space="0"/>
                    <w:bottom w:val="single" w:color="000000" w:sz="4" w:space="0"/>
                    <w:right w:val="nil"/>
                  </w:tcBorders>
                  <w:vAlign w:val="center"/>
                </w:tcPr>
                <w:p w14:paraId="61F0DE5A">
                  <w:pPr>
                    <w:spacing w:line="276" w:lineRule="auto"/>
                    <w:jc w:val="center"/>
                    <w:rPr>
                      <w:szCs w:val="21"/>
                    </w:rPr>
                  </w:pPr>
                  <w:r>
                    <w:rPr>
                      <w:rFonts w:hint="eastAsia"/>
                      <w:szCs w:val="21"/>
                    </w:rPr>
                    <w:t>0</w:t>
                  </w:r>
                  <w:r>
                    <w:rPr>
                      <w:szCs w:val="21"/>
                    </w:rPr>
                    <w:t>.00026</w:t>
                  </w:r>
                </w:p>
              </w:tc>
            </w:tr>
            <w:tr w14:paraId="05849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494" w:type="dxa"/>
                  <w:gridSpan w:val="5"/>
                  <w:tcBorders>
                    <w:top w:val="single" w:color="000000" w:sz="4" w:space="0"/>
                    <w:left w:val="nil"/>
                    <w:bottom w:val="single" w:color="000000" w:sz="12" w:space="0"/>
                    <w:right w:val="single" w:color="000000" w:sz="4" w:space="0"/>
                  </w:tcBorders>
                </w:tcPr>
                <w:p w14:paraId="34058399">
                  <w:pPr>
                    <w:spacing w:line="276" w:lineRule="auto"/>
                    <w:jc w:val="center"/>
                    <w:rPr>
                      <w:szCs w:val="21"/>
                    </w:rPr>
                  </w:pPr>
                  <w:r>
                    <w:rPr>
                      <w:rFonts w:hint="eastAsia"/>
                      <w:szCs w:val="21"/>
                    </w:rPr>
                    <w:t>合计</w:t>
                  </w:r>
                </w:p>
              </w:tc>
              <w:tc>
                <w:tcPr>
                  <w:tcW w:w="1601" w:type="dxa"/>
                  <w:tcBorders>
                    <w:top w:val="single" w:color="000000" w:sz="4" w:space="0"/>
                    <w:left w:val="single" w:color="000000" w:sz="4" w:space="0"/>
                    <w:bottom w:val="single" w:color="000000" w:sz="12" w:space="0"/>
                    <w:right w:val="nil"/>
                  </w:tcBorders>
                  <w:vAlign w:val="center"/>
                </w:tcPr>
                <w:p w14:paraId="3500000A">
                  <w:pPr>
                    <w:spacing w:line="276" w:lineRule="auto"/>
                    <w:jc w:val="center"/>
                    <w:rPr>
                      <w:szCs w:val="21"/>
                    </w:rPr>
                  </w:pPr>
                  <w:r>
                    <w:rPr>
                      <w:rFonts w:hint="eastAsia"/>
                      <w:szCs w:val="21"/>
                    </w:rPr>
                    <w:t>0</w:t>
                  </w:r>
                  <w:r>
                    <w:rPr>
                      <w:szCs w:val="21"/>
                    </w:rPr>
                    <w:t>.6</w:t>
                  </w:r>
                  <w:r>
                    <w:rPr>
                      <w:rFonts w:hint="eastAsia"/>
                      <w:szCs w:val="21"/>
                    </w:rPr>
                    <w:t>1132</w:t>
                  </w:r>
                </w:p>
              </w:tc>
            </w:tr>
          </w:tbl>
          <w:p w14:paraId="765DFF4F">
            <w:pPr>
              <w:spacing w:line="276" w:lineRule="auto"/>
              <w:ind w:firstLine="420" w:firstLineChars="200"/>
              <w:rPr>
                <w:sz w:val="24"/>
                <w:szCs w:val="24"/>
              </w:rPr>
            </w:pPr>
            <w:r>
              <w:rPr>
                <w:rFonts w:hint="eastAsia"/>
              </w:rPr>
              <w:t>注：①邻苯二甲酸二甲酯为常见的增塑剂，类比同类型的增塑剂：邻苯二甲酸二丁酯的类别，对照《建设项目环境风险评价技术导则》（</w:t>
            </w:r>
            <w:r>
              <w:t>HJ169-2018</w:t>
            </w:r>
            <w:r>
              <w:rPr>
                <w:rFonts w:hint="eastAsia"/>
              </w:rPr>
              <w:t>）附录B，其临界量为10吨；②双草酸酯临界量类比邻苯二甲酸二甲酯，其临界量为10吨；③乙醇类比乙酸的类别，其临界值为10吨；④不合格品、离心废液主要成分为邻苯二甲酸二甲酯、双草酸酯、双氧水，临界量按1</w:t>
            </w:r>
            <w:r>
              <w:t>0</w:t>
            </w:r>
            <w:r>
              <w:rPr>
                <w:rFonts w:hint="eastAsia"/>
              </w:rPr>
              <w:t>吨计；⑤清洗废液主要成分为乙醇，临界量按1</w:t>
            </w:r>
            <w:r>
              <w:t>0</w:t>
            </w:r>
            <w:r>
              <w:rPr>
                <w:rFonts w:hint="eastAsia"/>
              </w:rPr>
              <w:t>吨计；⑥废包装桶及废活性炭临界量参考《建设项目环境风险评价技术导则》（</w:t>
            </w:r>
            <w:r>
              <w:t>HJ169-2018</w:t>
            </w:r>
            <w:r>
              <w:rPr>
                <w:rFonts w:hint="eastAsia"/>
              </w:rPr>
              <w:t>）附录B.2危害水环境物质（急性毒性类别1），临界量按100吨计。</w:t>
            </w:r>
          </w:p>
          <w:p w14:paraId="48729CA0">
            <w:pPr>
              <w:spacing w:line="360" w:lineRule="auto"/>
              <w:ind w:firstLine="480" w:firstLineChars="200"/>
              <w:rPr>
                <w:sz w:val="24"/>
                <w:szCs w:val="24"/>
              </w:rPr>
            </w:pPr>
            <w:r>
              <w:rPr>
                <w:rFonts w:hint="eastAsia"/>
                <w:sz w:val="24"/>
                <w:szCs w:val="24"/>
              </w:rPr>
              <w:t>根据风险潜势初判，计算得出本项目Q=</w:t>
            </w:r>
            <w:r>
              <w:rPr>
                <w:sz w:val="24"/>
                <w:szCs w:val="24"/>
              </w:rPr>
              <w:t>0.6</w:t>
            </w:r>
            <w:r>
              <w:rPr>
                <w:rFonts w:hint="eastAsia"/>
                <w:sz w:val="24"/>
                <w:szCs w:val="24"/>
              </w:rPr>
              <w:t>1132，Q＜1，项目环境风险潜势为</w:t>
            </w:r>
            <w:r>
              <w:rPr>
                <w:sz w:val="24"/>
              </w:rPr>
              <w:t>Ⅰ</w:t>
            </w:r>
            <w:r>
              <w:rPr>
                <w:rFonts w:hint="eastAsia"/>
                <w:sz w:val="24"/>
                <w:szCs w:val="24"/>
              </w:rPr>
              <w:t>。评价</w:t>
            </w:r>
            <w:r>
              <w:rPr>
                <w:sz w:val="24"/>
                <w:szCs w:val="24"/>
              </w:rPr>
              <w:t>工作等级划分见下表</w:t>
            </w:r>
            <w:r>
              <w:rPr>
                <w:rFonts w:hint="eastAsia"/>
                <w:sz w:val="24"/>
                <w:szCs w:val="24"/>
              </w:rPr>
              <w:t>54</w:t>
            </w:r>
            <w:r>
              <w:rPr>
                <w:sz w:val="24"/>
                <w:szCs w:val="24"/>
              </w:rPr>
              <w:t>。</w:t>
            </w:r>
          </w:p>
          <w:p w14:paraId="4CB8A219">
            <w:pPr>
              <w:pStyle w:val="108"/>
              <w:adjustRightInd/>
              <w:spacing w:line="360" w:lineRule="auto"/>
              <w:jc w:val="center"/>
              <w:rPr>
                <w:rFonts w:eastAsia="黑体"/>
                <w:bCs/>
                <w:color w:val="auto"/>
                <w:sz w:val="21"/>
                <w:szCs w:val="21"/>
              </w:rPr>
            </w:pPr>
            <w:r>
              <w:rPr>
                <w:rFonts w:hint="eastAsia" w:hAnsi="黑体" w:eastAsia="黑体"/>
                <w:color w:val="auto"/>
              </w:rPr>
              <w:t>表54  评价工作等级划分</w:t>
            </w:r>
          </w:p>
          <w:tbl>
            <w:tblPr>
              <w:tblStyle w:val="3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29"/>
              <w:gridCol w:w="1621"/>
              <w:gridCol w:w="1672"/>
              <w:gridCol w:w="1672"/>
              <w:gridCol w:w="1601"/>
            </w:tblGrid>
            <w:tr w14:paraId="59D400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 w:hRule="atLeast"/>
              </w:trPr>
              <w:tc>
                <w:tcPr>
                  <w:tcW w:w="1529" w:type="dxa"/>
                </w:tcPr>
                <w:p w14:paraId="1FC86457">
                  <w:pPr>
                    <w:spacing w:line="276" w:lineRule="auto"/>
                    <w:jc w:val="center"/>
                    <w:rPr>
                      <w:b/>
                      <w:szCs w:val="21"/>
                    </w:rPr>
                  </w:pPr>
                  <w:r>
                    <w:rPr>
                      <w:b/>
                      <w:szCs w:val="21"/>
                    </w:rPr>
                    <w:t>环境风险潜势</w:t>
                  </w:r>
                </w:p>
              </w:tc>
              <w:tc>
                <w:tcPr>
                  <w:tcW w:w="1621" w:type="dxa"/>
                  <w:vAlign w:val="center"/>
                </w:tcPr>
                <w:p w14:paraId="605861D1">
                  <w:pPr>
                    <w:spacing w:line="276" w:lineRule="auto"/>
                    <w:jc w:val="center"/>
                    <w:rPr>
                      <w:b/>
                      <w:szCs w:val="21"/>
                    </w:rPr>
                  </w:pPr>
                  <w:r>
                    <w:rPr>
                      <w:b/>
                    </w:rPr>
                    <w:t>IV、IV+</w:t>
                  </w:r>
                </w:p>
              </w:tc>
              <w:tc>
                <w:tcPr>
                  <w:tcW w:w="1672" w:type="dxa"/>
                  <w:vAlign w:val="center"/>
                </w:tcPr>
                <w:p w14:paraId="0F0E9B04">
                  <w:pPr>
                    <w:spacing w:line="276" w:lineRule="auto"/>
                    <w:jc w:val="center"/>
                    <w:rPr>
                      <w:b/>
                      <w:szCs w:val="21"/>
                    </w:rPr>
                  </w:pPr>
                  <w:r>
                    <w:rPr>
                      <w:b/>
                    </w:rPr>
                    <w:t>III</w:t>
                  </w:r>
                </w:p>
              </w:tc>
              <w:tc>
                <w:tcPr>
                  <w:tcW w:w="1672" w:type="dxa"/>
                  <w:vAlign w:val="center"/>
                </w:tcPr>
                <w:p w14:paraId="3CFA72C3">
                  <w:pPr>
                    <w:spacing w:line="276" w:lineRule="auto"/>
                    <w:jc w:val="center"/>
                    <w:rPr>
                      <w:b/>
                      <w:szCs w:val="21"/>
                    </w:rPr>
                  </w:pPr>
                  <w:r>
                    <w:rPr>
                      <w:b/>
                    </w:rPr>
                    <w:t>II</w:t>
                  </w:r>
                </w:p>
              </w:tc>
              <w:tc>
                <w:tcPr>
                  <w:tcW w:w="1601" w:type="dxa"/>
                  <w:vAlign w:val="center"/>
                </w:tcPr>
                <w:p w14:paraId="038EDC52">
                  <w:pPr>
                    <w:spacing w:line="276" w:lineRule="auto"/>
                    <w:jc w:val="center"/>
                    <w:rPr>
                      <w:b/>
                      <w:szCs w:val="21"/>
                    </w:rPr>
                  </w:pPr>
                  <w:r>
                    <w:rPr>
                      <w:b/>
                    </w:rPr>
                    <w:t>I</w:t>
                  </w:r>
                </w:p>
              </w:tc>
            </w:tr>
            <w:tr w14:paraId="3B6FB6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529" w:type="dxa"/>
                  <w:vAlign w:val="center"/>
                </w:tcPr>
                <w:p w14:paraId="02BE0642">
                  <w:pPr>
                    <w:adjustRightInd w:val="0"/>
                    <w:snapToGrid w:val="0"/>
                    <w:spacing w:line="276" w:lineRule="auto"/>
                    <w:jc w:val="center"/>
                    <w:rPr>
                      <w:b/>
                    </w:rPr>
                  </w:pPr>
                  <w:r>
                    <w:rPr>
                      <w:b/>
                    </w:rPr>
                    <w:t>评价工作等级</w:t>
                  </w:r>
                </w:p>
              </w:tc>
              <w:tc>
                <w:tcPr>
                  <w:tcW w:w="1621" w:type="dxa"/>
                  <w:vAlign w:val="center"/>
                </w:tcPr>
                <w:p w14:paraId="0F85C7BD">
                  <w:pPr>
                    <w:adjustRightInd w:val="0"/>
                    <w:snapToGrid w:val="0"/>
                    <w:spacing w:line="276" w:lineRule="auto"/>
                    <w:jc w:val="center"/>
                  </w:pPr>
                  <w:r>
                    <w:t>一</w:t>
                  </w:r>
                </w:p>
              </w:tc>
              <w:tc>
                <w:tcPr>
                  <w:tcW w:w="1672" w:type="dxa"/>
                  <w:vAlign w:val="center"/>
                </w:tcPr>
                <w:p w14:paraId="4DDFFFB1">
                  <w:pPr>
                    <w:adjustRightInd w:val="0"/>
                    <w:snapToGrid w:val="0"/>
                    <w:spacing w:line="276" w:lineRule="auto"/>
                    <w:jc w:val="center"/>
                  </w:pPr>
                  <w:r>
                    <w:t>二</w:t>
                  </w:r>
                </w:p>
              </w:tc>
              <w:tc>
                <w:tcPr>
                  <w:tcW w:w="1672" w:type="dxa"/>
                  <w:vAlign w:val="center"/>
                </w:tcPr>
                <w:p w14:paraId="51AAF83A">
                  <w:pPr>
                    <w:adjustRightInd w:val="0"/>
                    <w:snapToGrid w:val="0"/>
                    <w:spacing w:line="276" w:lineRule="auto"/>
                    <w:jc w:val="center"/>
                  </w:pPr>
                  <w:r>
                    <w:t>三</w:t>
                  </w:r>
                </w:p>
              </w:tc>
              <w:tc>
                <w:tcPr>
                  <w:tcW w:w="1601" w:type="dxa"/>
                  <w:vAlign w:val="center"/>
                </w:tcPr>
                <w:p w14:paraId="75A52C5C">
                  <w:pPr>
                    <w:adjustRightInd w:val="0"/>
                    <w:snapToGrid w:val="0"/>
                    <w:spacing w:line="276" w:lineRule="auto"/>
                    <w:jc w:val="center"/>
                  </w:pPr>
                  <w:r>
                    <w:t>简单分析</w:t>
                  </w:r>
                </w:p>
              </w:tc>
            </w:tr>
          </w:tbl>
          <w:p w14:paraId="24BE030C">
            <w:pPr>
              <w:spacing w:line="360" w:lineRule="auto"/>
              <w:ind w:firstLine="480" w:firstLineChars="200"/>
              <w:rPr>
                <w:sz w:val="24"/>
                <w:szCs w:val="24"/>
              </w:rPr>
            </w:pPr>
            <w:r>
              <w:rPr>
                <w:rFonts w:hint="eastAsia"/>
                <w:sz w:val="24"/>
              </w:rPr>
              <w:t>因此本项目环境风险评价等级判定为简单分析。</w:t>
            </w:r>
          </w:p>
          <w:p w14:paraId="1D492F66">
            <w:pPr>
              <w:spacing w:line="360" w:lineRule="auto"/>
              <w:ind w:firstLine="480" w:firstLineChars="200"/>
              <w:rPr>
                <w:sz w:val="24"/>
                <w:szCs w:val="24"/>
              </w:rPr>
            </w:pPr>
            <w:r>
              <w:rPr>
                <w:rFonts w:hint="eastAsia"/>
                <w:sz w:val="24"/>
                <w:szCs w:val="24"/>
              </w:rPr>
              <w:t>2、环境敏感目标概况</w:t>
            </w:r>
          </w:p>
          <w:p w14:paraId="0B8A9916">
            <w:pPr>
              <w:spacing w:line="360" w:lineRule="auto"/>
              <w:ind w:firstLine="480" w:firstLineChars="200"/>
              <w:rPr>
                <w:sz w:val="24"/>
                <w:szCs w:val="24"/>
              </w:rPr>
            </w:pPr>
            <w:r>
              <w:rPr>
                <w:rFonts w:hint="eastAsia"/>
                <w:sz w:val="24"/>
                <w:szCs w:val="24"/>
              </w:rPr>
              <w:t>本项目位于</w:t>
            </w:r>
            <w:r>
              <w:rPr>
                <w:rFonts w:hint="eastAsia"/>
                <w:sz w:val="24"/>
              </w:rPr>
              <w:t>安徽省淮南市毛集经济开发区工业城2号楼1层和3层，</w:t>
            </w:r>
            <w:r>
              <w:rPr>
                <w:rFonts w:hint="eastAsia"/>
                <w:kern w:val="0"/>
                <w:sz w:val="24"/>
              </w:rPr>
              <w:t>项目</w:t>
            </w:r>
            <w:r>
              <w:rPr>
                <w:kern w:val="0"/>
                <w:sz w:val="24"/>
              </w:rPr>
              <w:t>500m</w:t>
            </w:r>
            <w:r>
              <w:rPr>
                <w:rFonts w:hint="eastAsia"/>
                <w:kern w:val="0"/>
                <w:sz w:val="24"/>
              </w:rPr>
              <w:t>范围内无地下水环境保护目标，存在大气环境保护目标。</w:t>
            </w:r>
          </w:p>
          <w:p w14:paraId="33BB6048">
            <w:pPr>
              <w:spacing w:line="360" w:lineRule="auto"/>
              <w:ind w:firstLine="480" w:firstLineChars="200"/>
              <w:rPr>
                <w:sz w:val="24"/>
                <w:szCs w:val="24"/>
              </w:rPr>
            </w:pPr>
            <w:r>
              <w:rPr>
                <w:rFonts w:hint="eastAsia"/>
                <w:sz w:val="24"/>
                <w:szCs w:val="24"/>
              </w:rPr>
              <w:t>3、环境风险识别</w:t>
            </w:r>
          </w:p>
          <w:p w14:paraId="27406B32">
            <w:pPr>
              <w:spacing w:line="360" w:lineRule="auto"/>
              <w:ind w:firstLine="480" w:firstLineChars="200"/>
              <w:rPr>
                <w:sz w:val="24"/>
                <w:szCs w:val="24"/>
              </w:rPr>
            </w:pPr>
            <w:r>
              <w:rPr>
                <w:rFonts w:hint="eastAsia"/>
                <w:sz w:val="24"/>
                <w:szCs w:val="24"/>
              </w:rPr>
              <w:t>本项目危险物质主要为</w:t>
            </w:r>
            <w:r>
              <w:rPr>
                <w:rFonts w:hint="eastAsia"/>
                <w:sz w:val="24"/>
              </w:rPr>
              <w:t>危险废物、</w:t>
            </w:r>
            <w:r>
              <w:rPr>
                <w:rFonts w:hint="eastAsia"/>
                <w:sz w:val="24"/>
                <w:szCs w:val="24"/>
              </w:rPr>
              <w:t>邻苯二甲酸二甲酯、双草酸酯、乙醇</w:t>
            </w:r>
            <w:r>
              <w:rPr>
                <w:rFonts w:hint="eastAsia"/>
                <w:sz w:val="24"/>
              </w:rPr>
              <w:t>，危险物质具体分布情况及可能影响环境的途径见下表：</w:t>
            </w:r>
          </w:p>
          <w:p w14:paraId="14A71744">
            <w:pPr>
              <w:pStyle w:val="108"/>
              <w:adjustRightInd/>
              <w:spacing w:line="360" w:lineRule="auto"/>
              <w:jc w:val="center"/>
              <w:rPr>
                <w:rFonts w:eastAsia="黑体"/>
                <w:bCs/>
                <w:color w:val="auto"/>
                <w:sz w:val="21"/>
                <w:szCs w:val="21"/>
              </w:rPr>
            </w:pPr>
            <w:r>
              <w:rPr>
                <w:rFonts w:hint="eastAsia" w:hAnsi="黑体" w:eastAsia="黑体"/>
                <w:color w:val="auto"/>
              </w:rPr>
              <w:t>表55  建设项目环境风险识别表</w:t>
            </w:r>
          </w:p>
          <w:tbl>
            <w:tblPr>
              <w:tblStyle w:val="34"/>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1275"/>
              <w:gridCol w:w="1418"/>
              <w:gridCol w:w="1134"/>
              <w:gridCol w:w="1276"/>
              <w:gridCol w:w="1873"/>
            </w:tblGrid>
            <w:tr w14:paraId="41C361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104" w:type="dxa"/>
                  <w:vAlign w:val="center"/>
                </w:tcPr>
                <w:p w14:paraId="36DCE7D9">
                  <w:pPr>
                    <w:spacing w:line="276" w:lineRule="auto"/>
                    <w:jc w:val="center"/>
                    <w:rPr>
                      <w:b/>
                      <w:szCs w:val="21"/>
                    </w:rPr>
                  </w:pPr>
                  <w:r>
                    <w:rPr>
                      <w:rFonts w:hint="eastAsia"/>
                      <w:b/>
                      <w:szCs w:val="21"/>
                    </w:rPr>
                    <w:t>危险单元</w:t>
                  </w:r>
                </w:p>
              </w:tc>
              <w:tc>
                <w:tcPr>
                  <w:tcW w:w="1275" w:type="dxa"/>
                  <w:vAlign w:val="center"/>
                </w:tcPr>
                <w:p w14:paraId="47E25B0D">
                  <w:pPr>
                    <w:spacing w:line="276" w:lineRule="auto"/>
                    <w:jc w:val="center"/>
                    <w:rPr>
                      <w:b/>
                      <w:szCs w:val="21"/>
                    </w:rPr>
                  </w:pPr>
                  <w:r>
                    <w:rPr>
                      <w:rFonts w:hint="eastAsia"/>
                      <w:b/>
                      <w:szCs w:val="21"/>
                    </w:rPr>
                    <w:t>风险源</w:t>
                  </w:r>
                </w:p>
              </w:tc>
              <w:tc>
                <w:tcPr>
                  <w:tcW w:w="1418" w:type="dxa"/>
                  <w:vAlign w:val="center"/>
                </w:tcPr>
                <w:p w14:paraId="38DCD78E">
                  <w:pPr>
                    <w:spacing w:line="276" w:lineRule="auto"/>
                    <w:jc w:val="center"/>
                    <w:rPr>
                      <w:b/>
                      <w:szCs w:val="21"/>
                    </w:rPr>
                  </w:pPr>
                  <w:r>
                    <w:rPr>
                      <w:rFonts w:hint="eastAsia"/>
                      <w:b/>
                      <w:szCs w:val="21"/>
                    </w:rPr>
                    <w:t>主要危险物质</w:t>
                  </w:r>
                </w:p>
              </w:tc>
              <w:tc>
                <w:tcPr>
                  <w:tcW w:w="1134" w:type="dxa"/>
                  <w:vAlign w:val="center"/>
                </w:tcPr>
                <w:p w14:paraId="7BC8DD81">
                  <w:pPr>
                    <w:spacing w:line="276" w:lineRule="auto"/>
                    <w:jc w:val="center"/>
                    <w:rPr>
                      <w:b/>
                      <w:szCs w:val="21"/>
                    </w:rPr>
                  </w:pPr>
                  <w:r>
                    <w:rPr>
                      <w:rFonts w:hint="eastAsia"/>
                      <w:b/>
                      <w:szCs w:val="21"/>
                    </w:rPr>
                    <w:t>环境风险类型</w:t>
                  </w:r>
                </w:p>
              </w:tc>
              <w:tc>
                <w:tcPr>
                  <w:tcW w:w="1276" w:type="dxa"/>
                  <w:vAlign w:val="center"/>
                </w:tcPr>
                <w:p w14:paraId="37F0ECEE">
                  <w:pPr>
                    <w:spacing w:line="276" w:lineRule="auto"/>
                    <w:jc w:val="center"/>
                    <w:rPr>
                      <w:b/>
                      <w:szCs w:val="21"/>
                    </w:rPr>
                  </w:pPr>
                  <w:r>
                    <w:rPr>
                      <w:rFonts w:hint="eastAsia"/>
                      <w:b/>
                      <w:szCs w:val="21"/>
                    </w:rPr>
                    <w:t>环境影响途径</w:t>
                  </w:r>
                </w:p>
              </w:tc>
              <w:tc>
                <w:tcPr>
                  <w:tcW w:w="1873" w:type="dxa"/>
                  <w:vAlign w:val="center"/>
                </w:tcPr>
                <w:p w14:paraId="19D0172C">
                  <w:pPr>
                    <w:spacing w:line="276" w:lineRule="auto"/>
                    <w:jc w:val="center"/>
                    <w:rPr>
                      <w:b/>
                      <w:szCs w:val="21"/>
                    </w:rPr>
                  </w:pPr>
                  <w:r>
                    <w:rPr>
                      <w:rFonts w:hint="eastAsia"/>
                      <w:b/>
                      <w:szCs w:val="21"/>
                    </w:rPr>
                    <w:t>可能受影响的环境敏感目标</w:t>
                  </w:r>
                </w:p>
              </w:tc>
            </w:tr>
            <w:tr w14:paraId="6D7834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104" w:type="dxa"/>
                  <w:vMerge w:val="restart"/>
                  <w:vAlign w:val="center"/>
                </w:tcPr>
                <w:p w14:paraId="7F98FD08">
                  <w:pPr>
                    <w:spacing w:line="276" w:lineRule="auto"/>
                    <w:jc w:val="center"/>
                    <w:rPr>
                      <w:szCs w:val="21"/>
                    </w:rPr>
                  </w:pPr>
                  <w:r>
                    <w:rPr>
                      <w:rFonts w:hint="eastAsia"/>
                      <w:szCs w:val="21"/>
                    </w:rPr>
                    <w:t>生产厂房</w:t>
                  </w:r>
                </w:p>
              </w:tc>
              <w:tc>
                <w:tcPr>
                  <w:tcW w:w="1275" w:type="dxa"/>
                  <w:vAlign w:val="center"/>
                </w:tcPr>
                <w:p w14:paraId="79503048">
                  <w:pPr>
                    <w:spacing w:line="276" w:lineRule="auto"/>
                    <w:jc w:val="center"/>
                    <w:rPr>
                      <w:szCs w:val="21"/>
                    </w:rPr>
                  </w:pPr>
                  <w:r>
                    <w:rPr>
                      <w:szCs w:val="21"/>
                    </w:rPr>
                    <w:t>危废暂存间</w:t>
                  </w:r>
                </w:p>
              </w:tc>
              <w:tc>
                <w:tcPr>
                  <w:tcW w:w="1418" w:type="dxa"/>
                  <w:vAlign w:val="center"/>
                </w:tcPr>
                <w:p w14:paraId="2ADCAF00">
                  <w:pPr>
                    <w:spacing w:line="276" w:lineRule="auto"/>
                    <w:jc w:val="center"/>
                    <w:rPr>
                      <w:szCs w:val="21"/>
                    </w:rPr>
                  </w:pPr>
                  <w:r>
                    <w:rPr>
                      <w:rFonts w:hint="eastAsia"/>
                      <w:szCs w:val="21"/>
                    </w:rPr>
                    <w:t>清洗废液、离心废液、不合格品、废活性炭、废包装桶</w:t>
                  </w:r>
                </w:p>
              </w:tc>
              <w:tc>
                <w:tcPr>
                  <w:tcW w:w="1134" w:type="dxa"/>
                  <w:vAlign w:val="center"/>
                </w:tcPr>
                <w:p w14:paraId="68CF24AE">
                  <w:pPr>
                    <w:spacing w:line="276" w:lineRule="auto"/>
                    <w:jc w:val="center"/>
                    <w:rPr>
                      <w:szCs w:val="21"/>
                    </w:rPr>
                  </w:pPr>
                  <w:r>
                    <w:rPr>
                      <w:rFonts w:hint="eastAsia"/>
                      <w:kern w:val="0"/>
                      <w:szCs w:val="21"/>
                    </w:rPr>
                    <w:t>泄漏，火灾爆炸伴生污染物</w:t>
                  </w:r>
                </w:p>
              </w:tc>
              <w:tc>
                <w:tcPr>
                  <w:tcW w:w="1276" w:type="dxa"/>
                  <w:vAlign w:val="center"/>
                </w:tcPr>
                <w:p w14:paraId="27B07703">
                  <w:pPr>
                    <w:spacing w:line="276" w:lineRule="auto"/>
                    <w:jc w:val="center"/>
                    <w:rPr>
                      <w:szCs w:val="21"/>
                    </w:rPr>
                  </w:pPr>
                  <w:r>
                    <w:rPr>
                      <w:rFonts w:hint="eastAsia"/>
                      <w:szCs w:val="21"/>
                    </w:rPr>
                    <w:t>大气途径、土壤及地下水</w:t>
                  </w:r>
                </w:p>
              </w:tc>
              <w:tc>
                <w:tcPr>
                  <w:tcW w:w="1873" w:type="dxa"/>
                  <w:vMerge w:val="restart"/>
                  <w:vAlign w:val="center"/>
                </w:tcPr>
                <w:p w14:paraId="4EBEFDC9">
                  <w:pPr>
                    <w:spacing w:line="276" w:lineRule="auto"/>
                    <w:jc w:val="center"/>
                    <w:rPr>
                      <w:szCs w:val="21"/>
                    </w:rPr>
                  </w:pPr>
                  <w:r>
                    <w:rPr>
                      <w:rFonts w:hint="eastAsia"/>
                      <w:szCs w:val="21"/>
                    </w:rPr>
                    <w:t>厂区企业员工、厂区周边土壤及地下水</w:t>
                  </w:r>
                </w:p>
              </w:tc>
            </w:tr>
            <w:tr w14:paraId="1A0A7B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104" w:type="dxa"/>
                  <w:vMerge w:val="continue"/>
                  <w:vAlign w:val="center"/>
                </w:tcPr>
                <w:p w14:paraId="07BD6E14">
                  <w:pPr>
                    <w:spacing w:line="276" w:lineRule="auto"/>
                    <w:jc w:val="center"/>
                    <w:rPr>
                      <w:szCs w:val="21"/>
                    </w:rPr>
                  </w:pPr>
                </w:p>
              </w:tc>
              <w:tc>
                <w:tcPr>
                  <w:tcW w:w="1275" w:type="dxa"/>
                  <w:vAlign w:val="center"/>
                </w:tcPr>
                <w:p w14:paraId="35AB1BB3">
                  <w:pPr>
                    <w:spacing w:line="276" w:lineRule="auto"/>
                    <w:jc w:val="center"/>
                    <w:rPr>
                      <w:szCs w:val="21"/>
                    </w:rPr>
                  </w:pPr>
                  <w:r>
                    <w:rPr>
                      <w:szCs w:val="21"/>
                    </w:rPr>
                    <w:t>化学品库</w:t>
                  </w:r>
                </w:p>
              </w:tc>
              <w:tc>
                <w:tcPr>
                  <w:tcW w:w="1418" w:type="dxa"/>
                  <w:vAlign w:val="center"/>
                </w:tcPr>
                <w:p w14:paraId="44CF7FD8">
                  <w:pPr>
                    <w:spacing w:line="276" w:lineRule="auto"/>
                    <w:jc w:val="center"/>
                    <w:rPr>
                      <w:szCs w:val="21"/>
                    </w:rPr>
                  </w:pPr>
                  <w:r>
                    <w:rPr>
                      <w:rFonts w:hint="eastAsia"/>
                      <w:szCs w:val="21"/>
                    </w:rPr>
                    <w:t>邻苯二甲酸二甲酯、双草酸酯、乙醇</w:t>
                  </w:r>
                </w:p>
              </w:tc>
              <w:tc>
                <w:tcPr>
                  <w:tcW w:w="1134" w:type="dxa"/>
                  <w:vAlign w:val="center"/>
                </w:tcPr>
                <w:p w14:paraId="3DEE77C6">
                  <w:pPr>
                    <w:spacing w:line="276" w:lineRule="auto"/>
                    <w:jc w:val="center"/>
                    <w:rPr>
                      <w:kern w:val="0"/>
                      <w:szCs w:val="21"/>
                    </w:rPr>
                  </w:pPr>
                  <w:r>
                    <w:rPr>
                      <w:rFonts w:hint="eastAsia"/>
                      <w:kern w:val="0"/>
                      <w:szCs w:val="21"/>
                    </w:rPr>
                    <w:t>火灾爆炸伴生污染物</w:t>
                  </w:r>
                </w:p>
              </w:tc>
              <w:tc>
                <w:tcPr>
                  <w:tcW w:w="1276" w:type="dxa"/>
                  <w:vAlign w:val="center"/>
                </w:tcPr>
                <w:p w14:paraId="4D4E2767">
                  <w:pPr>
                    <w:spacing w:line="276" w:lineRule="auto"/>
                    <w:jc w:val="center"/>
                    <w:rPr>
                      <w:szCs w:val="21"/>
                    </w:rPr>
                  </w:pPr>
                  <w:r>
                    <w:rPr>
                      <w:rFonts w:hint="eastAsia"/>
                      <w:szCs w:val="21"/>
                    </w:rPr>
                    <w:t>大气途径</w:t>
                  </w:r>
                </w:p>
              </w:tc>
              <w:tc>
                <w:tcPr>
                  <w:tcW w:w="1873" w:type="dxa"/>
                  <w:vMerge w:val="continue"/>
                  <w:vAlign w:val="center"/>
                </w:tcPr>
                <w:p w14:paraId="09DCE896">
                  <w:pPr>
                    <w:spacing w:line="276" w:lineRule="auto"/>
                    <w:jc w:val="center"/>
                    <w:rPr>
                      <w:szCs w:val="21"/>
                    </w:rPr>
                  </w:pPr>
                </w:p>
              </w:tc>
            </w:tr>
          </w:tbl>
          <w:p w14:paraId="47EEEACE">
            <w:pPr>
              <w:spacing w:line="360" w:lineRule="auto"/>
              <w:ind w:firstLine="480" w:firstLineChars="200"/>
              <w:rPr>
                <w:sz w:val="24"/>
                <w:szCs w:val="24"/>
              </w:rPr>
            </w:pPr>
            <w:r>
              <w:rPr>
                <w:rFonts w:hint="eastAsia"/>
                <w:kern w:val="0"/>
                <w:sz w:val="24"/>
              </w:rPr>
              <w:t>本项目主要危险物质为危险废物、邻苯二甲酸二甲酯、双草酸酯、乙醇、甲烷，厂区危废暂存间、化学品库设置重点防渗，因此对土壤和地下水环境风险较小。大气环境的风险影响主要为燃爆事故带来的伴生大气污染影响。</w:t>
            </w:r>
          </w:p>
          <w:p w14:paraId="2552A6AF">
            <w:pPr>
              <w:spacing w:line="360" w:lineRule="auto"/>
              <w:ind w:firstLine="480" w:firstLineChars="200"/>
              <w:rPr>
                <w:sz w:val="24"/>
                <w:szCs w:val="24"/>
              </w:rPr>
            </w:pPr>
            <w:r>
              <w:rPr>
                <w:rFonts w:hint="eastAsia"/>
                <w:sz w:val="24"/>
                <w:szCs w:val="24"/>
              </w:rPr>
              <w:t>4、环境风险单元风险防范措施</w:t>
            </w:r>
          </w:p>
          <w:p w14:paraId="53942458">
            <w:pPr>
              <w:pStyle w:val="167"/>
              <w:adjustRightInd/>
              <w:snapToGrid/>
              <w:spacing w:line="360" w:lineRule="auto"/>
              <w:ind w:firstLine="480"/>
              <w:rPr>
                <w:sz w:val="24"/>
                <w:szCs w:val="24"/>
              </w:rPr>
            </w:pPr>
            <w:r>
              <w:rPr>
                <w:rFonts w:hint="eastAsia"/>
                <w:sz w:val="24"/>
                <w:szCs w:val="24"/>
              </w:rPr>
              <w:t>（</w:t>
            </w:r>
            <w:r>
              <w:rPr>
                <w:sz w:val="24"/>
                <w:szCs w:val="24"/>
              </w:rPr>
              <w:t>1</w:t>
            </w:r>
            <w:r>
              <w:rPr>
                <w:rFonts w:hint="eastAsia"/>
                <w:sz w:val="24"/>
                <w:szCs w:val="24"/>
              </w:rPr>
              <w:t>）化学品库环境风险防范措施</w:t>
            </w:r>
          </w:p>
          <w:p w14:paraId="1C7E4F6C">
            <w:pPr>
              <w:pStyle w:val="167"/>
              <w:adjustRightInd/>
              <w:snapToGrid/>
              <w:spacing w:line="360" w:lineRule="auto"/>
              <w:ind w:firstLine="480"/>
              <w:rPr>
                <w:sz w:val="24"/>
                <w:szCs w:val="24"/>
              </w:rPr>
            </w:pPr>
            <w:r>
              <w:rPr>
                <w:sz w:val="24"/>
                <w:szCs w:val="24"/>
              </w:rPr>
              <w:t>1</w:t>
            </w:r>
            <w:r>
              <w:rPr>
                <w:rFonts w:hint="eastAsia"/>
                <w:sz w:val="24"/>
                <w:szCs w:val="24"/>
              </w:rPr>
              <w:t>）泄漏</w:t>
            </w:r>
          </w:p>
          <w:p w14:paraId="5FB6175E">
            <w:pPr>
              <w:pStyle w:val="167"/>
              <w:adjustRightInd/>
              <w:snapToGrid/>
              <w:spacing w:line="360" w:lineRule="auto"/>
              <w:ind w:firstLine="480"/>
              <w:rPr>
                <w:sz w:val="24"/>
                <w:szCs w:val="24"/>
              </w:rPr>
            </w:pPr>
            <w:r>
              <w:rPr>
                <w:rFonts w:hint="eastAsia"/>
                <w:sz w:val="24"/>
                <w:szCs w:val="24"/>
              </w:rPr>
              <w:t>①厂区化学品库</w:t>
            </w:r>
            <w:r>
              <w:rPr>
                <w:rFonts w:hint="eastAsia"/>
                <w:sz w:val="24"/>
              </w:rPr>
              <w:t>地面应做耐腐蚀、防渗漏处理，防渗层为</w:t>
            </w:r>
            <w:r>
              <w:rPr>
                <w:sz w:val="24"/>
              </w:rPr>
              <w:t>2mm</w:t>
            </w:r>
            <w:r>
              <w:rPr>
                <w:rFonts w:hint="eastAsia"/>
                <w:sz w:val="24"/>
              </w:rPr>
              <w:t>厚人工材料</w:t>
            </w:r>
            <w:r>
              <w:rPr>
                <w:rFonts w:ascii="宋体" w:hAnsi="宋体"/>
                <w:sz w:val="24"/>
              </w:rPr>
              <w:t>(</w:t>
            </w:r>
            <w:r>
              <w:rPr>
                <w:rFonts w:hint="eastAsia" w:ascii="宋体" w:hAnsi="宋体"/>
                <w:sz w:val="24"/>
              </w:rPr>
              <w:t>防渗</w:t>
            </w:r>
            <w:r>
              <w:rPr>
                <w:rFonts w:hint="eastAsia"/>
                <w:sz w:val="24"/>
              </w:rPr>
              <w:t>系数</w:t>
            </w:r>
            <w:r>
              <w:rPr>
                <w:sz w:val="24"/>
              </w:rPr>
              <w:t>&lt;10</w:t>
            </w:r>
            <w:r>
              <w:rPr>
                <w:sz w:val="24"/>
                <w:vertAlign w:val="superscript"/>
              </w:rPr>
              <w:t>-10</w:t>
            </w:r>
            <w:r>
              <w:rPr>
                <w:sz w:val="24"/>
              </w:rPr>
              <w:t>cm/s</w:t>
            </w:r>
            <w:r>
              <w:rPr>
                <w:rFonts w:hint="eastAsia"/>
                <w:sz w:val="24"/>
              </w:rPr>
              <w:t>），保证地面无裂痕；</w:t>
            </w:r>
          </w:p>
          <w:p w14:paraId="68350008">
            <w:pPr>
              <w:pStyle w:val="167"/>
              <w:tabs>
                <w:tab w:val="left" w:pos="5785"/>
              </w:tabs>
              <w:adjustRightInd/>
              <w:snapToGrid/>
              <w:spacing w:line="360" w:lineRule="auto"/>
              <w:ind w:firstLine="480"/>
              <w:rPr>
                <w:sz w:val="24"/>
                <w:szCs w:val="24"/>
              </w:rPr>
            </w:pPr>
            <w:r>
              <w:rPr>
                <w:rFonts w:hint="eastAsia"/>
                <w:sz w:val="24"/>
                <w:szCs w:val="24"/>
              </w:rPr>
              <w:t>②化学品库内</w:t>
            </w:r>
            <w:r>
              <w:rPr>
                <w:rFonts w:hint="eastAsia"/>
                <w:kern w:val="0"/>
                <w:sz w:val="24"/>
              </w:rPr>
              <w:t>邻苯二甲酸二甲酯、双草酸酯、乙醇</w:t>
            </w:r>
            <w:r>
              <w:rPr>
                <w:rFonts w:hint="eastAsia"/>
                <w:sz w:val="24"/>
                <w:szCs w:val="24"/>
              </w:rPr>
              <w:t>储存应设置防漏托盘内</w:t>
            </w:r>
            <w:r>
              <w:rPr>
                <w:rFonts w:hint="eastAsia"/>
                <w:sz w:val="24"/>
              </w:rPr>
              <w:t>，防止物料泄漏流出厂界；</w:t>
            </w:r>
          </w:p>
          <w:p w14:paraId="5A59F36E">
            <w:pPr>
              <w:pStyle w:val="167"/>
              <w:adjustRightInd/>
              <w:snapToGrid/>
              <w:spacing w:line="360" w:lineRule="auto"/>
              <w:ind w:firstLine="480"/>
              <w:rPr>
                <w:sz w:val="24"/>
                <w:szCs w:val="24"/>
              </w:rPr>
            </w:pPr>
            <w:r>
              <w:rPr>
                <w:rFonts w:hint="eastAsia"/>
                <w:sz w:val="24"/>
                <w:szCs w:val="24"/>
              </w:rPr>
              <w:t>③厂区</w:t>
            </w:r>
            <w:r>
              <w:rPr>
                <w:rFonts w:hint="eastAsia"/>
                <w:kern w:val="0"/>
                <w:sz w:val="24"/>
              </w:rPr>
              <w:t>邻苯二甲酸二甲酯、双草酸酯、乙醇</w:t>
            </w:r>
            <w:r>
              <w:rPr>
                <w:rFonts w:hint="eastAsia"/>
                <w:sz w:val="24"/>
                <w:szCs w:val="24"/>
              </w:rPr>
              <w:t>等原材料</w:t>
            </w:r>
            <w:r>
              <w:rPr>
                <w:rFonts w:hint="eastAsia" w:hAnsi="宋体"/>
                <w:kern w:val="0"/>
                <w:sz w:val="24"/>
              </w:rPr>
              <w:t>装卸、搬运及使用严守操作规程，应轻拿轻放，不得抛、摔、拖、碰、滚等方式进行搬运；</w:t>
            </w:r>
          </w:p>
          <w:p w14:paraId="2F71F239">
            <w:pPr>
              <w:pStyle w:val="167"/>
              <w:adjustRightInd/>
              <w:snapToGrid/>
              <w:spacing w:line="360" w:lineRule="auto"/>
              <w:ind w:firstLine="480"/>
              <w:rPr>
                <w:sz w:val="24"/>
                <w:szCs w:val="24"/>
              </w:rPr>
            </w:pPr>
            <w:r>
              <w:rPr>
                <w:rFonts w:hint="eastAsia"/>
                <w:sz w:val="24"/>
                <w:szCs w:val="24"/>
              </w:rPr>
              <w:t>④严格控制厂区原材料的存储量，不得超过临界量；</w:t>
            </w:r>
          </w:p>
          <w:p w14:paraId="599473C3">
            <w:pPr>
              <w:pStyle w:val="167"/>
              <w:adjustRightInd/>
              <w:snapToGrid/>
              <w:spacing w:line="360" w:lineRule="auto"/>
              <w:ind w:firstLine="480"/>
              <w:rPr>
                <w:sz w:val="24"/>
                <w:szCs w:val="24"/>
              </w:rPr>
            </w:pPr>
            <w:r>
              <w:rPr>
                <w:rFonts w:hint="eastAsia"/>
                <w:sz w:val="24"/>
                <w:szCs w:val="24"/>
              </w:rPr>
              <w:t>⑤</w:t>
            </w:r>
            <w:r>
              <w:rPr>
                <w:rFonts w:hint="eastAsia" w:hAnsi="宋体"/>
                <w:kern w:val="0"/>
                <w:sz w:val="24"/>
              </w:rPr>
              <w:t>加强操作人员的安全教育和培训，使其了解原辅材料泄漏的应急措施。</w:t>
            </w:r>
          </w:p>
          <w:p w14:paraId="3F28866B">
            <w:pPr>
              <w:pStyle w:val="167"/>
              <w:adjustRightInd/>
              <w:snapToGrid/>
              <w:spacing w:line="360" w:lineRule="auto"/>
              <w:ind w:firstLine="480"/>
              <w:rPr>
                <w:sz w:val="24"/>
                <w:szCs w:val="24"/>
              </w:rPr>
            </w:pPr>
            <w:r>
              <w:rPr>
                <w:sz w:val="24"/>
                <w:szCs w:val="24"/>
              </w:rPr>
              <w:t>2</w:t>
            </w:r>
            <w:r>
              <w:rPr>
                <w:rFonts w:hint="eastAsia"/>
                <w:sz w:val="24"/>
                <w:szCs w:val="24"/>
              </w:rPr>
              <w:t>）火灾爆炸</w:t>
            </w:r>
          </w:p>
          <w:p w14:paraId="56D0AC23">
            <w:pPr>
              <w:autoSpaceDE w:val="0"/>
              <w:autoSpaceDN w:val="0"/>
              <w:adjustRightInd w:val="0"/>
              <w:spacing w:line="360" w:lineRule="auto"/>
              <w:ind w:firstLine="480" w:firstLineChars="200"/>
              <w:jc w:val="left"/>
              <w:rPr>
                <w:rFonts w:hAnsi="宋体"/>
                <w:kern w:val="0"/>
                <w:sz w:val="24"/>
              </w:rPr>
            </w:pPr>
            <w:r>
              <w:rPr>
                <w:rFonts w:hint="eastAsia" w:hAnsi="宋体"/>
                <w:kern w:val="0"/>
                <w:sz w:val="24"/>
              </w:rPr>
              <w:t>①加强对原材料供应商的审核管理，发现资质不全或过期，盛装容器外表破损、严重腐蚀等应立即做退回处理；</w:t>
            </w:r>
          </w:p>
          <w:p w14:paraId="3204C790">
            <w:pPr>
              <w:pStyle w:val="167"/>
              <w:adjustRightInd/>
              <w:snapToGrid/>
              <w:spacing w:line="360" w:lineRule="auto"/>
              <w:ind w:firstLine="480"/>
              <w:rPr>
                <w:sz w:val="24"/>
                <w:szCs w:val="24"/>
              </w:rPr>
            </w:pPr>
            <w:r>
              <w:rPr>
                <w:rFonts w:hint="eastAsia" w:hAnsi="宋体"/>
                <w:kern w:val="0"/>
                <w:sz w:val="24"/>
              </w:rPr>
              <w:t>②加强操作人员的安全教育和培训，使其了解公司使用原材料的危害特性及火灾事故下应急措施；</w:t>
            </w:r>
          </w:p>
          <w:p w14:paraId="3B400718">
            <w:pPr>
              <w:autoSpaceDE w:val="0"/>
              <w:autoSpaceDN w:val="0"/>
              <w:adjustRightInd w:val="0"/>
              <w:spacing w:line="360" w:lineRule="auto"/>
              <w:ind w:firstLine="480" w:firstLineChars="200"/>
              <w:jc w:val="left"/>
              <w:rPr>
                <w:rFonts w:hAnsi="宋体"/>
                <w:kern w:val="0"/>
                <w:sz w:val="24"/>
              </w:rPr>
            </w:pPr>
            <w:r>
              <w:rPr>
                <w:rFonts w:hint="eastAsia"/>
                <w:sz w:val="24"/>
                <w:szCs w:val="24"/>
              </w:rPr>
              <w:t>③</w:t>
            </w:r>
            <w:r>
              <w:rPr>
                <w:rFonts w:hint="eastAsia" w:hAnsi="宋体"/>
                <w:kern w:val="0"/>
                <w:sz w:val="24"/>
              </w:rPr>
              <w:t>保持原材料储存及使用场所的环境卫生，确保清洁、干燥、物品摆放整齐、道路通畅；</w:t>
            </w:r>
          </w:p>
          <w:p w14:paraId="49B78764">
            <w:pPr>
              <w:pStyle w:val="167"/>
              <w:adjustRightInd/>
              <w:snapToGrid/>
              <w:spacing w:line="360" w:lineRule="auto"/>
              <w:ind w:firstLine="480"/>
              <w:rPr>
                <w:sz w:val="24"/>
                <w:szCs w:val="24"/>
              </w:rPr>
            </w:pPr>
            <w:r>
              <w:rPr>
                <w:rFonts w:hint="eastAsia"/>
                <w:sz w:val="24"/>
                <w:szCs w:val="24"/>
              </w:rPr>
              <w:t>④化学品库应张贴防火标识，并配备消防灭火装置；</w:t>
            </w:r>
          </w:p>
          <w:p w14:paraId="15D9830D">
            <w:pPr>
              <w:pStyle w:val="167"/>
              <w:adjustRightInd/>
              <w:snapToGrid/>
              <w:spacing w:line="360" w:lineRule="auto"/>
              <w:ind w:firstLine="480"/>
              <w:rPr>
                <w:sz w:val="24"/>
                <w:szCs w:val="24"/>
              </w:rPr>
            </w:pPr>
            <w:r>
              <w:rPr>
                <w:rFonts w:hint="eastAsia"/>
                <w:sz w:val="24"/>
                <w:szCs w:val="24"/>
              </w:rPr>
              <w:t>⑤严禁在化学品库内吸烟和使用明火。</w:t>
            </w:r>
          </w:p>
          <w:p w14:paraId="552C6F1C">
            <w:pPr>
              <w:pStyle w:val="167"/>
              <w:adjustRightInd/>
              <w:snapToGrid/>
              <w:spacing w:line="360" w:lineRule="auto"/>
              <w:ind w:firstLine="480"/>
              <w:rPr>
                <w:sz w:val="24"/>
                <w:szCs w:val="24"/>
              </w:rPr>
            </w:pPr>
            <w:r>
              <w:rPr>
                <w:rFonts w:hint="eastAsia"/>
                <w:sz w:val="24"/>
                <w:szCs w:val="24"/>
              </w:rPr>
              <w:t>（</w:t>
            </w:r>
            <w:r>
              <w:rPr>
                <w:sz w:val="24"/>
                <w:szCs w:val="24"/>
              </w:rPr>
              <w:t>2</w:t>
            </w:r>
            <w:r>
              <w:rPr>
                <w:rFonts w:hint="eastAsia"/>
                <w:sz w:val="24"/>
                <w:szCs w:val="24"/>
              </w:rPr>
              <w:t>）危废暂存间环境风险防范措施</w:t>
            </w:r>
          </w:p>
          <w:p w14:paraId="6C498592">
            <w:pPr>
              <w:pStyle w:val="167"/>
              <w:adjustRightInd/>
              <w:snapToGrid/>
              <w:spacing w:line="360" w:lineRule="auto"/>
              <w:ind w:firstLine="480"/>
              <w:rPr>
                <w:sz w:val="24"/>
                <w:szCs w:val="24"/>
              </w:rPr>
            </w:pPr>
            <w:r>
              <w:rPr>
                <w:sz w:val="24"/>
                <w:szCs w:val="24"/>
              </w:rPr>
              <w:t>1</w:t>
            </w:r>
            <w:r>
              <w:rPr>
                <w:rFonts w:hint="eastAsia"/>
                <w:sz w:val="24"/>
                <w:szCs w:val="24"/>
              </w:rPr>
              <w:t>）泄漏</w:t>
            </w:r>
          </w:p>
          <w:p w14:paraId="3FA4F19D">
            <w:pPr>
              <w:spacing w:line="360" w:lineRule="auto"/>
              <w:ind w:firstLine="480" w:firstLineChars="200"/>
              <w:rPr>
                <w:sz w:val="24"/>
              </w:rPr>
            </w:pPr>
            <w:r>
              <w:rPr>
                <w:rFonts w:hint="eastAsia"/>
                <w:sz w:val="24"/>
              </w:rPr>
              <w:t>①危废暂存间应按照《危险废物贮存污染控制标准》的相关规定进行设置，各类危险废物应分类分开存放，并设置围堰。</w:t>
            </w:r>
          </w:p>
          <w:p w14:paraId="467D6CE9">
            <w:pPr>
              <w:spacing w:line="360" w:lineRule="auto"/>
              <w:ind w:firstLine="480" w:firstLineChars="200"/>
              <w:rPr>
                <w:sz w:val="24"/>
              </w:rPr>
            </w:pPr>
            <w:r>
              <w:rPr>
                <w:rFonts w:hint="eastAsia"/>
                <w:sz w:val="24"/>
              </w:rPr>
              <w:t>②危废贮存场地面应做耐腐蚀、防渗漏处理，防渗层为</w:t>
            </w:r>
            <w:r>
              <w:rPr>
                <w:sz w:val="24"/>
              </w:rPr>
              <w:t>2mm</w:t>
            </w:r>
            <w:r>
              <w:rPr>
                <w:rFonts w:hint="eastAsia"/>
                <w:sz w:val="24"/>
              </w:rPr>
              <w:t>厚人工材料</w:t>
            </w:r>
            <w:r>
              <w:rPr>
                <w:sz w:val="24"/>
              </w:rPr>
              <w:t>(</w:t>
            </w:r>
            <w:r>
              <w:rPr>
                <w:rFonts w:hint="eastAsia"/>
                <w:sz w:val="24"/>
              </w:rPr>
              <w:t>防渗系数</w:t>
            </w:r>
            <w:r>
              <w:rPr>
                <w:sz w:val="24"/>
              </w:rPr>
              <w:t>&lt;10</w:t>
            </w:r>
            <w:r>
              <w:rPr>
                <w:sz w:val="24"/>
                <w:vertAlign w:val="superscript"/>
              </w:rPr>
              <w:t>-10</w:t>
            </w:r>
            <w:r>
              <w:rPr>
                <w:sz w:val="24"/>
              </w:rPr>
              <w:t>cm/s</w:t>
            </w:r>
            <w:r>
              <w:rPr>
                <w:rFonts w:hint="eastAsia"/>
                <w:sz w:val="24"/>
              </w:rPr>
              <w:t>），保证地面无裂痕。</w:t>
            </w:r>
          </w:p>
          <w:p w14:paraId="26379D74">
            <w:pPr>
              <w:spacing w:line="360" w:lineRule="auto"/>
              <w:ind w:firstLine="480" w:firstLineChars="200"/>
              <w:rPr>
                <w:sz w:val="24"/>
              </w:rPr>
            </w:pPr>
            <w:r>
              <w:rPr>
                <w:rFonts w:hint="eastAsia"/>
                <w:sz w:val="24"/>
              </w:rPr>
              <w:t>③危废库清洗、离心废液采用桶装，危废暂存间内应设置导流沟、集液槽，防止危险废物泄漏流出厂界。</w:t>
            </w:r>
          </w:p>
          <w:p w14:paraId="18BFBC63">
            <w:pPr>
              <w:pStyle w:val="167"/>
              <w:adjustRightInd/>
              <w:snapToGrid/>
              <w:spacing w:line="360" w:lineRule="auto"/>
              <w:ind w:firstLine="480"/>
              <w:rPr>
                <w:sz w:val="24"/>
                <w:szCs w:val="24"/>
              </w:rPr>
            </w:pPr>
            <w:r>
              <w:rPr>
                <w:rFonts w:hint="eastAsia"/>
                <w:sz w:val="24"/>
                <w:szCs w:val="24"/>
              </w:rPr>
              <w:t>④加强员工环保意识，了解危废种类、收集、贮存要求及环境危害，建立健全危废台账制度，严格管理，责任到人。</w:t>
            </w:r>
          </w:p>
          <w:p w14:paraId="3883F763">
            <w:pPr>
              <w:pStyle w:val="167"/>
              <w:adjustRightInd/>
              <w:snapToGrid/>
              <w:spacing w:line="360" w:lineRule="auto"/>
              <w:ind w:firstLine="480"/>
              <w:rPr>
                <w:sz w:val="24"/>
                <w:szCs w:val="24"/>
              </w:rPr>
            </w:pPr>
            <w:r>
              <w:rPr>
                <w:sz w:val="24"/>
                <w:szCs w:val="24"/>
              </w:rPr>
              <w:t>2</w:t>
            </w:r>
            <w:r>
              <w:rPr>
                <w:rFonts w:hint="eastAsia"/>
                <w:sz w:val="24"/>
                <w:szCs w:val="24"/>
              </w:rPr>
              <w:t>）火灾爆炸</w:t>
            </w:r>
          </w:p>
          <w:p w14:paraId="5F2725F0">
            <w:pPr>
              <w:pStyle w:val="167"/>
              <w:adjustRightInd/>
              <w:snapToGrid/>
              <w:spacing w:line="360" w:lineRule="auto"/>
              <w:ind w:firstLine="480"/>
              <w:rPr>
                <w:sz w:val="24"/>
                <w:szCs w:val="24"/>
              </w:rPr>
            </w:pPr>
            <w:r>
              <w:rPr>
                <w:rFonts w:hint="eastAsia"/>
                <w:sz w:val="24"/>
                <w:szCs w:val="24"/>
              </w:rPr>
              <w:t>①严禁在危废暂存间内吸烟和使用明火</w:t>
            </w:r>
          </w:p>
          <w:p w14:paraId="628CD514">
            <w:pPr>
              <w:pStyle w:val="167"/>
              <w:adjustRightInd/>
              <w:snapToGrid/>
              <w:spacing w:line="360" w:lineRule="auto"/>
              <w:ind w:firstLine="480"/>
              <w:rPr>
                <w:sz w:val="24"/>
                <w:szCs w:val="24"/>
              </w:rPr>
            </w:pPr>
            <w:r>
              <w:rPr>
                <w:rFonts w:hint="eastAsia"/>
                <w:sz w:val="24"/>
                <w:szCs w:val="24"/>
              </w:rPr>
              <w:t>②灭火器摆放在相应位置，消防设施前严禁堆放任何物品。</w:t>
            </w:r>
          </w:p>
          <w:p w14:paraId="58C6E1E1">
            <w:pPr>
              <w:pStyle w:val="167"/>
              <w:adjustRightInd/>
              <w:snapToGrid/>
              <w:spacing w:line="360" w:lineRule="auto"/>
              <w:ind w:firstLine="480"/>
              <w:rPr>
                <w:sz w:val="24"/>
                <w:szCs w:val="24"/>
              </w:rPr>
            </w:pPr>
            <w:r>
              <w:rPr>
                <w:rFonts w:hint="eastAsia"/>
                <w:sz w:val="24"/>
                <w:szCs w:val="24"/>
              </w:rPr>
              <w:t>（</w:t>
            </w:r>
            <w:r>
              <w:rPr>
                <w:sz w:val="24"/>
                <w:szCs w:val="24"/>
              </w:rPr>
              <w:t>3</w:t>
            </w:r>
            <w:r>
              <w:rPr>
                <w:rFonts w:hint="eastAsia"/>
                <w:sz w:val="24"/>
                <w:szCs w:val="24"/>
              </w:rPr>
              <w:t>）废气处理设施故障环境风险防范措施</w:t>
            </w:r>
          </w:p>
          <w:p w14:paraId="7A8CA639">
            <w:pPr>
              <w:autoSpaceDE w:val="0"/>
              <w:autoSpaceDN w:val="0"/>
              <w:spacing w:line="360" w:lineRule="auto"/>
              <w:ind w:firstLine="480" w:firstLineChars="200"/>
              <w:rPr>
                <w:sz w:val="24"/>
              </w:rPr>
            </w:pPr>
            <w:r>
              <w:rPr>
                <w:rFonts w:hint="eastAsia"/>
                <w:sz w:val="24"/>
              </w:rPr>
              <w:t>①建立废气治理设施运行管理台账，台账中应标明排放口编号，排放限值、设备开关机时间、设备运行状态以及记录人等；</w:t>
            </w:r>
          </w:p>
          <w:p w14:paraId="06B54F9D">
            <w:pPr>
              <w:autoSpaceDE w:val="0"/>
              <w:autoSpaceDN w:val="0"/>
              <w:spacing w:line="360" w:lineRule="auto"/>
              <w:ind w:firstLine="480" w:firstLineChars="200"/>
              <w:rPr>
                <w:sz w:val="24"/>
              </w:rPr>
            </w:pPr>
            <w:r>
              <w:rPr>
                <w:rFonts w:hint="eastAsia"/>
                <w:sz w:val="24"/>
              </w:rPr>
              <w:t>②明确污染治理设施管理责任人及相应职责，定期组织污染治理设施管理岗位的能力培训；</w:t>
            </w:r>
          </w:p>
          <w:p w14:paraId="7F41E803">
            <w:pPr>
              <w:autoSpaceDE w:val="0"/>
              <w:autoSpaceDN w:val="0"/>
              <w:spacing w:line="360" w:lineRule="auto"/>
              <w:ind w:firstLine="480" w:firstLineChars="200"/>
              <w:rPr>
                <w:sz w:val="24"/>
              </w:rPr>
            </w:pPr>
            <w:r>
              <w:rPr>
                <w:rFonts w:hint="eastAsia"/>
                <w:sz w:val="24"/>
              </w:rPr>
              <w:t>③明确污染治理设施关键运行参数的控制窗口，并制定污染治理设施运行作业指导书。</w:t>
            </w:r>
          </w:p>
          <w:p w14:paraId="22D255C5">
            <w:pPr>
              <w:pStyle w:val="167"/>
              <w:adjustRightInd/>
              <w:snapToGrid/>
              <w:spacing w:line="360" w:lineRule="auto"/>
              <w:ind w:firstLine="480"/>
              <w:rPr>
                <w:sz w:val="24"/>
                <w:szCs w:val="24"/>
              </w:rPr>
            </w:pPr>
            <w:r>
              <w:rPr>
                <w:rFonts w:hint="eastAsia"/>
                <w:sz w:val="24"/>
              </w:rPr>
              <w:t>④加强对生产设备以及环保设备的日常检修，发现故障及时维护、维修。</w:t>
            </w:r>
          </w:p>
          <w:p w14:paraId="11214BF6">
            <w:pPr>
              <w:spacing w:line="360" w:lineRule="auto"/>
              <w:ind w:firstLine="480" w:firstLineChars="200"/>
              <w:rPr>
                <w:sz w:val="24"/>
              </w:rPr>
            </w:pPr>
            <w:r>
              <w:rPr>
                <w:rFonts w:hint="eastAsia"/>
                <w:sz w:val="24"/>
              </w:rPr>
              <w:t>5、环境风险评价结论</w:t>
            </w:r>
          </w:p>
          <w:p w14:paraId="5BAB9F85">
            <w:pPr>
              <w:spacing w:line="360" w:lineRule="auto"/>
              <w:ind w:firstLine="480" w:firstLineChars="200"/>
              <w:rPr>
                <w:sz w:val="24"/>
              </w:rPr>
            </w:pPr>
            <w:r>
              <w:rPr>
                <w:rFonts w:hint="eastAsia"/>
                <w:sz w:val="24"/>
              </w:rPr>
              <w:t>参照《建设项目环境风险评价技术导则》附录</w:t>
            </w:r>
            <w:r>
              <w:rPr>
                <w:sz w:val="24"/>
              </w:rPr>
              <w:t>B</w:t>
            </w:r>
            <w:r>
              <w:rPr>
                <w:rFonts w:hint="eastAsia"/>
                <w:sz w:val="24"/>
              </w:rPr>
              <w:t>，本项目风险潜势为</w:t>
            </w:r>
            <w:r>
              <w:rPr>
                <w:sz w:val="24"/>
              </w:rPr>
              <w:t>I</w:t>
            </w:r>
            <w:r>
              <w:rPr>
                <w:rFonts w:hint="eastAsia"/>
                <w:sz w:val="24"/>
              </w:rPr>
              <w:t>。根据风险分析和以上风险防范措施的设立，可以较为有效的防范风险事故的发生和有效处置，并结合企业在下一步设计、运营过程中不断制定和完善的风险防范措施和应急预案，本项目所发生的环境风险可以控制在较低的水平，并能减少或者避免风险事的发生，事故风险处于可接收水平。综上所述，在加强监控、建立上述风险防范措施的情况下，本项目的环境风险可控。</w:t>
            </w:r>
          </w:p>
          <w:p w14:paraId="1606001E">
            <w:pPr>
              <w:spacing w:line="360" w:lineRule="auto"/>
              <w:ind w:firstLine="480" w:firstLineChars="200"/>
              <w:rPr>
                <w:sz w:val="24"/>
              </w:rPr>
            </w:pPr>
            <w:r>
              <w:rPr>
                <w:rFonts w:hint="eastAsia"/>
                <w:sz w:val="24"/>
              </w:rPr>
              <w:t>按照以上基本内容，填写的简单分析内容表如下：</w:t>
            </w:r>
          </w:p>
          <w:p w14:paraId="283A22C8">
            <w:pPr>
              <w:pStyle w:val="108"/>
              <w:adjustRightInd/>
              <w:spacing w:line="360" w:lineRule="auto"/>
              <w:jc w:val="center"/>
              <w:rPr>
                <w:rFonts w:eastAsia="黑体"/>
                <w:bCs/>
                <w:color w:val="auto"/>
                <w:sz w:val="21"/>
                <w:szCs w:val="21"/>
              </w:rPr>
            </w:pPr>
            <w:r>
              <w:rPr>
                <w:rFonts w:hint="eastAsia" w:hAnsi="黑体" w:eastAsia="黑体"/>
                <w:color w:val="auto"/>
              </w:rPr>
              <w:t>表56  建设项目环境风险简单分析内容表</w:t>
            </w:r>
          </w:p>
          <w:tbl>
            <w:tblPr>
              <w:tblStyle w:val="35"/>
              <w:tblW w:w="83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864"/>
              <w:gridCol w:w="2156"/>
              <w:gridCol w:w="1290"/>
              <w:gridCol w:w="2255"/>
            </w:tblGrid>
            <w:tr w14:paraId="6876A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0" w:type="dxa"/>
                  <w:vAlign w:val="center"/>
                </w:tcPr>
                <w:p w14:paraId="1F319BC8">
                  <w:pPr>
                    <w:rPr>
                      <w:szCs w:val="21"/>
                    </w:rPr>
                  </w:pPr>
                  <w:r>
                    <w:rPr>
                      <w:szCs w:val="21"/>
                    </w:rPr>
                    <w:t>建设项目名称</w:t>
                  </w:r>
                </w:p>
              </w:tc>
              <w:tc>
                <w:tcPr>
                  <w:tcW w:w="6565" w:type="dxa"/>
                  <w:gridSpan w:val="4"/>
                  <w:vAlign w:val="center"/>
                </w:tcPr>
                <w:p w14:paraId="00D12575">
                  <w:pPr>
                    <w:jc w:val="center"/>
                    <w:rPr>
                      <w:szCs w:val="21"/>
                    </w:rPr>
                  </w:pPr>
                  <w:r>
                    <w:rPr>
                      <w:rFonts w:hint="eastAsia"/>
                      <w:szCs w:val="21"/>
                    </w:rPr>
                    <w:t>淮南市梦趣玩具有限公司年产9000万只荧光棒生产线建设项目</w:t>
                  </w:r>
                </w:p>
              </w:tc>
            </w:tr>
            <w:tr w14:paraId="63106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0" w:type="dxa"/>
                  <w:vAlign w:val="center"/>
                </w:tcPr>
                <w:p w14:paraId="3BDB423A">
                  <w:pPr>
                    <w:rPr>
                      <w:szCs w:val="21"/>
                    </w:rPr>
                  </w:pPr>
                  <w:r>
                    <w:rPr>
                      <w:szCs w:val="21"/>
                    </w:rPr>
                    <w:t>建设地点</w:t>
                  </w:r>
                </w:p>
              </w:tc>
              <w:tc>
                <w:tcPr>
                  <w:tcW w:w="6565" w:type="dxa"/>
                  <w:gridSpan w:val="4"/>
                  <w:vAlign w:val="center"/>
                </w:tcPr>
                <w:p w14:paraId="605533F2">
                  <w:pPr>
                    <w:jc w:val="center"/>
                    <w:rPr>
                      <w:szCs w:val="21"/>
                    </w:rPr>
                  </w:pPr>
                  <w:r>
                    <w:rPr>
                      <w:rFonts w:hint="eastAsia"/>
                      <w:szCs w:val="21"/>
                    </w:rPr>
                    <w:t>安徽省淮南市毛集经济开发区工业城2号楼1层和3层</w:t>
                  </w:r>
                </w:p>
              </w:tc>
            </w:tr>
            <w:tr w14:paraId="5AD1A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0" w:type="dxa"/>
                  <w:vAlign w:val="center"/>
                </w:tcPr>
                <w:p w14:paraId="5FDB6DB6">
                  <w:pPr>
                    <w:rPr>
                      <w:szCs w:val="21"/>
                    </w:rPr>
                  </w:pPr>
                  <w:r>
                    <w:rPr>
                      <w:szCs w:val="21"/>
                    </w:rPr>
                    <w:t>地理坐标</w:t>
                  </w:r>
                </w:p>
              </w:tc>
              <w:tc>
                <w:tcPr>
                  <w:tcW w:w="864" w:type="dxa"/>
                  <w:vAlign w:val="center"/>
                </w:tcPr>
                <w:p w14:paraId="7647BDA9">
                  <w:pPr>
                    <w:jc w:val="center"/>
                    <w:rPr>
                      <w:szCs w:val="21"/>
                    </w:rPr>
                  </w:pPr>
                  <w:r>
                    <w:rPr>
                      <w:szCs w:val="21"/>
                    </w:rPr>
                    <w:t>经度</w:t>
                  </w:r>
                </w:p>
              </w:tc>
              <w:tc>
                <w:tcPr>
                  <w:tcW w:w="2156" w:type="dxa"/>
                  <w:vAlign w:val="center"/>
                </w:tcPr>
                <w:p w14:paraId="51810E7D">
                  <w:pPr>
                    <w:jc w:val="center"/>
                    <w:rPr>
                      <w:szCs w:val="21"/>
                    </w:rPr>
                  </w:pPr>
                  <w:r>
                    <w:rPr>
                      <w:szCs w:val="21"/>
                    </w:rPr>
                    <w:t>116</w:t>
                  </w:r>
                  <w:r>
                    <w:rPr>
                      <w:rFonts w:hint="eastAsia"/>
                      <w:szCs w:val="21"/>
                    </w:rPr>
                    <w:t>°35′42.612″</w:t>
                  </w:r>
                </w:p>
              </w:tc>
              <w:tc>
                <w:tcPr>
                  <w:tcW w:w="1290" w:type="dxa"/>
                  <w:vAlign w:val="center"/>
                </w:tcPr>
                <w:p w14:paraId="6817B8FA">
                  <w:pPr>
                    <w:jc w:val="center"/>
                    <w:rPr>
                      <w:szCs w:val="21"/>
                    </w:rPr>
                  </w:pPr>
                  <w:r>
                    <w:rPr>
                      <w:szCs w:val="21"/>
                    </w:rPr>
                    <w:t>纬度</w:t>
                  </w:r>
                </w:p>
              </w:tc>
              <w:tc>
                <w:tcPr>
                  <w:tcW w:w="2255" w:type="dxa"/>
                  <w:vAlign w:val="center"/>
                </w:tcPr>
                <w:p w14:paraId="1EB3F307">
                  <w:pPr>
                    <w:jc w:val="center"/>
                    <w:rPr>
                      <w:szCs w:val="21"/>
                    </w:rPr>
                  </w:pPr>
                  <w:r>
                    <w:rPr>
                      <w:szCs w:val="21"/>
                    </w:rPr>
                    <w:t>3</w:t>
                  </w:r>
                  <w:r>
                    <w:rPr>
                      <w:rFonts w:hint="eastAsia"/>
                      <w:szCs w:val="21"/>
                    </w:rPr>
                    <w:t>2°39′34.417″</w:t>
                  </w:r>
                </w:p>
              </w:tc>
            </w:tr>
            <w:tr w14:paraId="6D4C5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0" w:type="dxa"/>
                  <w:vAlign w:val="center"/>
                </w:tcPr>
                <w:p w14:paraId="7FED673E">
                  <w:pPr>
                    <w:rPr>
                      <w:szCs w:val="21"/>
                    </w:rPr>
                  </w:pPr>
                  <w:r>
                    <w:rPr>
                      <w:szCs w:val="21"/>
                    </w:rPr>
                    <w:t>主要危险物质及分布</w:t>
                  </w:r>
                </w:p>
              </w:tc>
              <w:tc>
                <w:tcPr>
                  <w:tcW w:w="6565" w:type="dxa"/>
                  <w:gridSpan w:val="4"/>
                  <w:vAlign w:val="center"/>
                </w:tcPr>
                <w:p w14:paraId="50F344B2">
                  <w:pPr>
                    <w:rPr>
                      <w:szCs w:val="21"/>
                    </w:rPr>
                  </w:pPr>
                  <w:r>
                    <w:rPr>
                      <w:szCs w:val="21"/>
                    </w:rPr>
                    <w:t>项目主要危险物质为</w:t>
                  </w:r>
                  <w:r>
                    <w:rPr>
                      <w:rFonts w:hint="eastAsia"/>
                      <w:szCs w:val="21"/>
                    </w:rPr>
                    <w:t>危险废物、邻苯二甲酸二甲酯、双草酸酯、乙醇</w:t>
                  </w:r>
                  <w:r>
                    <w:rPr>
                      <w:szCs w:val="21"/>
                    </w:rPr>
                    <w:t>，主要分布于</w:t>
                  </w:r>
                  <w:r>
                    <w:rPr>
                      <w:rFonts w:hint="eastAsia"/>
                      <w:szCs w:val="21"/>
                    </w:rPr>
                    <w:t>危废暂存间、化学品库</w:t>
                  </w:r>
                  <w:r>
                    <w:rPr>
                      <w:szCs w:val="21"/>
                    </w:rPr>
                    <w:t>。</w:t>
                  </w:r>
                </w:p>
              </w:tc>
            </w:tr>
            <w:tr w14:paraId="46E49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0" w:type="dxa"/>
                  <w:vAlign w:val="center"/>
                </w:tcPr>
                <w:p w14:paraId="1B124F58">
                  <w:pPr>
                    <w:rPr>
                      <w:szCs w:val="21"/>
                    </w:rPr>
                  </w:pPr>
                  <w:r>
                    <w:rPr>
                      <w:szCs w:val="21"/>
                    </w:rPr>
                    <w:t>环境影响途径及危害后果（大气、地表水、地下水等）</w:t>
                  </w:r>
                </w:p>
              </w:tc>
              <w:tc>
                <w:tcPr>
                  <w:tcW w:w="6565" w:type="dxa"/>
                  <w:gridSpan w:val="4"/>
                  <w:vAlign w:val="center"/>
                </w:tcPr>
                <w:p w14:paraId="1920348D">
                  <w:pPr>
                    <w:rPr>
                      <w:szCs w:val="21"/>
                    </w:rPr>
                  </w:pPr>
                  <w:r>
                    <w:rPr>
                      <w:rFonts w:hint="eastAsia"/>
                      <w:szCs w:val="21"/>
                    </w:rPr>
                    <w:t>危险废物、邻苯二甲酸二甲酯、双草酸酯、乙醇、液化天然气</w:t>
                  </w:r>
                  <w:r>
                    <w:rPr>
                      <w:szCs w:val="21"/>
                    </w:rPr>
                    <w:t>如发生泄露，</w:t>
                  </w:r>
                  <w:r>
                    <w:rPr>
                      <w:rFonts w:hint="eastAsia"/>
                      <w:kern w:val="0"/>
                      <w:szCs w:val="21"/>
                    </w:rPr>
                    <w:t>发生火灾爆炸会伴生大气污染物，污染大气环境</w:t>
                  </w:r>
                  <w:r>
                    <w:rPr>
                      <w:szCs w:val="21"/>
                    </w:rPr>
                    <w:t>。清洗废液、离心废液泄漏下渗会污染地下水、土壤环境。</w:t>
                  </w:r>
                </w:p>
              </w:tc>
            </w:tr>
            <w:tr w14:paraId="2A0BB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0" w:type="dxa"/>
                  <w:vAlign w:val="center"/>
                </w:tcPr>
                <w:p w14:paraId="35389F89">
                  <w:pPr>
                    <w:rPr>
                      <w:szCs w:val="21"/>
                    </w:rPr>
                  </w:pPr>
                  <w:r>
                    <w:rPr>
                      <w:szCs w:val="21"/>
                    </w:rPr>
                    <w:t>风险防范措施要求</w:t>
                  </w:r>
                </w:p>
              </w:tc>
              <w:tc>
                <w:tcPr>
                  <w:tcW w:w="6565" w:type="dxa"/>
                  <w:gridSpan w:val="4"/>
                  <w:vAlign w:val="center"/>
                </w:tcPr>
                <w:p w14:paraId="32765E59">
                  <w:pPr>
                    <w:rPr>
                      <w:szCs w:val="21"/>
                    </w:rPr>
                  </w:pPr>
                  <w:r>
                    <w:rPr>
                      <w:rFonts w:hint="eastAsia" w:ascii="宋体" w:hAnsi="宋体" w:cs="宋体"/>
                      <w:szCs w:val="21"/>
                    </w:rPr>
                    <w:t>①</w:t>
                  </w:r>
                  <w:r>
                    <w:rPr>
                      <w:szCs w:val="21"/>
                    </w:rPr>
                    <w:t>厂房地面按重点防渗、一般防渗要求做好防渗、防漏、防腐蚀，地面进行硬化等措施；</w:t>
                  </w:r>
                </w:p>
                <w:p w14:paraId="7FA412B7">
                  <w:pPr>
                    <w:rPr>
                      <w:szCs w:val="21"/>
                    </w:rPr>
                  </w:pPr>
                  <w:r>
                    <w:rPr>
                      <w:rFonts w:hint="eastAsia"/>
                      <w:szCs w:val="21"/>
                    </w:rPr>
                    <w:t>②在天然气</w:t>
                  </w:r>
                  <w:r>
                    <w:rPr>
                      <w:szCs w:val="21"/>
                    </w:rPr>
                    <w:t>易燃、易爆、易泄漏处设置火灾探测及报警装置，如可燃气体报警器；</w:t>
                  </w:r>
                </w:p>
                <w:p w14:paraId="1886EB11">
                  <w:pPr>
                    <w:rPr>
                      <w:szCs w:val="21"/>
                    </w:rPr>
                  </w:pPr>
                  <w:r>
                    <w:rPr>
                      <w:rFonts w:hint="eastAsia"/>
                      <w:szCs w:val="21"/>
                    </w:rPr>
                    <w:t>③制订企业突发环境事件应急预案。</w:t>
                  </w:r>
                </w:p>
              </w:tc>
            </w:tr>
            <w:tr w14:paraId="6E4AF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05" w:type="dxa"/>
                  <w:gridSpan w:val="5"/>
                  <w:vAlign w:val="center"/>
                </w:tcPr>
                <w:p w14:paraId="65C3A84C">
                  <w:pPr>
                    <w:rPr>
                      <w:szCs w:val="21"/>
                    </w:rPr>
                  </w:pPr>
                  <w:r>
                    <w:rPr>
                      <w:szCs w:val="21"/>
                    </w:rPr>
                    <w:t>填表说明（列出项目相关信息及评价说明）：</w:t>
                  </w:r>
                </w:p>
                <w:p w14:paraId="64EB2680">
                  <w:pPr>
                    <w:rPr>
                      <w:szCs w:val="21"/>
                    </w:rPr>
                  </w:pPr>
                  <w:r>
                    <w:rPr>
                      <w:szCs w:val="21"/>
                    </w:rPr>
                    <w:t>建设项目存在一定潜在事故风险，要加强风险管理，在项目生产、管理过程中认真落实各种风险防范措施，通过相应的技术手段降低风险发生概率，并在风险事故发生后，及时采取风险防范措施及应急预案，可以使风险事故对环境的危害得到有效控制，将事故风险控制在可以接受的范围内，故该项目事故风险水平是可以接受的。</w:t>
                  </w:r>
                </w:p>
              </w:tc>
            </w:tr>
          </w:tbl>
          <w:p w14:paraId="70F14C91">
            <w:pPr>
              <w:pStyle w:val="108"/>
              <w:spacing w:line="360" w:lineRule="auto"/>
              <w:rPr>
                <w:color w:val="auto"/>
              </w:rPr>
            </w:pPr>
          </w:p>
          <w:p w14:paraId="02B56231">
            <w:pPr>
              <w:pStyle w:val="108"/>
              <w:spacing w:line="360" w:lineRule="auto"/>
              <w:rPr>
                <w:color w:val="auto"/>
              </w:rPr>
            </w:pPr>
          </w:p>
          <w:p w14:paraId="40520BFD">
            <w:pPr>
              <w:pStyle w:val="108"/>
              <w:spacing w:line="360" w:lineRule="auto"/>
              <w:rPr>
                <w:color w:val="auto"/>
              </w:rPr>
            </w:pPr>
          </w:p>
          <w:p w14:paraId="4866B53E">
            <w:pPr>
              <w:pStyle w:val="108"/>
              <w:rPr>
                <w:color w:val="auto"/>
              </w:rPr>
            </w:pPr>
          </w:p>
        </w:tc>
      </w:tr>
    </w:tbl>
    <w:p w14:paraId="7BEAFF8B">
      <w:pPr>
        <w:widowControl/>
        <w:outlineLvl w:val="0"/>
        <w:rPr>
          <w:rFonts w:ascii="宋体" w:hAnsi="宋体"/>
          <w:b/>
          <w:bCs/>
          <w:kern w:val="0"/>
          <w:sz w:val="30"/>
          <w:szCs w:val="30"/>
        </w:rPr>
        <w:sectPr>
          <w:footerReference r:id="rId7" w:type="default"/>
          <w:pgSz w:w="11906" w:h="16838"/>
          <w:pgMar w:top="1440" w:right="1508" w:bottom="1440" w:left="1797" w:header="851" w:footer="992" w:gutter="0"/>
          <w:cols w:space="720" w:num="1"/>
          <w:docGrid w:type="lines" w:linePitch="312" w:charSpace="0"/>
        </w:sectPr>
      </w:pPr>
    </w:p>
    <w:bookmarkEnd w:id="11"/>
    <w:p w14:paraId="6E39B96E">
      <w:pPr>
        <w:widowControl/>
        <w:jc w:val="center"/>
        <w:outlineLvl w:val="0"/>
        <w:rPr>
          <w:rFonts w:ascii="宋体" w:hAnsi="宋体"/>
          <w:b/>
          <w:bCs/>
          <w:kern w:val="0"/>
          <w:sz w:val="30"/>
          <w:szCs w:val="30"/>
        </w:rPr>
      </w:pPr>
      <w:r>
        <w:rPr>
          <w:rFonts w:hint="eastAsia" w:ascii="宋体" w:hAnsi="宋体"/>
          <w:b/>
          <w:bCs/>
          <w:kern w:val="0"/>
          <w:sz w:val="30"/>
          <w:szCs w:val="30"/>
        </w:rPr>
        <w:t>五、环境</w:t>
      </w:r>
      <w:r>
        <w:rPr>
          <w:rFonts w:ascii="宋体" w:hAnsi="宋体"/>
          <w:b/>
          <w:bCs/>
          <w:kern w:val="0"/>
          <w:sz w:val="30"/>
          <w:szCs w:val="30"/>
        </w:rPr>
        <w:t>保护措施监督检查清单</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5"/>
        <w:gridCol w:w="1748"/>
        <w:gridCol w:w="1536"/>
        <w:gridCol w:w="2493"/>
        <w:gridCol w:w="2105"/>
      </w:tblGrid>
      <w:tr w14:paraId="5EE2E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9" w:hRule="atLeast"/>
          <w:jc w:val="center"/>
        </w:trPr>
        <w:tc>
          <w:tcPr>
            <w:tcW w:w="530" w:type="pct"/>
            <w:tcBorders>
              <w:top w:val="single" w:color="000000" w:sz="6" w:space="0"/>
              <w:left w:val="single" w:color="000000" w:sz="6" w:space="0"/>
              <w:tl2br w:val="single" w:color="auto" w:sz="6" w:space="0"/>
            </w:tcBorders>
            <w:vAlign w:val="center"/>
          </w:tcPr>
          <w:p w14:paraId="1557ACC9">
            <w:pPr>
              <w:spacing w:line="276" w:lineRule="auto"/>
              <w:jc w:val="right"/>
              <w:rPr>
                <w:b/>
                <w:bCs/>
                <w:sz w:val="24"/>
                <w:szCs w:val="24"/>
              </w:rPr>
            </w:pPr>
            <w:r>
              <w:rPr>
                <w:b/>
                <w:bCs/>
                <w:sz w:val="24"/>
                <w:szCs w:val="24"/>
              </w:rPr>
              <w:t>内容</w:t>
            </w:r>
          </w:p>
          <w:p w14:paraId="317FD6AB">
            <w:pPr>
              <w:spacing w:line="276" w:lineRule="auto"/>
              <w:jc w:val="left"/>
              <w:rPr>
                <w:b/>
                <w:bCs/>
                <w:sz w:val="24"/>
                <w:szCs w:val="24"/>
              </w:rPr>
            </w:pPr>
            <w:r>
              <w:rPr>
                <w:rFonts w:hint="eastAsia"/>
                <w:b/>
                <w:bCs/>
                <w:sz w:val="24"/>
                <w:szCs w:val="24"/>
              </w:rPr>
              <w:t>要素</w:t>
            </w:r>
          </w:p>
        </w:tc>
        <w:tc>
          <w:tcPr>
            <w:tcW w:w="991" w:type="pct"/>
            <w:tcBorders>
              <w:top w:val="single" w:color="000000" w:sz="6" w:space="0"/>
            </w:tcBorders>
            <w:vAlign w:val="center"/>
          </w:tcPr>
          <w:p w14:paraId="782A14A3">
            <w:pPr>
              <w:spacing w:line="276" w:lineRule="auto"/>
              <w:jc w:val="center"/>
              <w:rPr>
                <w:b/>
                <w:bCs/>
                <w:sz w:val="24"/>
                <w:szCs w:val="24"/>
              </w:rPr>
            </w:pPr>
            <w:r>
              <w:rPr>
                <w:rFonts w:hint="eastAsia"/>
                <w:b/>
                <w:bCs/>
                <w:sz w:val="24"/>
                <w:szCs w:val="24"/>
              </w:rPr>
              <w:t>排放口（编号、名称）/污染源</w:t>
            </w:r>
          </w:p>
        </w:tc>
        <w:tc>
          <w:tcPr>
            <w:tcW w:w="871" w:type="pct"/>
            <w:tcBorders>
              <w:top w:val="single" w:color="000000" w:sz="6" w:space="0"/>
            </w:tcBorders>
            <w:vAlign w:val="center"/>
          </w:tcPr>
          <w:p w14:paraId="753952BD">
            <w:pPr>
              <w:spacing w:line="276" w:lineRule="auto"/>
              <w:jc w:val="center"/>
              <w:rPr>
                <w:b/>
                <w:bCs/>
                <w:sz w:val="24"/>
                <w:szCs w:val="24"/>
              </w:rPr>
            </w:pPr>
            <w:r>
              <w:rPr>
                <w:rFonts w:hint="eastAsia"/>
                <w:b/>
                <w:bCs/>
                <w:sz w:val="24"/>
                <w:szCs w:val="24"/>
              </w:rPr>
              <w:t>污染物</w:t>
            </w:r>
            <w:r>
              <w:rPr>
                <w:b/>
                <w:bCs/>
                <w:sz w:val="24"/>
                <w:szCs w:val="24"/>
              </w:rPr>
              <w:t>项目</w:t>
            </w:r>
          </w:p>
        </w:tc>
        <w:tc>
          <w:tcPr>
            <w:tcW w:w="1414" w:type="pct"/>
            <w:tcBorders>
              <w:top w:val="single" w:color="000000" w:sz="6" w:space="0"/>
            </w:tcBorders>
            <w:vAlign w:val="center"/>
          </w:tcPr>
          <w:p w14:paraId="3BA33BCF">
            <w:pPr>
              <w:widowControl/>
              <w:spacing w:line="276" w:lineRule="auto"/>
              <w:jc w:val="center"/>
              <w:rPr>
                <w:b/>
                <w:bCs/>
                <w:kern w:val="0"/>
                <w:sz w:val="24"/>
                <w:szCs w:val="24"/>
              </w:rPr>
            </w:pPr>
            <w:r>
              <w:rPr>
                <w:rFonts w:hint="eastAsia"/>
                <w:b/>
                <w:bCs/>
                <w:kern w:val="0"/>
                <w:sz w:val="24"/>
                <w:szCs w:val="24"/>
              </w:rPr>
              <w:t>环境保护措施</w:t>
            </w:r>
          </w:p>
        </w:tc>
        <w:tc>
          <w:tcPr>
            <w:tcW w:w="1194" w:type="pct"/>
            <w:tcBorders>
              <w:top w:val="single" w:color="000000" w:sz="6" w:space="0"/>
              <w:right w:val="single" w:color="000000" w:sz="6" w:space="0"/>
            </w:tcBorders>
            <w:vAlign w:val="center"/>
          </w:tcPr>
          <w:p w14:paraId="68D984E9">
            <w:pPr>
              <w:widowControl/>
              <w:spacing w:line="276" w:lineRule="auto"/>
              <w:jc w:val="center"/>
              <w:rPr>
                <w:b/>
                <w:bCs/>
                <w:kern w:val="0"/>
                <w:sz w:val="24"/>
                <w:szCs w:val="24"/>
              </w:rPr>
            </w:pPr>
            <w:r>
              <w:rPr>
                <w:rFonts w:hint="eastAsia"/>
                <w:b/>
                <w:bCs/>
                <w:kern w:val="0"/>
                <w:sz w:val="24"/>
                <w:szCs w:val="24"/>
              </w:rPr>
              <w:t>执行</w:t>
            </w:r>
            <w:r>
              <w:rPr>
                <w:b/>
                <w:bCs/>
                <w:kern w:val="0"/>
                <w:sz w:val="24"/>
                <w:szCs w:val="24"/>
              </w:rPr>
              <w:t>标准</w:t>
            </w:r>
          </w:p>
        </w:tc>
      </w:tr>
      <w:tr w14:paraId="3B98FF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530" w:type="pct"/>
            <w:vMerge w:val="restart"/>
            <w:tcBorders>
              <w:left w:val="single" w:color="000000" w:sz="6" w:space="0"/>
            </w:tcBorders>
            <w:vAlign w:val="center"/>
          </w:tcPr>
          <w:p w14:paraId="12A7D330">
            <w:pPr>
              <w:spacing w:line="276" w:lineRule="auto"/>
              <w:jc w:val="center"/>
              <w:rPr>
                <w:sz w:val="24"/>
                <w:szCs w:val="24"/>
              </w:rPr>
            </w:pPr>
            <w:r>
              <w:rPr>
                <w:sz w:val="24"/>
                <w:szCs w:val="24"/>
              </w:rPr>
              <w:t>大气</w:t>
            </w:r>
          </w:p>
          <w:p w14:paraId="709319A9">
            <w:pPr>
              <w:spacing w:line="276" w:lineRule="auto"/>
              <w:jc w:val="center"/>
              <w:rPr>
                <w:sz w:val="24"/>
                <w:szCs w:val="24"/>
              </w:rPr>
            </w:pPr>
            <w:r>
              <w:rPr>
                <w:sz w:val="24"/>
                <w:szCs w:val="24"/>
              </w:rPr>
              <w:t>污染</w:t>
            </w:r>
          </w:p>
          <w:p w14:paraId="55A28774">
            <w:pPr>
              <w:spacing w:line="276" w:lineRule="auto"/>
              <w:jc w:val="center"/>
              <w:rPr>
                <w:kern w:val="0"/>
                <w:sz w:val="24"/>
                <w:szCs w:val="24"/>
              </w:rPr>
            </w:pPr>
            <w:r>
              <w:rPr>
                <w:sz w:val="24"/>
                <w:szCs w:val="24"/>
              </w:rPr>
              <w:t>物</w:t>
            </w:r>
          </w:p>
        </w:tc>
        <w:tc>
          <w:tcPr>
            <w:tcW w:w="991" w:type="pct"/>
            <w:vMerge w:val="restart"/>
            <w:vAlign w:val="center"/>
          </w:tcPr>
          <w:p w14:paraId="54766A68">
            <w:pPr>
              <w:spacing w:line="276" w:lineRule="auto"/>
              <w:jc w:val="center"/>
              <w:rPr>
                <w:sz w:val="24"/>
                <w:szCs w:val="24"/>
              </w:rPr>
            </w:pPr>
            <w:r>
              <w:rPr>
                <w:rFonts w:hint="eastAsia"/>
                <w:sz w:val="24"/>
                <w:szCs w:val="24"/>
              </w:rPr>
              <w:t>DA001/热熔封口工序</w:t>
            </w:r>
          </w:p>
        </w:tc>
        <w:tc>
          <w:tcPr>
            <w:tcW w:w="871" w:type="pct"/>
            <w:vAlign w:val="center"/>
          </w:tcPr>
          <w:p w14:paraId="71CB9AAC">
            <w:pPr>
              <w:spacing w:line="276" w:lineRule="auto"/>
              <w:jc w:val="center"/>
              <w:rPr>
                <w:sz w:val="24"/>
                <w:szCs w:val="24"/>
              </w:rPr>
            </w:pPr>
            <w:r>
              <w:rPr>
                <w:sz w:val="24"/>
                <w:szCs w:val="24"/>
              </w:rPr>
              <w:t>颗粒物</w:t>
            </w:r>
          </w:p>
        </w:tc>
        <w:tc>
          <w:tcPr>
            <w:tcW w:w="1414" w:type="pct"/>
            <w:vMerge w:val="restart"/>
            <w:vAlign w:val="center"/>
          </w:tcPr>
          <w:p w14:paraId="74A31961">
            <w:pPr>
              <w:spacing w:line="276" w:lineRule="auto"/>
              <w:jc w:val="center"/>
              <w:rPr>
                <w:bCs/>
                <w:sz w:val="24"/>
                <w:szCs w:val="24"/>
              </w:rPr>
            </w:pPr>
            <w:r>
              <w:rPr>
                <w:rFonts w:hint="eastAsia"/>
                <w:sz w:val="24"/>
                <w:szCs w:val="24"/>
              </w:rPr>
              <w:t>废气由集气罩收集后，由15m高的排气筒（D</w:t>
            </w:r>
            <w:r>
              <w:rPr>
                <w:sz w:val="24"/>
                <w:szCs w:val="24"/>
              </w:rPr>
              <w:t>A001</w:t>
            </w:r>
            <w:r>
              <w:rPr>
                <w:rFonts w:hint="eastAsia"/>
                <w:sz w:val="24"/>
                <w:szCs w:val="24"/>
              </w:rPr>
              <w:t>）排放</w:t>
            </w:r>
          </w:p>
        </w:tc>
        <w:tc>
          <w:tcPr>
            <w:tcW w:w="1194" w:type="pct"/>
            <w:vMerge w:val="restart"/>
            <w:tcBorders>
              <w:right w:val="single" w:color="000000" w:sz="6" w:space="0"/>
            </w:tcBorders>
            <w:vAlign w:val="center"/>
          </w:tcPr>
          <w:p w14:paraId="3C09EEC6">
            <w:pPr>
              <w:spacing w:line="276" w:lineRule="auto"/>
              <w:jc w:val="center"/>
              <w:rPr>
                <w:kern w:val="0"/>
                <w:sz w:val="24"/>
                <w:szCs w:val="24"/>
              </w:rPr>
            </w:pPr>
            <w:r>
              <w:rPr>
                <w:rFonts w:hint="eastAsia"/>
                <w:sz w:val="24"/>
                <w:szCs w:val="24"/>
              </w:rPr>
              <w:t>满足《大气污染物综合排放标准》（GB16297-1996）表2中的新污染源二级标准限值要求</w:t>
            </w:r>
          </w:p>
        </w:tc>
      </w:tr>
      <w:tr w14:paraId="1C67D35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08" w:hRule="atLeast"/>
          <w:jc w:val="center"/>
        </w:trPr>
        <w:tc>
          <w:tcPr>
            <w:tcW w:w="530" w:type="pct"/>
            <w:vMerge w:val="continue"/>
            <w:tcBorders>
              <w:left w:val="single" w:color="000000" w:sz="6" w:space="0"/>
            </w:tcBorders>
            <w:vAlign w:val="center"/>
          </w:tcPr>
          <w:p w14:paraId="43D2D534">
            <w:pPr>
              <w:spacing w:line="276" w:lineRule="auto"/>
              <w:jc w:val="center"/>
              <w:rPr>
                <w:sz w:val="24"/>
                <w:szCs w:val="24"/>
              </w:rPr>
            </w:pPr>
          </w:p>
        </w:tc>
        <w:tc>
          <w:tcPr>
            <w:tcW w:w="991" w:type="pct"/>
            <w:vMerge w:val="continue"/>
            <w:vAlign w:val="center"/>
          </w:tcPr>
          <w:p w14:paraId="3A329666">
            <w:pPr>
              <w:spacing w:line="276" w:lineRule="auto"/>
              <w:jc w:val="center"/>
              <w:rPr>
                <w:sz w:val="24"/>
                <w:szCs w:val="24"/>
              </w:rPr>
            </w:pPr>
          </w:p>
        </w:tc>
        <w:tc>
          <w:tcPr>
            <w:tcW w:w="871" w:type="pct"/>
            <w:vAlign w:val="center"/>
          </w:tcPr>
          <w:p w14:paraId="3A9AB725">
            <w:pPr>
              <w:spacing w:line="276" w:lineRule="auto"/>
              <w:jc w:val="center"/>
              <w:rPr>
                <w:sz w:val="24"/>
                <w:szCs w:val="24"/>
              </w:rPr>
            </w:pPr>
            <w:r>
              <w:rPr>
                <w:rFonts w:hint="eastAsia"/>
                <w:sz w:val="24"/>
                <w:szCs w:val="24"/>
              </w:rPr>
              <w:t>二氧化硫</w:t>
            </w:r>
          </w:p>
        </w:tc>
        <w:tc>
          <w:tcPr>
            <w:tcW w:w="1414" w:type="pct"/>
            <w:vMerge w:val="continue"/>
            <w:vAlign w:val="center"/>
          </w:tcPr>
          <w:p w14:paraId="0814539B">
            <w:pPr>
              <w:spacing w:line="276" w:lineRule="auto"/>
              <w:jc w:val="center"/>
              <w:rPr>
                <w:sz w:val="24"/>
                <w:szCs w:val="24"/>
              </w:rPr>
            </w:pPr>
          </w:p>
        </w:tc>
        <w:tc>
          <w:tcPr>
            <w:tcW w:w="1194" w:type="pct"/>
            <w:vMerge w:val="continue"/>
            <w:tcBorders>
              <w:right w:val="single" w:color="000000" w:sz="6" w:space="0"/>
            </w:tcBorders>
            <w:vAlign w:val="center"/>
          </w:tcPr>
          <w:p w14:paraId="1E04356B">
            <w:pPr>
              <w:spacing w:line="276" w:lineRule="auto"/>
              <w:jc w:val="center"/>
              <w:rPr>
                <w:sz w:val="24"/>
                <w:szCs w:val="24"/>
              </w:rPr>
            </w:pPr>
          </w:p>
        </w:tc>
      </w:tr>
      <w:tr w14:paraId="3FFC22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530" w:type="pct"/>
            <w:vMerge w:val="continue"/>
            <w:tcBorders>
              <w:left w:val="single" w:color="000000" w:sz="6" w:space="0"/>
            </w:tcBorders>
            <w:vAlign w:val="center"/>
          </w:tcPr>
          <w:p w14:paraId="6B15D99A">
            <w:pPr>
              <w:spacing w:line="276" w:lineRule="auto"/>
              <w:jc w:val="center"/>
              <w:rPr>
                <w:sz w:val="24"/>
                <w:szCs w:val="24"/>
              </w:rPr>
            </w:pPr>
          </w:p>
        </w:tc>
        <w:tc>
          <w:tcPr>
            <w:tcW w:w="991" w:type="pct"/>
            <w:vMerge w:val="continue"/>
            <w:vAlign w:val="center"/>
          </w:tcPr>
          <w:p w14:paraId="0CEF7905">
            <w:pPr>
              <w:spacing w:line="276" w:lineRule="auto"/>
              <w:jc w:val="center"/>
              <w:rPr>
                <w:sz w:val="24"/>
                <w:szCs w:val="24"/>
              </w:rPr>
            </w:pPr>
          </w:p>
        </w:tc>
        <w:tc>
          <w:tcPr>
            <w:tcW w:w="871" w:type="pct"/>
            <w:vAlign w:val="center"/>
          </w:tcPr>
          <w:p w14:paraId="14F8A720">
            <w:pPr>
              <w:spacing w:line="276" w:lineRule="auto"/>
              <w:jc w:val="center"/>
              <w:rPr>
                <w:sz w:val="24"/>
                <w:szCs w:val="24"/>
              </w:rPr>
            </w:pPr>
            <w:r>
              <w:rPr>
                <w:rFonts w:hint="eastAsia"/>
                <w:sz w:val="24"/>
                <w:szCs w:val="24"/>
              </w:rPr>
              <w:t>氮氧化物</w:t>
            </w:r>
          </w:p>
        </w:tc>
        <w:tc>
          <w:tcPr>
            <w:tcW w:w="1414" w:type="pct"/>
            <w:vMerge w:val="continue"/>
            <w:vAlign w:val="center"/>
          </w:tcPr>
          <w:p w14:paraId="3A26DB17">
            <w:pPr>
              <w:spacing w:line="276" w:lineRule="auto"/>
              <w:jc w:val="center"/>
              <w:rPr>
                <w:sz w:val="24"/>
                <w:szCs w:val="24"/>
              </w:rPr>
            </w:pPr>
          </w:p>
        </w:tc>
        <w:tc>
          <w:tcPr>
            <w:tcW w:w="1194" w:type="pct"/>
            <w:vMerge w:val="continue"/>
            <w:tcBorders>
              <w:right w:val="single" w:color="000000" w:sz="6" w:space="0"/>
            </w:tcBorders>
            <w:vAlign w:val="center"/>
          </w:tcPr>
          <w:p w14:paraId="5C9D6C62">
            <w:pPr>
              <w:spacing w:line="276" w:lineRule="auto"/>
              <w:jc w:val="center"/>
              <w:rPr>
                <w:sz w:val="24"/>
                <w:szCs w:val="24"/>
              </w:rPr>
            </w:pPr>
          </w:p>
        </w:tc>
      </w:tr>
      <w:tr w14:paraId="68D05A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0" w:hRule="atLeast"/>
          <w:jc w:val="center"/>
        </w:trPr>
        <w:tc>
          <w:tcPr>
            <w:tcW w:w="530" w:type="pct"/>
            <w:vMerge w:val="continue"/>
            <w:tcBorders>
              <w:left w:val="single" w:color="000000" w:sz="6" w:space="0"/>
            </w:tcBorders>
            <w:vAlign w:val="center"/>
          </w:tcPr>
          <w:p w14:paraId="61A691C0">
            <w:pPr>
              <w:spacing w:line="276" w:lineRule="auto"/>
              <w:jc w:val="center"/>
              <w:rPr>
                <w:sz w:val="24"/>
                <w:szCs w:val="24"/>
              </w:rPr>
            </w:pPr>
          </w:p>
        </w:tc>
        <w:tc>
          <w:tcPr>
            <w:tcW w:w="991" w:type="pct"/>
            <w:vAlign w:val="center"/>
          </w:tcPr>
          <w:p w14:paraId="366DE942">
            <w:pPr>
              <w:spacing w:line="276" w:lineRule="auto"/>
              <w:jc w:val="center"/>
              <w:rPr>
                <w:sz w:val="24"/>
                <w:szCs w:val="24"/>
              </w:rPr>
            </w:pPr>
            <w:r>
              <w:rPr>
                <w:rFonts w:hint="eastAsia"/>
                <w:sz w:val="24"/>
                <w:szCs w:val="24"/>
              </w:rPr>
              <w:t>DA002/</w:t>
            </w:r>
            <w:r>
              <w:rPr>
                <w:sz w:val="24"/>
                <w:szCs w:val="24"/>
              </w:rPr>
              <w:t>组合管封口工序、清洗工序、（组合管）离心工序废气</w:t>
            </w:r>
          </w:p>
        </w:tc>
        <w:tc>
          <w:tcPr>
            <w:tcW w:w="871" w:type="pct"/>
            <w:vAlign w:val="center"/>
          </w:tcPr>
          <w:p w14:paraId="3EED2A98">
            <w:pPr>
              <w:spacing w:line="276" w:lineRule="auto"/>
              <w:jc w:val="center"/>
              <w:rPr>
                <w:sz w:val="24"/>
                <w:szCs w:val="24"/>
              </w:rPr>
            </w:pPr>
            <w:r>
              <w:rPr>
                <w:sz w:val="24"/>
                <w:szCs w:val="24"/>
              </w:rPr>
              <w:t>非甲烷总烃</w:t>
            </w:r>
          </w:p>
        </w:tc>
        <w:tc>
          <w:tcPr>
            <w:tcW w:w="1414" w:type="pct"/>
            <w:vAlign w:val="center"/>
          </w:tcPr>
          <w:p w14:paraId="42B57C01">
            <w:pPr>
              <w:spacing w:line="276" w:lineRule="auto"/>
              <w:jc w:val="center"/>
              <w:rPr>
                <w:sz w:val="24"/>
                <w:szCs w:val="24"/>
              </w:rPr>
            </w:pPr>
            <w:r>
              <w:rPr>
                <w:rFonts w:hint="eastAsia"/>
                <w:sz w:val="24"/>
                <w:szCs w:val="24"/>
              </w:rPr>
              <w:t>废气由集气罩收集后经1套二级活性炭吸附装置（TA001）处理后排放，由15m高的排气筒（D</w:t>
            </w:r>
            <w:r>
              <w:rPr>
                <w:sz w:val="24"/>
                <w:szCs w:val="24"/>
              </w:rPr>
              <w:t>A00</w:t>
            </w:r>
            <w:r>
              <w:rPr>
                <w:rFonts w:hint="eastAsia"/>
                <w:sz w:val="24"/>
                <w:szCs w:val="24"/>
              </w:rPr>
              <w:t>2）排放</w:t>
            </w:r>
          </w:p>
        </w:tc>
        <w:tc>
          <w:tcPr>
            <w:tcW w:w="1194" w:type="pct"/>
            <w:tcBorders>
              <w:right w:val="single" w:color="000000" w:sz="6" w:space="0"/>
            </w:tcBorders>
            <w:vAlign w:val="center"/>
          </w:tcPr>
          <w:p w14:paraId="6E174124">
            <w:pPr>
              <w:spacing w:line="276" w:lineRule="auto"/>
              <w:jc w:val="center"/>
              <w:rPr>
                <w:sz w:val="24"/>
                <w:szCs w:val="24"/>
              </w:rPr>
            </w:pPr>
            <w:r>
              <w:rPr>
                <w:rFonts w:hint="eastAsia"/>
                <w:sz w:val="24"/>
                <w:szCs w:val="24"/>
              </w:rPr>
              <w:t>满足《</w:t>
            </w:r>
            <w:r>
              <w:rPr>
                <w:rFonts w:hint="eastAsia"/>
                <w:spacing w:val="-2"/>
                <w:kern w:val="0"/>
                <w:sz w:val="24"/>
                <w:szCs w:val="20"/>
              </w:rPr>
              <w:t>合成树脂工业污染物排放标准</w:t>
            </w:r>
            <w:r>
              <w:rPr>
                <w:rFonts w:hint="eastAsia"/>
                <w:sz w:val="24"/>
                <w:szCs w:val="24"/>
              </w:rPr>
              <w:t>》（GB 31572-2015）中特别排放限值</w:t>
            </w:r>
          </w:p>
        </w:tc>
      </w:tr>
      <w:tr w14:paraId="346FB1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67" w:hRule="atLeast"/>
          <w:jc w:val="center"/>
        </w:trPr>
        <w:tc>
          <w:tcPr>
            <w:tcW w:w="530" w:type="pct"/>
            <w:vMerge w:val="continue"/>
            <w:tcBorders>
              <w:left w:val="single" w:color="000000" w:sz="6" w:space="0"/>
            </w:tcBorders>
            <w:vAlign w:val="center"/>
          </w:tcPr>
          <w:p w14:paraId="142F7283">
            <w:pPr>
              <w:widowControl/>
              <w:spacing w:line="276" w:lineRule="auto"/>
              <w:ind w:right="105"/>
              <w:jc w:val="center"/>
              <w:rPr>
                <w:kern w:val="0"/>
                <w:sz w:val="24"/>
                <w:szCs w:val="24"/>
              </w:rPr>
            </w:pPr>
          </w:p>
        </w:tc>
        <w:tc>
          <w:tcPr>
            <w:tcW w:w="991" w:type="pct"/>
            <w:vMerge w:val="restart"/>
            <w:vAlign w:val="center"/>
          </w:tcPr>
          <w:p w14:paraId="16C5B7AB">
            <w:pPr>
              <w:spacing w:line="276" w:lineRule="auto"/>
              <w:jc w:val="center"/>
              <w:rPr>
                <w:sz w:val="24"/>
                <w:szCs w:val="24"/>
              </w:rPr>
            </w:pPr>
            <w:r>
              <w:rPr>
                <w:sz w:val="24"/>
                <w:szCs w:val="24"/>
              </w:rPr>
              <w:t>厂界</w:t>
            </w:r>
          </w:p>
        </w:tc>
        <w:tc>
          <w:tcPr>
            <w:tcW w:w="871" w:type="pct"/>
            <w:vAlign w:val="center"/>
          </w:tcPr>
          <w:p w14:paraId="4F45A1AB">
            <w:pPr>
              <w:spacing w:line="276" w:lineRule="auto"/>
              <w:jc w:val="center"/>
              <w:rPr>
                <w:sz w:val="24"/>
                <w:szCs w:val="24"/>
              </w:rPr>
            </w:pPr>
            <w:r>
              <w:rPr>
                <w:sz w:val="24"/>
                <w:szCs w:val="24"/>
              </w:rPr>
              <w:t>非甲烷总烃</w:t>
            </w:r>
          </w:p>
        </w:tc>
        <w:tc>
          <w:tcPr>
            <w:tcW w:w="1414" w:type="pct"/>
            <w:vAlign w:val="center"/>
          </w:tcPr>
          <w:p w14:paraId="2AEA339D">
            <w:pPr>
              <w:widowControl/>
              <w:spacing w:line="276" w:lineRule="auto"/>
              <w:jc w:val="center"/>
              <w:rPr>
                <w:sz w:val="24"/>
                <w:szCs w:val="24"/>
              </w:rPr>
            </w:pPr>
            <w:r>
              <w:rPr>
                <w:sz w:val="24"/>
                <w:szCs w:val="24"/>
              </w:rPr>
              <w:t>加强车间通风</w:t>
            </w:r>
          </w:p>
        </w:tc>
        <w:tc>
          <w:tcPr>
            <w:tcW w:w="1194" w:type="pct"/>
            <w:tcBorders>
              <w:right w:val="single" w:color="000000" w:sz="6" w:space="0"/>
            </w:tcBorders>
            <w:vAlign w:val="center"/>
          </w:tcPr>
          <w:p w14:paraId="508FDDEB">
            <w:pPr>
              <w:widowControl/>
              <w:spacing w:line="276" w:lineRule="auto"/>
              <w:jc w:val="center"/>
              <w:rPr>
                <w:rStyle w:val="46"/>
                <w:sz w:val="24"/>
                <w:szCs w:val="24"/>
              </w:rPr>
            </w:pPr>
            <w:r>
              <w:rPr>
                <w:rFonts w:hint="eastAsia"/>
                <w:sz w:val="24"/>
                <w:szCs w:val="24"/>
              </w:rPr>
              <w:t>满足《</w:t>
            </w:r>
            <w:r>
              <w:rPr>
                <w:rFonts w:hint="eastAsia"/>
                <w:spacing w:val="-2"/>
                <w:kern w:val="0"/>
                <w:sz w:val="24"/>
                <w:szCs w:val="20"/>
              </w:rPr>
              <w:t>合成树脂工业污染物排放标准</w:t>
            </w:r>
            <w:r>
              <w:rPr>
                <w:rFonts w:hint="eastAsia"/>
                <w:sz w:val="24"/>
                <w:szCs w:val="24"/>
              </w:rPr>
              <w:t>》（GB 31572-2015）中企业边界大气污染物浓度限值</w:t>
            </w:r>
          </w:p>
        </w:tc>
      </w:tr>
      <w:tr w14:paraId="2B254E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59" w:hRule="atLeast"/>
          <w:jc w:val="center"/>
        </w:trPr>
        <w:tc>
          <w:tcPr>
            <w:tcW w:w="530" w:type="pct"/>
            <w:vMerge w:val="continue"/>
            <w:tcBorders>
              <w:left w:val="single" w:color="000000" w:sz="6" w:space="0"/>
            </w:tcBorders>
            <w:vAlign w:val="center"/>
          </w:tcPr>
          <w:p w14:paraId="61957596">
            <w:pPr>
              <w:widowControl/>
              <w:spacing w:line="276" w:lineRule="auto"/>
              <w:ind w:right="105"/>
              <w:jc w:val="center"/>
              <w:rPr>
                <w:kern w:val="0"/>
                <w:sz w:val="24"/>
                <w:szCs w:val="24"/>
              </w:rPr>
            </w:pPr>
          </w:p>
        </w:tc>
        <w:tc>
          <w:tcPr>
            <w:tcW w:w="991" w:type="pct"/>
            <w:vMerge w:val="continue"/>
            <w:vAlign w:val="center"/>
          </w:tcPr>
          <w:p w14:paraId="0EFFC2D6">
            <w:pPr>
              <w:spacing w:line="276" w:lineRule="auto"/>
              <w:jc w:val="center"/>
              <w:rPr>
                <w:sz w:val="24"/>
                <w:szCs w:val="24"/>
              </w:rPr>
            </w:pPr>
          </w:p>
        </w:tc>
        <w:tc>
          <w:tcPr>
            <w:tcW w:w="871" w:type="pct"/>
            <w:vAlign w:val="center"/>
          </w:tcPr>
          <w:p w14:paraId="4D78736E">
            <w:pPr>
              <w:spacing w:line="276" w:lineRule="auto"/>
              <w:jc w:val="center"/>
              <w:rPr>
                <w:sz w:val="24"/>
                <w:szCs w:val="24"/>
              </w:rPr>
            </w:pPr>
            <w:r>
              <w:rPr>
                <w:sz w:val="24"/>
                <w:szCs w:val="24"/>
              </w:rPr>
              <w:t>颗粒物</w:t>
            </w:r>
          </w:p>
        </w:tc>
        <w:tc>
          <w:tcPr>
            <w:tcW w:w="1414" w:type="pct"/>
            <w:vMerge w:val="restart"/>
            <w:vAlign w:val="center"/>
          </w:tcPr>
          <w:p w14:paraId="46A72D2C">
            <w:pPr>
              <w:widowControl/>
              <w:spacing w:line="276" w:lineRule="auto"/>
              <w:jc w:val="center"/>
              <w:rPr>
                <w:sz w:val="24"/>
                <w:szCs w:val="24"/>
              </w:rPr>
            </w:pPr>
            <w:r>
              <w:rPr>
                <w:sz w:val="24"/>
                <w:szCs w:val="24"/>
              </w:rPr>
              <w:t>加强车间通风</w:t>
            </w:r>
          </w:p>
        </w:tc>
        <w:tc>
          <w:tcPr>
            <w:tcW w:w="1194" w:type="pct"/>
            <w:vMerge w:val="restart"/>
            <w:tcBorders>
              <w:right w:val="single" w:color="000000" w:sz="6" w:space="0"/>
            </w:tcBorders>
            <w:vAlign w:val="center"/>
          </w:tcPr>
          <w:p w14:paraId="2818D008">
            <w:pPr>
              <w:widowControl/>
              <w:spacing w:line="276" w:lineRule="auto"/>
              <w:jc w:val="center"/>
              <w:rPr>
                <w:rStyle w:val="46"/>
                <w:sz w:val="24"/>
                <w:szCs w:val="24"/>
              </w:rPr>
            </w:pPr>
            <w:r>
              <w:rPr>
                <w:rFonts w:hint="eastAsia"/>
                <w:sz w:val="24"/>
                <w:szCs w:val="24"/>
              </w:rPr>
              <w:t>满足《大气污染物综合排放标准》（GB16297-1996）表2中的新污染源二级标准限值要求</w:t>
            </w:r>
          </w:p>
        </w:tc>
      </w:tr>
      <w:tr w14:paraId="17C7DF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9" w:hRule="atLeast"/>
          <w:jc w:val="center"/>
        </w:trPr>
        <w:tc>
          <w:tcPr>
            <w:tcW w:w="530" w:type="pct"/>
            <w:vMerge w:val="continue"/>
            <w:tcBorders>
              <w:left w:val="single" w:color="000000" w:sz="6" w:space="0"/>
            </w:tcBorders>
            <w:vAlign w:val="center"/>
          </w:tcPr>
          <w:p w14:paraId="4E8D7244">
            <w:pPr>
              <w:widowControl/>
              <w:spacing w:line="276" w:lineRule="auto"/>
              <w:ind w:right="105"/>
              <w:jc w:val="center"/>
              <w:rPr>
                <w:kern w:val="0"/>
                <w:sz w:val="24"/>
                <w:szCs w:val="24"/>
              </w:rPr>
            </w:pPr>
          </w:p>
        </w:tc>
        <w:tc>
          <w:tcPr>
            <w:tcW w:w="991" w:type="pct"/>
            <w:vMerge w:val="continue"/>
            <w:vAlign w:val="center"/>
          </w:tcPr>
          <w:p w14:paraId="2EDE8A3C">
            <w:pPr>
              <w:spacing w:line="276" w:lineRule="auto"/>
              <w:jc w:val="center"/>
              <w:rPr>
                <w:sz w:val="24"/>
                <w:szCs w:val="24"/>
              </w:rPr>
            </w:pPr>
          </w:p>
        </w:tc>
        <w:tc>
          <w:tcPr>
            <w:tcW w:w="871" w:type="pct"/>
            <w:vAlign w:val="center"/>
          </w:tcPr>
          <w:p w14:paraId="2727E384">
            <w:pPr>
              <w:spacing w:line="276" w:lineRule="auto"/>
              <w:jc w:val="center"/>
              <w:rPr>
                <w:sz w:val="24"/>
                <w:szCs w:val="24"/>
              </w:rPr>
            </w:pPr>
            <w:r>
              <w:rPr>
                <w:rFonts w:hint="eastAsia"/>
                <w:sz w:val="24"/>
                <w:szCs w:val="24"/>
              </w:rPr>
              <w:t>二氧化硫</w:t>
            </w:r>
          </w:p>
        </w:tc>
        <w:tc>
          <w:tcPr>
            <w:tcW w:w="1414" w:type="pct"/>
            <w:vMerge w:val="continue"/>
            <w:vAlign w:val="center"/>
          </w:tcPr>
          <w:p w14:paraId="58E044FD">
            <w:pPr>
              <w:widowControl/>
              <w:spacing w:line="276" w:lineRule="auto"/>
              <w:jc w:val="center"/>
              <w:rPr>
                <w:sz w:val="24"/>
                <w:szCs w:val="24"/>
              </w:rPr>
            </w:pPr>
          </w:p>
        </w:tc>
        <w:tc>
          <w:tcPr>
            <w:tcW w:w="1194" w:type="pct"/>
            <w:vMerge w:val="continue"/>
            <w:tcBorders>
              <w:right w:val="single" w:color="000000" w:sz="6" w:space="0"/>
            </w:tcBorders>
            <w:vAlign w:val="center"/>
          </w:tcPr>
          <w:p w14:paraId="19C6DB87">
            <w:pPr>
              <w:widowControl/>
              <w:spacing w:line="276" w:lineRule="auto"/>
              <w:jc w:val="center"/>
              <w:rPr>
                <w:rStyle w:val="46"/>
                <w:sz w:val="24"/>
                <w:szCs w:val="24"/>
              </w:rPr>
            </w:pPr>
          </w:p>
        </w:tc>
      </w:tr>
      <w:tr w14:paraId="7AB821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3" w:hRule="atLeast"/>
          <w:jc w:val="center"/>
        </w:trPr>
        <w:tc>
          <w:tcPr>
            <w:tcW w:w="530" w:type="pct"/>
            <w:vMerge w:val="continue"/>
            <w:tcBorders>
              <w:left w:val="single" w:color="000000" w:sz="6" w:space="0"/>
            </w:tcBorders>
            <w:vAlign w:val="center"/>
          </w:tcPr>
          <w:p w14:paraId="4B96C750">
            <w:pPr>
              <w:widowControl/>
              <w:spacing w:line="276" w:lineRule="auto"/>
              <w:ind w:right="105"/>
              <w:jc w:val="center"/>
              <w:rPr>
                <w:kern w:val="0"/>
                <w:sz w:val="24"/>
                <w:szCs w:val="24"/>
              </w:rPr>
            </w:pPr>
          </w:p>
        </w:tc>
        <w:tc>
          <w:tcPr>
            <w:tcW w:w="991" w:type="pct"/>
            <w:vMerge w:val="continue"/>
            <w:vAlign w:val="center"/>
          </w:tcPr>
          <w:p w14:paraId="3403ADE9">
            <w:pPr>
              <w:spacing w:line="276" w:lineRule="auto"/>
              <w:jc w:val="center"/>
              <w:rPr>
                <w:sz w:val="24"/>
                <w:szCs w:val="24"/>
              </w:rPr>
            </w:pPr>
          </w:p>
        </w:tc>
        <w:tc>
          <w:tcPr>
            <w:tcW w:w="871" w:type="pct"/>
            <w:vAlign w:val="center"/>
          </w:tcPr>
          <w:p w14:paraId="001A48FD">
            <w:pPr>
              <w:spacing w:line="276" w:lineRule="auto"/>
              <w:jc w:val="center"/>
              <w:rPr>
                <w:sz w:val="24"/>
                <w:szCs w:val="24"/>
              </w:rPr>
            </w:pPr>
            <w:r>
              <w:rPr>
                <w:rFonts w:hint="eastAsia"/>
                <w:sz w:val="24"/>
                <w:szCs w:val="24"/>
              </w:rPr>
              <w:t>氮氧化物</w:t>
            </w:r>
          </w:p>
        </w:tc>
        <w:tc>
          <w:tcPr>
            <w:tcW w:w="1414" w:type="pct"/>
            <w:vMerge w:val="continue"/>
            <w:vAlign w:val="center"/>
          </w:tcPr>
          <w:p w14:paraId="3AB6CF8E">
            <w:pPr>
              <w:widowControl/>
              <w:spacing w:line="276" w:lineRule="auto"/>
              <w:jc w:val="center"/>
              <w:rPr>
                <w:sz w:val="24"/>
                <w:szCs w:val="24"/>
              </w:rPr>
            </w:pPr>
          </w:p>
        </w:tc>
        <w:tc>
          <w:tcPr>
            <w:tcW w:w="1194" w:type="pct"/>
            <w:vMerge w:val="continue"/>
            <w:tcBorders>
              <w:right w:val="single" w:color="000000" w:sz="6" w:space="0"/>
            </w:tcBorders>
            <w:vAlign w:val="center"/>
          </w:tcPr>
          <w:p w14:paraId="28E59600">
            <w:pPr>
              <w:widowControl/>
              <w:spacing w:line="276" w:lineRule="auto"/>
              <w:jc w:val="center"/>
              <w:rPr>
                <w:rStyle w:val="46"/>
                <w:sz w:val="24"/>
                <w:szCs w:val="24"/>
              </w:rPr>
            </w:pPr>
          </w:p>
        </w:tc>
      </w:tr>
      <w:tr w14:paraId="6856C7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1" w:hRule="atLeast"/>
          <w:jc w:val="center"/>
        </w:trPr>
        <w:tc>
          <w:tcPr>
            <w:tcW w:w="530" w:type="pct"/>
            <w:vMerge w:val="continue"/>
            <w:tcBorders>
              <w:left w:val="single" w:color="000000" w:sz="6" w:space="0"/>
            </w:tcBorders>
            <w:vAlign w:val="center"/>
          </w:tcPr>
          <w:p w14:paraId="782AE62D">
            <w:pPr>
              <w:widowControl/>
              <w:spacing w:line="276" w:lineRule="auto"/>
              <w:ind w:right="105"/>
              <w:jc w:val="center"/>
              <w:rPr>
                <w:kern w:val="0"/>
                <w:sz w:val="24"/>
                <w:szCs w:val="24"/>
              </w:rPr>
            </w:pPr>
          </w:p>
        </w:tc>
        <w:tc>
          <w:tcPr>
            <w:tcW w:w="991" w:type="pct"/>
            <w:vAlign w:val="center"/>
          </w:tcPr>
          <w:p w14:paraId="1E87ECDB">
            <w:pPr>
              <w:spacing w:line="276" w:lineRule="auto"/>
              <w:jc w:val="center"/>
              <w:rPr>
                <w:sz w:val="24"/>
                <w:szCs w:val="24"/>
              </w:rPr>
            </w:pPr>
            <w:r>
              <w:rPr>
                <w:sz w:val="24"/>
                <w:szCs w:val="24"/>
              </w:rPr>
              <w:t>厂区</w:t>
            </w:r>
          </w:p>
        </w:tc>
        <w:tc>
          <w:tcPr>
            <w:tcW w:w="871" w:type="pct"/>
            <w:vAlign w:val="center"/>
          </w:tcPr>
          <w:p w14:paraId="51FD6B81">
            <w:pPr>
              <w:spacing w:line="276" w:lineRule="auto"/>
              <w:jc w:val="center"/>
              <w:rPr>
                <w:sz w:val="24"/>
                <w:szCs w:val="24"/>
              </w:rPr>
            </w:pPr>
            <w:r>
              <w:rPr>
                <w:rFonts w:hint="eastAsia"/>
                <w:sz w:val="24"/>
                <w:szCs w:val="24"/>
              </w:rPr>
              <w:t>非甲烷总烃</w:t>
            </w:r>
          </w:p>
        </w:tc>
        <w:tc>
          <w:tcPr>
            <w:tcW w:w="1414" w:type="pct"/>
            <w:vAlign w:val="center"/>
          </w:tcPr>
          <w:p w14:paraId="5D8DB190">
            <w:pPr>
              <w:widowControl/>
              <w:spacing w:line="276" w:lineRule="auto"/>
              <w:jc w:val="center"/>
              <w:rPr>
                <w:sz w:val="24"/>
                <w:szCs w:val="24"/>
              </w:rPr>
            </w:pPr>
            <w:r>
              <w:rPr>
                <w:rFonts w:hint="eastAsia"/>
                <w:sz w:val="24"/>
                <w:szCs w:val="24"/>
              </w:rPr>
              <w:t>/</w:t>
            </w:r>
          </w:p>
        </w:tc>
        <w:tc>
          <w:tcPr>
            <w:tcW w:w="1194" w:type="pct"/>
            <w:tcBorders>
              <w:right w:val="single" w:color="000000" w:sz="6" w:space="0"/>
            </w:tcBorders>
            <w:vAlign w:val="center"/>
          </w:tcPr>
          <w:p w14:paraId="3CECF139">
            <w:pPr>
              <w:spacing w:line="276" w:lineRule="auto"/>
              <w:jc w:val="center"/>
              <w:rPr>
                <w:sz w:val="24"/>
                <w:szCs w:val="24"/>
              </w:rPr>
            </w:pPr>
            <w:r>
              <w:rPr>
                <w:rFonts w:hint="eastAsia"/>
                <w:sz w:val="24"/>
                <w:szCs w:val="24"/>
              </w:rPr>
              <w:t>《挥发性有机物无组织排放控制标准》（</w:t>
            </w:r>
            <w:r>
              <w:rPr>
                <w:sz w:val="24"/>
                <w:szCs w:val="24"/>
              </w:rPr>
              <w:t>GB37822-2019</w:t>
            </w:r>
            <w:r>
              <w:rPr>
                <w:rFonts w:hint="eastAsia"/>
                <w:sz w:val="24"/>
                <w:szCs w:val="24"/>
              </w:rPr>
              <w:t>）表</w:t>
            </w:r>
            <w:r>
              <w:rPr>
                <w:sz w:val="24"/>
                <w:szCs w:val="24"/>
              </w:rPr>
              <w:t>A1</w:t>
            </w:r>
            <w:r>
              <w:rPr>
                <w:rFonts w:hint="eastAsia"/>
                <w:sz w:val="24"/>
                <w:szCs w:val="24"/>
              </w:rPr>
              <w:t>特别排放限值</w:t>
            </w:r>
          </w:p>
        </w:tc>
      </w:tr>
      <w:tr w14:paraId="4CC9B2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5" w:hRule="atLeast"/>
          <w:jc w:val="center"/>
        </w:trPr>
        <w:tc>
          <w:tcPr>
            <w:tcW w:w="530" w:type="pct"/>
            <w:tcBorders>
              <w:left w:val="single" w:color="000000" w:sz="6" w:space="0"/>
            </w:tcBorders>
            <w:vAlign w:val="center"/>
          </w:tcPr>
          <w:p w14:paraId="5978ED7E">
            <w:pPr>
              <w:spacing w:line="276" w:lineRule="auto"/>
              <w:jc w:val="center"/>
              <w:rPr>
                <w:kern w:val="0"/>
                <w:sz w:val="24"/>
                <w:szCs w:val="24"/>
              </w:rPr>
            </w:pPr>
            <w:r>
              <w:rPr>
                <w:sz w:val="24"/>
                <w:szCs w:val="24"/>
              </w:rPr>
              <w:t>水污染物</w:t>
            </w:r>
          </w:p>
        </w:tc>
        <w:tc>
          <w:tcPr>
            <w:tcW w:w="991" w:type="pct"/>
            <w:vAlign w:val="center"/>
          </w:tcPr>
          <w:p w14:paraId="3961A2C7">
            <w:pPr>
              <w:spacing w:line="276" w:lineRule="auto"/>
              <w:jc w:val="center"/>
              <w:rPr>
                <w:sz w:val="24"/>
                <w:szCs w:val="24"/>
              </w:rPr>
            </w:pPr>
            <w:r>
              <w:rPr>
                <w:rFonts w:hint="eastAsia"/>
                <w:sz w:val="24"/>
                <w:szCs w:val="24"/>
              </w:rPr>
              <w:t>生活污水</w:t>
            </w:r>
          </w:p>
        </w:tc>
        <w:tc>
          <w:tcPr>
            <w:tcW w:w="871" w:type="pct"/>
            <w:vAlign w:val="center"/>
          </w:tcPr>
          <w:p w14:paraId="7598E264">
            <w:pPr>
              <w:spacing w:line="276" w:lineRule="auto"/>
              <w:jc w:val="center"/>
              <w:rPr>
                <w:sz w:val="24"/>
                <w:szCs w:val="24"/>
              </w:rPr>
            </w:pPr>
            <w:r>
              <w:rPr>
                <w:sz w:val="24"/>
                <w:szCs w:val="24"/>
              </w:rPr>
              <w:t>COD</w:t>
            </w:r>
            <w:r>
              <w:rPr>
                <w:rFonts w:hint="eastAsia"/>
                <w:sz w:val="24"/>
                <w:szCs w:val="24"/>
              </w:rPr>
              <w:t>、</w:t>
            </w:r>
            <w:r>
              <w:rPr>
                <w:sz w:val="24"/>
                <w:szCs w:val="24"/>
              </w:rPr>
              <w:t>BOD</w:t>
            </w:r>
            <w:r>
              <w:rPr>
                <w:sz w:val="24"/>
                <w:szCs w:val="24"/>
                <w:vertAlign w:val="subscript"/>
              </w:rPr>
              <w:t>5</w:t>
            </w:r>
            <w:r>
              <w:rPr>
                <w:rFonts w:hint="eastAsia"/>
                <w:sz w:val="24"/>
                <w:szCs w:val="24"/>
              </w:rPr>
              <w:t>、</w:t>
            </w:r>
            <w:r>
              <w:rPr>
                <w:sz w:val="24"/>
                <w:szCs w:val="24"/>
              </w:rPr>
              <w:t>NH</w:t>
            </w:r>
            <w:r>
              <w:rPr>
                <w:sz w:val="24"/>
                <w:szCs w:val="24"/>
                <w:vertAlign w:val="subscript"/>
              </w:rPr>
              <w:t>3</w:t>
            </w:r>
            <w:r>
              <w:rPr>
                <w:sz w:val="24"/>
                <w:szCs w:val="24"/>
              </w:rPr>
              <w:t>-N</w:t>
            </w:r>
            <w:r>
              <w:rPr>
                <w:rFonts w:hint="eastAsia"/>
                <w:sz w:val="24"/>
                <w:szCs w:val="24"/>
              </w:rPr>
              <w:t>、</w:t>
            </w:r>
            <w:r>
              <w:rPr>
                <w:sz w:val="24"/>
                <w:szCs w:val="24"/>
              </w:rPr>
              <w:t>SS</w:t>
            </w:r>
          </w:p>
        </w:tc>
        <w:tc>
          <w:tcPr>
            <w:tcW w:w="1414" w:type="pct"/>
            <w:vAlign w:val="center"/>
          </w:tcPr>
          <w:p w14:paraId="32334CA9">
            <w:pPr>
              <w:spacing w:line="276" w:lineRule="auto"/>
              <w:jc w:val="center"/>
              <w:rPr>
                <w:sz w:val="24"/>
                <w:szCs w:val="24"/>
              </w:rPr>
            </w:pPr>
            <w:r>
              <w:rPr>
                <w:rFonts w:hint="eastAsia"/>
                <w:sz w:val="24"/>
                <w:szCs w:val="24"/>
              </w:rPr>
              <w:t>依托厂区内化粪池预处理后，经园区污水管网纳入毛集实验区污水处理厂处理</w:t>
            </w:r>
          </w:p>
        </w:tc>
        <w:tc>
          <w:tcPr>
            <w:tcW w:w="1194" w:type="pct"/>
            <w:tcBorders>
              <w:right w:val="single" w:color="000000" w:sz="6" w:space="0"/>
            </w:tcBorders>
            <w:vAlign w:val="center"/>
          </w:tcPr>
          <w:p w14:paraId="19D61334">
            <w:pPr>
              <w:spacing w:line="276" w:lineRule="auto"/>
              <w:jc w:val="center"/>
              <w:rPr>
                <w:rFonts w:hAnsi="宋体"/>
                <w:sz w:val="24"/>
                <w:szCs w:val="24"/>
              </w:rPr>
            </w:pPr>
            <w:r>
              <w:rPr>
                <w:rFonts w:hint="eastAsia"/>
                <w:sz w:val="24"/>
                <w:szCs w:val="24"/>
              </w:rPr>
              <w:t>生活污水纳管执行毛集实验区污水处理厂扩容后接管限值</w:t>
            </w:r>
          </w:p>
        </w:tc>
      </w:tr>
      <w:tr w14:paraId="648A5E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5" w:hRule="atLeast"/>
          <w:jc w:val="center"/>
        </w:trPr>
        <w:tc>
          <w:tcPr>
            <w:tcW w:w="530" w:type="pct"/>
            <w:tcBorders>
              <w:left w:val="single" w:color="000000" w:sz="6" w:space="0"/>
            </w:tcBorders>
            <w:vAlign w:val="center"/>
          </w:tcPr>
          <w:p w14:paraId="15834574">
            <w:pPr>
              <w:widowControl/>
              <w:spacing w:line="276" w:lineRule="auto"/>
              <w:ind w:right="105"/>
              <w:jc w:val="center"/>
              <w:rPr>
                <w:kern w:val="0"/>
                <w:sz w:val="24"/>
                <w:szCs w:val="24"/>
              </w:rPr>
            </w:pPr>
            <w:r>
              <w:rPr>
                <w:kern w:val="0"/>
                <w:sz w:val="24"/>
                <w:szCs w:val="24"/>
              </w:rPr>
              <w:t>声环境</w:t>
            </w:r>
          </w:p>
        </w:tc>
        <w:tc>
          <w:tcPr>
            <w:tcW w:w="991" w:type="pct"/>
            <w:vAlign w:val="center"/>
          </w:tcPr>
          <w:p w14:paraId="06F0B605">
            <w:pPr>
              <w:spacing w:line="276" w:lineRule="auto"/>
              <w:jc w:val="center"/>
              <w:rPr>
                <w:sz w:val="24"/>
                <w:szCs w:val="24"/>
              </w:rPr>
            </w:pPr>
            <w:r>
              <w:rPr>
                <w:sz w:val="24"/>
                <w:szCs w:val="24"/>
              </w:rPr>
              <w:t>厂界四周</w:t>
            </w:r>
          </w:p>
        </w:tc>
        <w:tc>
          <w:tcPr>
            <w:tcW w:w="871" w:type="pct"/>
            <w:vAlign w:val="center"/>
          </w:tcPr>
          <w:p w14:paraId="7F8E302A">
            <w:pPr>
              <w:autoSpaceDE w:val="0"/>
              <w:autoSpaceDN w:val="0"/>
              <w:adjustRightInd w:val="0"/>
              <w:spacing w:line="276" w:lineRule="auto"/>
              <w:jc w:val="center"/>
              <w:rPr>
                <w:sz w:val="24"/>
                <w:szCs w:val="24"/>
              </w:rPr>
            </w:pPr>
            <w:r>
              <w:rPr>
                <w:sz w:val="24"/>
                <w:szCs w:val="24"/>
              </w:rPr>
              <w:t>噪声</w:t>
            </w:r>
          </w:p>
        </w:tc>
        <w:tc>
          <w:tcPr>
            <w:tcW w:w="1414" w:type="pct"/>
            <w:vAlign w:val="center"/>
          </w:tcPr>
          <w:p w14:paraId="7A74898B">
            <w:pPr>
              <w:spacing w:line="276" w:lineRule="auto"/>
              <w:jc w:val="left"/>
              <w:rPr>
                <w:sz w:val="24"/>
                <w:szCs w:val="24"/>
              </w:rPr>
            </w:pPr>
            <w:r>
              <w:rPr>
                <w:rFonts w:hint="eastAsia"/>
                <w:sz w:val="24"/>
                <w:szCs w:val="24"/>
              </w:rPr>
              <w:t>①项目使用的高噪声设备均设有减震底座，厂房四壁均使用隔声性能较好的材料建设；</w:t>
            </w:r>
          </w:p>
          <w:p w14:paraId="59A333E3">
            <w:pPr>
              <w:spacing w:line="276" w:lineRule="auto"/>
              <w:jc w:val="left"/>
              <w:rPr>
                <w:sz w:val="24"/>
                <w:szCs w:val="24"/>
              </w:rPr>
            </w:pPr>
            <w:r>
              <w:rPr>
                <w:rFonts w:hint="eastAsia"/>
                <w:sz w:val="24"/>
                <w:szCs w:val="24"/>
              </w:rPr>
              <w:t>②</w:t>
            </w:r>
            <w:r>
              <w:rPr>
                <w:bCs/>
                <w:sz w:val="24"/>
                <w:szCs w:val="24"/>
              </w:rPr>
              <w:t>对排风管道采取消声减震措施，并在墙上进行加固，减少因风机噪声和管道振动引起的低频噪声对周围环境和自身的影响。</w:t>
            </w:r>
          </w:p>
        </w:tc>
        <w:tc>
          <w:tcPr>
            <w:tcW w:w="1194" w:type="pct"/>
            <w:tcBorders>
              <w:right w:val="single" w:color="000000" w:sz="6" w:space="0"/>
            </w:tcBorders>
            <w:vAlign w:val="center"/>
          </w:tcPr>
          <w:p w14:paraId="4C1D8287">
            <w:pPr>
              <w:pStyle w:val="108"/>
              <w:spacing w:line="276" w:lineRule="auto"/>
              <w:jc w:val="center"/>
              <w:rPr>
                <w:rFonts w:hAnsi="宋体"/>
                <w:color w:val="auto"/>
                <w:kern w:val="2"/>
              </w:rPr>
            </w:pPr>
            <w:r>
              <w:rPr>
                <w:rFonts w:hint="eastAsia" w:hAnsi="宋体"/>
                <w:color w:val="auto"/>
                <w:kern w:val="2"/>
              </w:rPr>
              <w:t>符合《工业企业厂界环境噪声排放标准》（</w:t>
            </w:r>
            <w:r>
              <w:rPr>
                <w:rFonts w:hAnsi="宋体"/>
                <w:color w:val="auto"/>
                <w:kern w:val="2"/>
              </w:rPr>
              <w:t>GB12348-2008</w:t>
            </w:r>
            <w:r>
              <w:rPr>
                <w:rFonts w:hint="eastAsia" w:hAnsi="宋体"/>
                <w:color w:val="auto"/>
                <w:kern w:val="2"/>
              </w:rPr>
              <w:t>）2类标准要求</w:t>
            </w:r>
          </w:p>
        </w:tc>
      </w:tr>
      <w:tr w14:paraId="09AA66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3" w:hRule="atLeast"/>
          <w:jc w:val="center"/>
        </w:trPr>
        <w:tc>
          <w:tcPr>
            <w:tcW w:w="530" w:type="pct"/>
            <w:tcBorders>
              <w:left w:val="single" w:color="000000" w:sz="6" w:space="0"/>
            </w:tcBorders>
            <w:vAlign w:val="center"/>
          </w:tcPr>
          <w:p w14:paraId="0140CA9F">
            <w:pPr>
              <w:widowControl/>
              <w:spacing w:line="276" w:lineRule="auto"/>
              <w:jc w:val="center"/>
              <w:rPr>
                <w:kern w:val="0"/>
                <w:sz w:val="24"/>
                <w:szCs w:val="24"/>
              </w:rPr>
            </w:pPr>
            <w:r>
              <w:rPr>
                <w:rFonts w:hint="eastAsia"/>
                <w:kern w:val="0"/>
                <w:sz w:val="24"/>
                <w:szCs w:val="24"/>
              </w:rPr>
              <w:t>电磁</w:t>
            </w:r>
            <w:r>
              <w:rPr>
                <w:kern w:val="0"/>
                <w:sz w:val="24"/>
                <w:szCs w:val="24"/>
              </w:rPr>
              <w:t>辐射</w:t>
            </w:r>
          </w:p>
        </w:tc>
        <w:tc>
          <w:tcPr>
            <w:tcW w:w="4470" w:type="pct"/>
            <w:gridSpan w:val="4"/>
            <w:tcBorders>
              <w:right w:val="single" w:color="000000" w:sz="6" w:space="0"/>
            </w:tcBorders>
            <w:vAlign w:val="center"/>
          </w:tcPr>
          <w:p w14:paraId="5EF36C8F">
            <w:pPr>
              <w:spacing w:line="276" w:lineRule="auto"/>
              <w:jc w:val="center"/>
              <w:rPr>
                <w:kern w:val="0"/>
                <w:sz w:val="24"/>
                <w:szCs w:val="24"/>
              </w:rPr>
            </w:pPr>
            <w:r>
              <w:rPr>
                <w:kern w:val="0"/>
                <w:sz w:val="24"/>
                <w:szCs w:val="24"/>
              </w:rPr>
              <w:t>本项目不涉及电磁辐射建设</w:t>
            </w:r>
          </w:p>
        </w:tc>
      </w:tr>
      <w:tr w14:paraId="2D57AF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11" w:hRule="atLeast"/>
          <w:jc w:val="center"/>
        </w:trPr>
        <w:tc>
          <w:tcPr>
            <w:tcW w:w="530" w:type="pct"/>
            <w:tcBorders>
              <w:left w:val="single" w:color="000000" w:sz="6" w:space="0"/>
            </w:tcBorders>
            <w:vAlign w:val="center"/>
          </w:tcPr>
          <w:p w14:paraId="5CA7926E">
            <w:pPr>
              <w:widowControl/>
              <w:spacing w:line="276" w:lineRule="auto"/>
              <w:jc w:val="center"/>
              <w:rPr>
                <w:kern w:val="0"/>
                <w:sz w:val="24"/>
                <w:szCs w:val="24"/>
              </w:rPr>
            </w:pPr>
            <w:r>
              <w:rPr>
                <w:rFonts w:hint="eastAsia"/>
                <w:kern w:val="0"/>
                <w:sz w:val="24"/>
                <w:szCs w:val="24"/>
              </w:rPr>
              <w:t>固体</w:t>
            </w:r>
            <w:r>
              <w:rPr>
                <w:kern w:val="0"/>
                <w:sz w:val="24"/>
                <w:szCs w:val="24"/>
              </w:rPr>
              <w:t>废物</w:t>
            </w:r>
          </w:p>
        </w:tc>
        <w:tc>
          <w:tcPr>
            <w:tcW w:w="4470" w:type="pct"/>
            <w:gridSpan w:val="4"/>
            <w:tcBorders>
              <w:right w:val="single" w:color="000000" w:sz="6" w:space="0"/>
            </w:tcBorders>
            <w:vAlign w:val="center"/>
          </w:tcPr>
          <w:p w14:paraId="198B4763">
            <w:pPr>
              <w:pStyle w:val="108"/>
              <w:spacing w:line="276" w:lineRule="auto"/>
              <w:rPr>
                <w:rFonts w:hAnsi="宋体"/>
                <w:color w:val="auto"/>
              </w:rPr>
            </w:pPr>
            <w:r>
              <w:rPr>
                <w:rFonts w:hint="eastAsia"/>
                <w:color w:val="auto"/>
              </w:rPr>
              <w:t>1、生产厂房西南角</w:t>
            </w:r>
            <w:r>
              <w:rPr>
                <w:rFonts w:hint="eastAsia" w:hAnsi="宋体"/>
                <w:color w:val="auto"/>
              </w:rPr>
              <w:t>设置</w:t>
            </w:r>
            <w:r>
              <w:rPr>
                <w:rFonts w:hAnsi="宋体"/>
                <w:color w:val="auto"/>
              </w:rPr>
              <w:t>1</w:t>
            </w:r>
            <w:r>
              <w:rPr>
                <w:rFonts w:hint="eastAsia" w:hAnsi="宋体"/>
                <w:color w:val="auto"/>
              </w:rPr>
              <w:t>个</w:t>
            </w:r>
            <w:r>
              <w:rPr>
                <w:rFonts w:hint="eastAsia"/>
                <w:color w:val="auto"/>
              </w:rPr>
              <w:t>一般工业固体废物暂存间，占地面积25</w:t>
            </w:r>
            <w:r>
              <w:rPr>
                <w:color w:val="auto"/>
              </w:rPr>
              <w:t>m</w:t>
            </w:r>
            <w:r>
              <w:rPr>
                <w:color w:val="auto"/>
                <w:vertAlign w:val="superscript"/>
              </w:rPr>
              <w:t>2</w:t>
            </w:r>
            <w:r>
              <w:rPr>
                <w:rFonts w:hint="eastAsia"/>
                <w:color w:val="auto"/>
              </w:rPr>
              <w:t>。生产经营过程中产生的</w:t>
            </w:r>
            <w:r>
              <w:rPr>
                <w:rFonts w:hint="eastAsia" w:hAnsi="宋体"/>
                <w:color w:val="auto"/>
                <w:kern w:val="2"/>
              </w:rPr>
              <w:t>废包材、废包装袋等</w:t>
            </w:r>
            <w:r>
              <w:rPr>
                <w:rFonts w:hint="eastAsia" w:hAnsi="宋体"/>
                <w:color w:val="auto"/>
              </w:rPr>
              <w:t>在一般工业固体废物暂存间暂存后外售综合利用；</w:t>
            </w:r>
          </w:p>
          <w:p w14:paraId="42A8DEB6">
            <w:pPr>
              <w:pStyle w:val="108"/>
              <w:spacing w:line="276" w:lineRule="auto"/>
              <w:rPr>
                <w:rFonts w:hAnsi="宋体"/>
                <w:color w:val="auto"/>
              </w:rPr>
            </w:pPr>
            <w:r>
              <w:rPr>
                <w:rFonts w:hint="eastAsia"/>
                <w:color w:val="auto"/>
              </w:rPr>
              <w:t>2、生产厂房西南角</w:t>
            </w:r>
            <w:r>
              <w:rPr>
                <w:rFonts w:hint="eastAsia" w:hAnsi="宋体"/>
                <w:color w:val="auto"/>
              </w:rPr>
              <w:t>设置</w:t>
            </w:r>
            <w:r>
              <w:rPr>
                <w:rFonts w:hAnsi="宋体"/>
                <w:color w:val="auto"/>
              </w:rPr>
              <w:t>1</w:t>
            </w:r>
            <w:r>
              <w:rPr>
                <w:rFonts w:hint="eastAsia" w:hAnsi="宋体"/>
                <w:color w:val="auto"/>
              </w:rPr>
              <w:t>个</w:t>
            </w:r>
            <w:r>
              <w:rPr>
                <w:rFonts w:hint="eastAsia"/>
                <w:color w:val="auto"/>
              </w:rPr>
              <w:t>危废暂存间，占地面积25</w:t>
            </w:r>
            <w:r>
              <w:rPr>
                <w:color w:val="auto"/>
              </w:rPr>
              <w:t>m</w:t>
            </w:r>
            <w:r>
              <w:rPr>
                <w:color w:val="auto"/>
                <w:vertAlign w:val="superscript"/>
              </w:rPr>
              <w:t>2</w:t>
            </w:r>
            <w:r>
              <w:rPr>
                <w:rFonts w:hint="eastAsia"/>
                <w:color w:val="auto"/>
              </w:rPr>
              <w:t>。生产经营过程中产生的</w:t>
            </w:r>
            <w:r>
              <w:rPr>
                <w:rFonts w:hint="eastAsia" w:hAnsi="宋体"/>
                <w:color w:val="auto"/>
                <w:kern w:val="2"/>
              </w:rPr>
              <w:t>废包装桶、不合格品、清洗废液、离心废液、废活性炭</w:t>
            </w:r>
            <w:r>
              <w:rPr>
                <w:rFonts w:hint="eastAsia" w:hAnsi="宋体"/>
                <w:color w:val="auto"/>
              </w:rPr>
              <w:t>收集后于危废暂存间暂存，并委托有资质单位定期处理处置；</w:t>
            </w:r>
          </w:p>
          <w:p w14:paraId="6234294D">
            <w:pPr>
              <w:pStyle w:val="108"/>
              <w:spacing w:line="276" w:lineRule="auto"/>
              <w:rPr>
                <w:color w:val="auto"/>
              </w:rPr>
            </w:pPr>
            <w:r>
              <w:rPr>
                <w:rFonts w:hint="eastAsia" w:hAnsi="宋体"/>
                <w:color w:val="auto"/>
              </w:rPr>
              <w:t>3、生活垃圾由环卫部门定期清运。</w:t>
            </w:r>
          </w:p>
        </w:tc>
      </w:tr>
      <w:tr w14:paraId="727E92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75" w:hRule="atLeast"/>
          <w:jc w:val="center"/>
        </w:trPr>
        <w:tc>
          <w:tcPr>
            <w:tcW w:w="530" w:type="pct"/>
            <w:tcBorders>
              <w:left w:val="single" w:color="000000" w:sz="6" w:space="0"/>
            </w:tcBorders>
            <w:vAlign w:val="center"/>
          </w:tcPr>
          <w:p w14:paraId="062DB2C0">
            <w:pPr>
              <w:widowControl/>
              <w:spacing w:line="276" w:lineRule="auto"/>
              <w:jc w:val="center"/>
              <w:rPr>
                <w:kern w:val="0"/>
                <w:sz w:val="24"/>
                <w:szCs w:val="24"/>
              </w:rPr>
            </w:pPr>
            <w:r>
              <w:rPr>
                <w:rFonts w:hint="eastAsia"/>
                <w:kern w:val="0"/>
                <w:sz w:val="24"/>
                <w:szCs w:val="24"/>
              </w:rPr>
              <w:t>土壤及地下水防治措施</w:t>
            </w:r>
          </w:p>
        </w:tc>
        <w:tc>
          <w:tcPr>
            <w:tcW w:w="4470" w:type="pct"/>
            <w:gridSpan w:val="4"/>
            <w:tcBorders>
              <w:right w:val="single" w:color="000000" w:sz="6" w:space="0"/>
            </w:tcBorders>
            <w:vAlign w:val="center"/>
          </w:tcPr>
          <w:p w14:paraId="4DFF4FA4">
            <w:pPr>
              <w:spacing w:line="276" w:lineRule="auto"/>
              <w:jc w:val="left"/>
              <w:rPr>
                <w:rFonts w:hAnsi="宋体"/>
                <w:sz w:val="24"/>
                <w:szCs w:val="24"/>
              </w:rPr>
            </w:pPr>
            <w:r>
              <w:rPr>
                <w:rFonts w:hint="eastAsia" w:hAnsi="宋体"/>
                <w:sz w:val="24"/>
                <w:szCs w:val="24"/>
              </w:rPr>
              <w:t>1、重点防渗区：主要为危废暂存间、化学品库。重点防渗区的防渗技术要求：等效黏土防渗层</w:t>
            </w:r>
            <w:r>
              <w:rPr>
                <w:sz w:val="24"/>
                <w:szCs w:val="24"/>
              </w:rPr>
              <w:t>Mb≥6.0m</w:t>
            </w:r>
            <w:r>
              <w:rPr>
                <w:rFonts w:hint="eastAsia" w:hAnsi="宋体"/>
                <w:sz w:val="24"/>
                <w:szCs w:val="24"/>
              </w:rPr>
              <w:t>，</w:t>
            </w:r>
            <w:r>
              <w:rPr>
                <w:sz w:val="24"/>
                <w:szCs w:val="24"/>
              </w:rPr>
              <w:t>K≤10</w:t>
            </w:r>
            <w:r>
              <w:rPr>
                <w:sz w:val="24"/>
                <w:szCs w:val="24"/>
                <w:vertAlign w:val="superscript"/>
              </w:rPr>
              <w:t>-7</w:t>
            </w:r>
            <w:r>
              <w:rPr>
                <w:sz w:val="24"/>
                <w:szCs w:val="24"/>
              </w:rPr>
              <w:t>cm/s</w:t>
            </w:r>
            <w:r>
              <w:rPr>
                <w:rFonts w:hint="eastAsia" w:hAnsi="宋体"/>
                <w:sz w:val="24"/>
                <w:szCs w:val="24"/>
              </w:rPr>
              <w:t>或参照《危险废物贮存污染控制标准》（</w:t>
            </w:r>
            <w:r>
              <w:rPr>
                <w:sz w:val="24"/>
                <w:szCs w:val="24"/>
              </w:rPr>
              <w:t>GB18597-20</w:t>
            </w:r>
            <w:r>
              <w:rPr>
                <w:rFonts w:hint="eastAsia"/>
                <w:sz w:val="24"/>
                <w:szCs w:val="24"/>
              </w:rPr>
              <w:t>23</w:t>
            </w:r>
            <w:r>
              <w:rPr>
                <w:rFonts w:hint="eastAsia" w:hAnsi="宋体"/>
                <w:sz w:val="24"/>
                <w:szCs w:val="24"/>
              </w:rPr>
              <w:t>）中相关要求。本项目设计采用抗渗混凝土防渗+涂抹2mm厚的环氧树脂防渗层</w:t>
            </w:r>
          </w:p>
          <w:p w14:paraId="615A81F1">
            <w:pPr>
              <w:spacing w:line="276" w:lineRule="auto"/>
              <w:jc w:val="left"/>
              <w:rPr>
                <w:sz w:val="24"/>
                <w:szCs w:val="24"/>
              </w:rPr>
            </w:pPr>
            <w:r>
              <w:rPr>
                <w:rFonts w:hint="eastAsia" w:hAnsi="宋体"/>
                <w:kern w:val="0"/>
                <w:sz w:val="24"/>
                <w:szCs w:val="24"/>
              </w:rPr>
              <w:t>2、一般防渗区：</w:t>
            </w:r>
            <w:r>
              <w:rPr>
                <w:sz w:val="24"/>
                <w:szCs w:val="24"/>
                <w:lang w:val="zh-CN"/>
              </w:rPr>
              <w:t>除重点防渗区以外的生产厂房其他区域</w:t>
            </w:r>
            <w:r>
              <w:rPr>
                <w:rFonts w:hint="eastAsia" w:hAnsi="宋体"/>
                <w:kern w:val="0"/>
                <w:sz w:val="24"/>
                <w:szCs w:val="24"/>
              </w:rPr>
              <w:t>均设为一般防渗区。一般防渗区的防渗技术要求：等效黏土防渗层</w:t>
            </w:r>
            <w:r>
              <w:rPr>
                <w:kern w:val="0"/>
                <w:sz w:val="24"/>
                <w:szCs w:val="24"/>
              </w:rPr>
              <w:t>Mb≥1.5m</w:t>
            </w:r>
            <w:r>
              <w:rPr>
                <w:rFonts w:hint="eastAsia" w:hAnsi="宋体"/>
                <w:kern w:val="0"/>
                <w:sz w:val="24"/>
                <w:szCs w:val="24"/>
              </w:rPr>
              <w:t>，</w:t>
            </w:r>
            <w:r>
              <w:rPr>
                <w:kern w:val="0"/>
                <w:sz w:val="24"/>
                <w:szCs w:val="24"/>
              </w:rPr>
              <w:t>K≤10</w:t>
            </w:r>
            <w:r>
              <w:rPr>
                <w:kern w:val="0"/>
                <w:sz w:val="24"/>
                <w:szCs w:val="24"/>
                <w:vertAlign w:val="superscript"/>
              </w:rPr>
              <w:t>-7</w:t>
            </w:r>
            <w:r>
              <w:rPr>
                <w:kern w:val="0"/>
                <w:sz w:val="24"/>
                <w:szCs w:val="24"/>
              </w:rPr>
              <w:t>cm/s</w:t>
            </w:r>
            <w:r>
              <w:rPr>
                <w:rFonts w:hint="eastAsia" w:hAnsi="宋体"/>
                <w:sz w:val="24"/>
                <w:szCs w:val="24"/>
              </w:rPr>
              <w:t>或参照</w:t>
            </w:r>
            <w:r>
              <w:rPr>
                <w:rFonts w:hint="eastAsia" w:ascii="宋体" w:hAnsi="宋体"/>
                <w:sz w:val="24"/>
                <w:szCs w:val="24"/>
              </w:rPr>
              <w:t>《一般工业固体废物贮存和填埋污染控制标准》（</w:t>
            </w:r>
            <w:r>
              <w:rPr>
                <w:sz w:val="24"/>
                <w:szCs w:val="24"/>
              </w:rPr>
              <w:t>GB18599-2020</w:t>
            </w:r>
            <w:r>
              <w:rPr>
                <w:rFonts w:hint="eastAsia" w:ascii="宋体" w:hAnsi="宋体"/>
                <w:sz w:val="24"/>
                <w:szCs w:val="24"/>
              </w:rPr>
              <w:t>）中相关要求</w:t>
            </w:r>
            <w:r>
              <w:rPr>
                <w:rFonts w:hint="eastAsia" w:hAnsi="宋体"/>
                <w:kern w:val="0"/>
                <w:sz w:val="24"/>
                <w:szCs w:val="24"/>
              </w:rPr>
              <w:t>。本项目设计采用</w:t>
            </w:r>
            <w:r>
              <w:rPr>
                <w:rFonts w:hint="eastAsia" w:hAnsi="宋体"/>
                <w:sz w:val="24"/>
                <w:szCs w:val="24"/>
              </w:rPr>
              <w:t>抗渗混凝土防渗。</w:t>
            </w:r>
          </w:p>
        </w:tc>
      </w:tr>
      <w:tr w14:paraId="719471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75" w:hRule="atLeast"/>
          <w:jc w:val="center"/>
        </w:trPr>
        <w:tc>
          <w:tcPr>
            <w:tcW w:w="530" w:type="pct"/>
            <w:tcBorders>
              <w:left w:val="single" w:color="000000" w:sz="6" w:space="0"/>
            </w:tcBorders>
            <w:vAlign w:val="center"/>
          </w:tcPr>
          <w:p w14:paraId="6F3A01D1">
            <w:pPr>
              <w:widowControl/>
              <w:spacing w:line="276" w:lineRule="auto"/>
              <w:jc w:val="center"/>
              <w:rPr>
                <w:kern w:val="0"/>
                <w:sz w:val="24"/>
                <w:szCs w:val="24"/>
              </w:rPr>
            </w:pPr>
            <w:r>
              <w:rPr>
                <w:rFonts w:hint="eastAsia"/>
                <w:kern w:val="0"/>
                <w:sz w:val="24"/>
                <w:szCs w:val="24"/>
              </w:rPr>
              <w:t>生态保护措施</w:t>
            </w:r>
          </w:p>
        </w:tc>
        <w:tc>
          <w:tcPr>
            <w:tcW w:w="4470" w:type="pct"/>
            <w:gridSpan w:val="4"/>
            <w:tcBorders>
              <w:right w:val="single" w:color="000000" w:sz="6" w:space="0"/>
            </w:tcBorders>
            <w:vAlign w:val="center"/>
          </w:tcPr>
          <w:p w14:paraId="671DC285">
            <w:pPr>
              <w:widowControl/>
              <w:spacing w:line="276" w:lineRule="auto"/>
              <w:jc w:val="left"/>
              <w:rPr>
                <w:sz w:val="24"/>
                <w:szCs w:val="24"/>
              </w:rPr>
            </w:pPr>
            <w:r>
              <w:rPr>
                <w:sz w:val="24"/>
                <w:szCs w:val="24"/>
              </w:rPr>
              <w:t>本项目位于</w:t>
            </w:r>
            <w:r>
              <w:rPr>
                <w:rFonts w:hint="eastAsia"/>
                <w:sz w:val="24"/>
                <w:szCs w:val="24"/>
              </w:rPr>
              <w:t>安徽省淮南市毛集经济开发区工业城2号楼1层和3层</w:t>
            </w:r>
            <w:r>
              <w:rPr>
                <w:sz w:val="24"/>
                <w:szCs w:val="24"/>
              </w:rPr>
              <w:t>，根据</w:t>
            </w:r>
            <w:r>
              <w:rPr>
                <w:rFonts w:hint="eastAsia"/>
                <w:sz w:val="24"/>
                <w:szCs w:val="24"/>
              </w:rPr>
              <w:t>淮南市“三线一单”成果文件，项目所处区域无</w:t>
            </w:r>
            <w:r>
              <w:rPr>
                <w:rFonts w:hint="eastAsia"/>
                <w:sz w:val="24"/>
                <w:szCs w:val="24"/>
                <w:lang w:bidi="en-US"/>
              </w:rPr>
              <w:t>风景名胜区、森林公园、地质公园、湿地公园、饮用水水源保护区、生态公益林等</w:t>
            </w:r>
            <w:r>
              <w:rPr>
                <w:rFonts w:hint="eastAsia"/>
                <w:sz w:val="24"/>
                <w:szCs w:val="24"/>
              </w:rPr>
              <w:t>等，不属于生态保护红线管控的区域。</w:t>
            </w:r>
          </w:p>
        </w:tc>
      </w:tr>
      <w:tr w14:paraId="68DD4E9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254" w:hRule="atLeast"/>
          <w:jc w:val="center"/>
        </w:trPr>
        <w:tc>
          <w:tcPr>
            <w:tcW w:w="530" w:type="pct"/>
            <w:tcBorders>
              <w:left w:val="single" w:color="000000" w:sz="6" w:space="0"/>
            </w:tcBorders>
            <w:vAlign w:val="center"/>
          </w:tcPr>
          <w:p w14:paraId="687BDFB5">
            <w:pPr>
              <w:widowControl/>
              <w:spacing w:line="276" w:lineRule="auto"/>
              <w:jc w:val="center"/>
              <w:rPr>
                <w:kern w:val="0"/>
                <w:sz w:val="24"/>
                <w:szCs w:val="24"/>
              </w:rPr>
            </w:pPr>
            <w:r>
              <w:rPr>
                <w:rFonts w:hint="eastAsia"/>
                <w:kern w:val="0"/>
                <w:sz w:val="24"/>
                <w:szCs w:val="24"/>
              </w:rPr>
              <w:t>环境风险防范</w:t>
            </w:r>
          </w:p>
        </w:tc>
        <w:tc>
          <w:tcPr>
            <w:tcW w:w="4470" w:type="pct"/>
            <w:gridSpan w:val="4"/>
            <w:tcBorders>
              <w:right w:val="single" w:color="000000" w:sz="6" w:space="0"/>
            </w:tcBorders>
            <w:vAlign w:val="center"/>
          </w:tcPr>
          <w:p w14:paraId="531BB4F0">
            <w:pPr>
              <w:spacing w:line="276" w:lineRule="auto"/>
              <w:rPr>
                <w:sz w:val="24"/>
                <w:szCs w:val="24"/>
              </w:rPr>
            </w:pPr>
            <w:r>
              <w:rPr>
                <w:sz w:val="24"/>
                <w:szCs w:val="24"/>
              </w:rPr>
              <w:t>1</w:t>
            </w:r>
            <w:r>
              <w:rPr>
                <w:rFonts w:hAnsi="宋体"/>
                <w:sz w:val="24"/>
                <w:szCs w:val="24"/>
              </w:rPr>
              <w:t>、</w:t>
            </w:r>
            <w:r>
              <w:rPr>
                <w:rFonts w:hint="eastAsia" w:hAnsi="宋体"/>
                <w:sz w:val="24"/>
                <w:szCs w:val="24"/>
              </w:rPr>
              <w:t>按照国家和地方规定，制订本项目的突发环境事件应急预案，并报相关环境部门备案</w:t>
            </w:r>
            <w:r>
              <w:rPr>
                <w:rFonts w:hAnsi="宋体"/>
                <w:sz w:val="24"/>
                <w:szCs w:val="24"/>
              </w:rPr>
              <w:t>；</w:t>
            </w:r>
          </w:p>
          <w:p w14:paraId="726294F0">
            <w:pPr>
              <w:spacing w:line="276" w:lineRule="auto"/>
              <w:rPr>
                <w:sz w:val="24"/>
                <w:szCs w:val="24"/>
              </w:rPr>
            </w:pPr>
            <w:r>
              <w:rPr>
                <w:sz w:val="24"/>
                <w:szCs w:val="24"/>
              </w:rPr>
              <w:t>2</w:t>
            </w:r>
            <w:r>
              <w:rPr>
                <w:rFonts w:hAnsi="宋体"/>
                <w:sz w:val="24"/>
                <w:szCs w:val="24"/>
              </w:rPr>
              <w:t>、</w:t>
            </w:r>
            <w:r>
              <w:rPr>
                <w:rFonts w:hint="eastAsia" w:hAnsi="宋体"/>
                <w:sz w:val="24"/>
                <w:szCs w:val="24"/>
              </w:rPr>
              <w:t>危废暂存间、化学品库要有专人定期巡查检查。一旦出现泄漏、火灾和爆炸及环保治理设施故障等环境事件，立即启动相应突发环境事件应急预案，按照事件的大小进行相应的处置，控制环境事件的发生和发展，避免产生二次灾害和环境污染</w:t>
            </w:r>
            <w:r>
              <w:rPr>
                <w:sz w:val="24"/>
                <w:szCs w:val="24"/>
              </w:rPr>
              <w:t>；</w:t>
            </w:r>
          </w:p>
          <w:p w14:paraId="7EB9F521">
            <w:pPr>
              <w:pStyle w:val="108"/>
              <w:adjustRightInd/>
              <w:spacing w:line="276" w:lineRule="auto"/>
              <w:rPr>
                <w:color w:val="auto"/>
              </w:rPr>
            </w:pPr>
            <w:r>
              <w:rPr>
                <w:color w:val="auto"/>
              </w:rPr>
              <w:t>3、</w:t>
            </w:r>
            <w:r>
              <w:rPr>
                <w:rFonts w:hint="eastAsia"/>
                <w:color w:val="auto"/>
              </w:rPr>
              <w:t>保证设备的正常运行，同时对其它涉及的运行部位经常进行检查、维修，保证其正常运转。一旦发生系统失效，应立即停止设备运行，通知厂家进行维修，维修正常后再行运行。</w:t>
            </w:r>
          </w:p>
          <w:p w14:paraId="10C4204F">
            <w:pPr>
              <w:pStyle w:val="108"/>
              <w:adjustRightInd/>
              <w:spacing w:line="276" w:lineRule="auto"/>
              <w:rPr>
                <w:color w:val="auto"/>
              </w:rPr>
            </w:pPr>
            <w:r>
              <w:rPr>
                <w:rFonts w:hint="eastAsia"/>
                <w:color w:val="auto"/>
              </w:rPr>
              <w:t>4、做好厂区日常环境风险应急措施和演练工作，确保事故状态下，厂区风险应急体系能够有效运转。</w:t>
            </w:r>
          </w:p>
          <w:p w14:paraId="6B753C08">
            <w:pPr>
              <w:pStyle w:val="108"/>
              <w:adjustRightInd/>
              <w:spacing w:line="276" w:lineRule="auto"/>
              <w:rPr>
                <w:color w:val="auto"/>
              </w:rPr>
            </w:pPr>
            <w:r>
              <w:rPr>
                <w:rFonts w:hint="eastAsia"/>
                <w:color w:val="auto"/>
              </w:rPr>
              <w:t>5、危险废物由专人负责收集、贮存及运输，采取技术和管理措施防止无关人员进入。危废暂存间建设必须防风、防雨、防晒、防渗漏。</w:t>
            </w:r>
          </w:p>
        </w:tc>
      </w:tr>
      <w:tr w14:paraId="024277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22" w:hRule="atLeast"/>
          <w:jc w:val="center"/>
        </w:trPr>
        <w:tc>
          <w:tcPr>
            <w:tcW w:w="530" w:type="pct"/>
            <w:tcBorders>
              <w:left w:val="single" w:color="000000" w:sz="6" w:space="0"/>
            </w:tcBorders>
            <w:vAlign w:val="center"/>
          </w:tcPr>
          <w:p w14:paraId="7BE3AF43">
            <w:pPr>
              <w:widowControl/>
              <w:spacing w:line="276" w:lineRule="auto"/>
              <w:jc w:val="center"/>
              <w:rPr>
                <w:kern w:val="0"/>
                <w:sz w:val="24"/>
                <w:szCs w:val="24"/>
              </w:rPr>
            </w:pPr>
            <w:r>
              <w:rPr>
                <w:rFonts w:hint="eastAsia"/>
                <w:kern w:val="0"/>
                <w:sz w:val="24"/>
                <w:szCs w:val="24"/>
              </w:rPr>
              <w:t>其他</w:t>
            </w:r>
            <w:r>
              <w:rPr>
                <w:kern w:val="0"/>
                <w:sz w:val="24"/>
                <w:szCs w:val="24"/>
              </w:rPr>
              <w:t>环境管理要求</w:t>
            </w:r>
          </w:p>
        </w:tc>
        <w:tc>
          <w:tcPr>
            <w:tcW w:w="4470" w:type="pct"/>
            <w:gridSpan w:val="4"/>
            <w:tcBorders>
              <w:right w:val="single" w:color="000000" w:sz="6" w:space="0"/>
            </w:tcBorders>
            <w:vAlign w:val="center"/>
          </w:tcPr>
          <w:p w14:paraId="6922515E">
            <w:pPr>
              <w:pStyle w:val="108"/>
              <w:spacing w:line="276" w:lineRule="auto"/>
              <w:rPr>
                <w:color w:val="auto"/>
              </w:rPr>
            </w:pPr>
            <w:r>
              <w:rPr>
                <w:rFonts w:hint="eastAsia"/>
                <w:color w:val="auto"/>
              </w:rPr>
              <w:t>项目需遵守下列要求：</w:t>
            </w:r>
          </w:p>
          <w:p w14:paraId="57229223">
            <w:pPr>
              <w:pStyle w:val="108"/>
              <w:spacing w:line="276" w:lineRule="auto"/>
              <w:rPr>
                <w:color w:val="auto"/>
              </w:rPr>
            </w:pPr>
            <w:r>
              <w:rPr>
                <w:rFonts w:hint="eastAsia"/>
                <w:color w:val="auto"/>
              </w:rPr>
              <w:t>1、在实际排污之前，应根据《排污许可管理办法（</w:t>
            </w:r>
            <w:bookmarkStart w:id="12" w:name="_GoBack"/>
            <w:r>
              <w:rPr>
                <w:rFonts w:hint="eastAsia"/>
                <w:color w:val="auto"/>
              </w:rPr>
              <w:t>试行</w:t>
            </w:r>
            <w:bookmarkEnd w:id="12"/>
            <w:r>
              <w:rPr>
                <w:rFonts w:hint="eastAsia"/>
                <w:color w:val="auto"/>
              </w:rPr>
              <w:t>）</w:t>
            </w:r>
            <w:r>
              <w:rPr>
                <w:rFonts w:hint="eastAsia"/>
                <w:color w:val="auto"/>
                <w:lang w:eastAsia="zh-CN"/>
              </w:rPr>
              <w:t>》</w:t>
            </w:r>
            <w:r>
              <w:rPr>
                <w:rFonts w:hint="eastAsia"/>
                <w:color w:val="auto"/>
              </w:rPr>
              <w:t>、《固定污染源排污许可分类管理名录》依法登记管理排污许可。</w:t>
            </w:r>
          </w:p>
          <w:p w14:paraId="333BE970">
            <w:pPr>
              <w:pStyle w:val="108"/>
              <w:spacing w:line="276" w:lineRule="auto"/>
              <w:rPr>
                <w:color w:val="auto"/>
              </w:rPr>
            </w:pPr>
            <w:r>
              <w:rPr>
                <w:rFonts w:hint="eastAsia"/>
                <w:color w:val="auto"/>
              </w:rPr>
              <w:t>2、项目建设必须严格执行配套的环境保护设施与主体工程同时设计、同时施工、同时投产使用的环境保护“三同时”制度。</w:t>
            </w:r>
          </w:p>
          <w:p w14:paraId="4CA1A89A">
            <w:pPr>
              <w:spacing w:line="276" w:lineRule="auto"/>
              <w:rPr>
                <w:sz w:val="24"/>
                <w:szCs w:val="24"/>
              </w:rPr>
            </w:pPr>
            <w:r>
              <w:rPr>
                <w:rFonts w:hint="eastAsia" w:hAnsi="宋体"/>
                <w:sz w:val="24"/>
                <w:szCs w:val="24"/>
              </w:rPr>
              <w:t>3、项目实际的生产地点、主要生产单元、生产工艺、生产设施、污染防治设施应与排污许可证相符，实际情况与排污许可证载明的规模、参数等信息基本相符。所有有组织排放口和废水排放口的个数、类别、排放方式和去向等与排污许可证载明信息一致。</w:t>
            </w:r>
          </w:p>
          <w:p w14:paraId="6F763AA2">
            <w:pPr>
              <w:spacing w:line="276" w:lineRule="auto"/>
              <w:rPr>
                <w:sz w:val="24"/>
                <w:szCs w:val="24"/>
              </w:rPr>
            </w:pPr>
            <w:r>
              <w:rPr>
                <w:rFonts w:hint="eastAsia" w:hAnsi="宋体"/>
                <w:sz w:val="24"/>
                <w:szCs w:val="24"/>
              </w:rPr>
              <w:t>4、企业应强化对环保设施运行监督、管理的职能，建立全厂完善的环保设施运行、维护、维修等技术档案，以及加强对环保设施操作人员的技术培训，确保环保设施处于正常运行情况，污染物排放连续达标。</w:t>
            </w:r>
          </w:p>
          <w:p w14:paraId="03052B34">
            <w:pPr>
              <w:spacing w:line="276" w:lineRule="auto"/>
              <w:rPr>
                <w:sz w:val="24"/>
                <w:szCs w:val="24"/>
              </w:rPr>
            </w:pPr>
            <w:r>
              <w:rPr>
                <w:rFonts w:hint="eastAsia" w:hAnsi="宋体"/>
                <w:sz w:val="24"/>
                <w:szCs w:val="24"/>
              </w:rPr>
              <w:t>5、企业应参照《排污单位自行监测技术指南 总则》（</w:t>
            </w:r>
            <w:r>
              <w:rPr>
                <w:sz w:val="24"/>
                <w:szCs w:val="24"/>
              </w:rPr>
              <w:t>H</w:t>
            </w:r>
            <w:r>
              <w:rPr>
                <w:rFonts w:hint="eastAsia"/>
                <w:sz w:val="24"/>
                <w:szCs w:val="24"/>
              </w:rPr>
              <w:t xml:space="preserve">J </w:t>
            </w:r>
            <w:r>
              <w:rPr>
                <w:sz w:val="24"/>
                <w:szCs w:val="24"/>
              </w:rPr>
              <w:t>819-2017</w:t>
            </w:r>
            <w:r>
              <w:rPr>
                <w:rFonts w:hint="eastAsia" w:hAnsi="宋体"/>
                <w:sz w:val="24"/>
                <w:szCs w:val="24"/>
              </w:rPr>
              <w:t>）、</w:t>
            </w:r>
            <w:r>
              <w:rPr>
                <w:rFonts w:hint="eastAsia"/>
                <w:sz w:val="24"/>
                <w:szCs w:val="24"/>
              </w:rPr>
              <w:t>《排污许可证申请与核发技术规范 橡胶和塑料制品工业》（HJ1122-2020）</w:t>
            </w:r>
            <w:r>
              <w:rPr>
                <w:rFonts w:hint="eastAsia" w:hAnsi="宋体"/>
                <w:sz w:val="24"/>
                <w:szCs w:val="24"/>
              </w:rPr>
              <w:t>中的要求落实运营期自行监测计划，主动公开项目环评文件和验收报告，接受社会监督。</w:t>
            </w:r>
          </w:p>
        </w:tc>
      </w:tr>
    </w:tbl>
    <w:p w14:paraId="52F3652E">
      <w:pPr>
        <w:widowControl/>
        <w:outlineLvl w:val="0"/>
        <w:rPr>
          <w:b/>
          <w:bCs/>
          <w:kern w:val="0"/>
          <w:sz w:val="24"/>
          <w:szCs w:val="24"/>
        </w:rPr>
        <w:sectPr>
          <w:pgSz w:w="11906" w:h="16838"/>
          <w:pgMar w:top="1440" w:right="1508" w:bottom="1440" w:left="1797" w:header="851" w:footer="992" w:gutter="0"/>
          <w:cols w:space="720" w:num="1"/>
          <w:docGrid w:type="lines" w:linePitch="312" w:charSpace="0"/>
        </w:sectPr>
      </w:pPr>
    </w:p>
    <w:p w14:paraId="51E7383D">
      <w:pPr>
        <w:widowControl/>
        <w:jc w:val="center"/>
        <w:outlineLvl w:val="0"/>
        <w:rPr>
          <w:rFonts w:ascii="宋体" w:hAnsi="宋体"/>
          <w:b/>
          <w:bCs/>
          <w:kern w:val="0"/>
          <w:sz w:val="30"/>
          <w:szCs w:val="30"/>
        </w:rPr>
      </w:pPr>
      <w:r>
        <w:rPr>
          <w:rFonts w:hint="eastAsia" w:ascii="宋体" w:hAnsi="宋体"/>
          <w:b/>
          <w:bCs/>
          <w:kern w:val="0"/>
          <w:sz w:val="30"/>
          <w:szCs w:val="30"/>
        </w:rPr>
        <w:t>六、结论</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817"/>
      </w:tblGrid>
      <w:tr w14:paraId="45F5E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70" w:hRule="atLeast"/>
        </w:trPr>
        <w:tc>
          <w:tcPr>
            <w:tcW w:w="8817" w:type="dxa"/>
          </w:tcPr>
          <w:p w14:paraId="58531128">
            <w:pPr>
              <w:spacing w:line="360" w:lineRule="auto"/>
              <w:ind w:firstLine="480" w:firstLineChars="200"/>
              <w:jc w:val="left"/>
              <w:rPr>
                <w:rFonts w:hAnsi="宋体"/>
                <w:sz w:val="24"/>
              </w:rPr>
            </w:pPr>
            <w:r>
              <w:rPr>
                <w:rFonts w:hAnsi="宋体"/>
                <w:sz w:val="24"/>
              </w:rPr>
              <w:t>综上所述，本项目符合国家产业政策，符合当地规划，选址可行。项目</w:t>
            </w:r>
            <w:r>
              <w:rPr>
                <w:rFonts w:hint="eastAsia" w:hAnsi="宋体"/>
                <w:sz w:val="24"/>
              </w:rPr>
              <w:t>施工期和</w:t>
            </w:r>
            <w:r>
              <w:rPr>
                <w:rFonts w:hAnsi="宋体"/>
                <w:sz w:val="24"/>
              </w:rPr>
              <w:t>营运期产生的各类污染对区域环境质量会产生一定影响，但只要认真落实各项环境保护措施，各类污染物均可实现达标排放，并且不会对周围环境产生显著影响，不会造成区域环境功能级别的改变。</w:t>
            </w:r>
          </w:p>
          <w:p w14:paraId="6DEB8D50">
            <w:pPr>
              <w:spacing w:line="360" w:lineRule="auto"/>
              <w:ind w:firstLine="480" w:firstLineChars="200"/>
              <w:jc w:val="left"/>
              <w:rPr>
                <w:rFonts w:hAnsi="宋体"/>
                <w:sz w:val="24"/>
              </w:rPr>
            </w:pPr>
            <w:r>
              <w:rPr>
                <w:rFonts w:hAnsi="宋体"/>
                <w:sz w:val="24"/>
              </w:rPr>
              <w:t>因此，从环</w:t>
            </w:r>
            <w:r>
              <w:rPr>
                <w:rFonts w:hint="eastAsia" w:hAnsi="宋体"/>
                <w:sz w:val="24"/>
              </w:rPr>
              <w:t>境保护</w:t>
            </w:r>
            <w:r>
              <w:rPr>
                <w:rFonts w:hAnsi="宋体"/>
                <w:sz w:val="24"/>
              </w:rPr>
              <w:t>角度考虑，该项目的建设是可行的。</w:t>
            </w:r>
          </w:p>
        </w:tc>
      </w:tr>
    </w:tbl>
    <w:p w14:paraId="7EB8128F">
      <w:pPr>
        <w:pStyle w:val="108"/>
        <w:rPr>
          <w:color w:val="auto"/>
        </w:rPr>
        <w:sectPr>
          <w:pgSz w:w="11906" w:h="16838"/>
          <w:pgMar w:top="1440" w:right="1508" w:bottom="1440" w:left="1797" w:header="851" w:footer="992" w:gutter="0"/>
          <w:cols w:space="720" w:num="1"/>
          <w:docGrid w:type="lines" w:linePitch="312" w:charSpace="0"/>
        </w:sectPr>
      </w:pPr>
    </w:p>
    <w:p w14:paraId="1F3EF87B">
      <w:pPr>
        <w:spacing w:line="379" w:lineRule="exact"/>
        <w:ind w:left="111"/>
        <w:rPr>
          <w:rFonts w:ascii="宋体" w:hAnsi="宋体" w:cs="黑体"/>
          <w:b/>
          <w:sz w:val="30"/>
          <w:szCs w:val="30"/>
        </w:rPr>
      </w:pPr>
      <w:r>
        <w:rPr>
          <w:rFonts w:ascii="宋体" w:hAnsi="宋体" w:cs="黑体"/>
          <w:b/>
          <w:sz w:val="30"/>
          <w:szCs w:val="30"/>
        </w:rPr>
        <w:t>附表</w:t>
      </w:r>
    </w:p>
    <w:p w14:paraId="36FB067C">
      <w:pPr>
        <w:spacing w:line="360" w:lineRule="auto"/>
        <w:jc w:val="center"/>
        <w:rPr>
          <w:rFonts w:ascii="宋体" w:hAnsi="宋体" w:cs="微软雅黑"/>
          <w:sz w:val="30"/>
          <w:szCs w:val="30"/>
        </w:rPr>
      </w:pPr>
      <w:r>
        <w:rPr>
          <w:rFonts w:ascii="宋体" w:hAnsi="宋体" w:cs="微软雅黑"/>
          <w:sz w:val="30"/>
          <w:szCs w:val="30"/>
        </w:rPr>
        <w:t>建设项目污染物排放量汇总表</w:t>
      </w:r>
    </w:p>
    <w:tbl>
      <w:tblPr>
        <w:tblStyle w:val="34"/>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1428"/>
        <w:gridCol w:w="1716"/>
        <w:gridCol w:w="1282"/>
        <w:gridCol w:w="1716"/>
        <w:gridCol w:w="1716"/>
        <w:gridCol w:w="1573"/>
        <w:gridCol w:w="1717"/>
        <w:gridCol w:w="1553"/>
      </w:tblGrid>
      <w:tr w14:paraId="15A31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3" w:type="pct"/>
            <w:tcBorders>
              <w:tl2br w:val="single" w:color="auto" w:sz="4" w:space="0"/>
            </w:tcBorders>
            <w:tcMar>
              <w:left w:w="28" w:type="dxa"/>
              <w:right w:w="28" w:type="dxa"/>
            </w:tcMar>
            <w:vAlign w:val="center"/>
          </w:tcPr>
          <w:p w14:paraId="22BF813B">
            <w:pPr>
              <w:pStyle w:val="157"/>
              <w:spacing w:line="360" w:lineRule="auto"/>
              <w:jc w:val="right"/>
              <w:rPr>
                <w:rFonts w:hAnsi="宋体"/>
                <w:snapToGrid w:val="0"/>
                <w:spacing w:val="-6"/>
                <w:kern w:val="21"/>
                <w:szCs w:val="24"/>
              </w:rPr>
            </w:pPr>
            <w:r>
              <w:rPr>
                <w:rFonts w:hAnsi="宋体"/>
                <w:snapToGrid w:val="0"/>
                <w:spacing w:val="-6"/>
                <w:kern w:val="21"/>
                <w:szCs w:val="24"/>
              </w:rPr>
              <w:t>项目</w:t>
            </w:r>
          </w:p>
          <w:p w14:paraId="069088F5">
            <w:pPr>
              <w:pStyle w:val="157"/>
              <w:spacing w:line="360" w:lineRule="auto"/>
              <w:jc w:val="left"/>
              <w:rPr>
                <w:rFonts w:hAnsi="宋体"/>
                <w:snapToGrid w:val="0"/>
                <w:spacing w:val="-6"/>
                <w:kern w:val="21"/>
                <w:szCs w:val="24"/>
              </w:rPr>
            </w:pPr>
            <w:r>
              <w:rPr>
                <w:rFonts w:hAnsi="宋体"/>
                <w:snapToGrid w:val="0"/>
                <w:spacing w:val="-6"/>
                <w:kern w:val="21"/>
                <w:szCs w:val="24"/>
              </w:rPr>
              <w:t>分类</w:t>
            </w:r>
          </w:p>
        </w:tc>
        <w:tc>
          <w:tcPr>
            <w:tcW w:w="514" w:type="pct"/>
            <w:tcMar>
              <w:left w:w="28" w:type="dxa"/>
              <w:right w:w="28" w:type="dxa"/>
            </w:tcMar>
            <w:vAlign w:val="center"/>
          </w:tcPr>
          <w:p w14:paraId="6C4678B6">
            <w:pPr>
              <w:pStyle w:val="157"/>
              <w:spacing w:line="360" w:lineRule="auto"/>
              <w:rPr>
                <w:rFonts w:hAnsi="宋体"/>
                <w:snapToGrid w:val="0"/>
                <w:spacing w:val="-6"/>
                <w:kern w:val="21"/>
                <w:szCs w:val="24"/>
              </w:rPr>
            </w:pPr>
            <w:r>
              <w:rPr>
                <w:rFonts w:hAnsi="宋体"/>
                <w:snapToGrid w:val="0"/>
                <w:spacing w:val="-6"/>
                <w:kern w:val="21"/>
                <w:szCs w:val="24"/>
              </w:rPr>
              <w:t>污染物名称</w:t>
            </w:r>
          </w:p>
        </w:tc>
        <w:tc>
          <w:tcPr>
            <w:tcW w:w="617" w:type="pct"/>
            <w:tcMar>
              <w:left w:w="28" w:type="dxa"/>
              <w:right w:w="28" w:type="dxa"/>
            </w:tcMar>
            <w:vAlign w:val="center"/>
          </w:tcPr>
          <w:p w14:paraId="573EADD8">
            <w:pPr>
              <w:pStyle w:val="157"/>
              <w:spacing w:line="360" w:lineRule="auto"/>
              <w:rPr>
                <w:rFonts w:hAnsi="宋体"/>
                <w:snapToGrid w:val="0"/>
                <w:spacing w:val="-6"/>
                <w:kern w:val="21"/>
                <w:szCs w:val="24"/>
              </w:rPr>
            </w:pPr>
            <w:r>
              <w:rPr>
                <w:rFonts w:hAnsi="宋体"/>
                <w:snapToGrid w:val="0"/>
                <w:spacing w:val="-6"/>
                <w:kern w:val="21"/>
                <w:szCs w:val="24"/>
              </w:rPr>
              <w:t>现有工程</w:t>
            </w:r>
          </w:p>
          <w:p w14:paraId="6E55EBC5">
            <w:pPr>
              <w:pStyle w:val="157"/>
              <w:spacing w:line="360" w:lineRule="auto"/>
              <w:rPr>
                <w:rFonts w:hAnsi="宋体"/>
                <w:snapToGrid w:val="0"/>
                <w:spacing w:val="-6"/>
                <w:kern w:val="21"/>
                <w:szCs w:val="24"/>
              </w:rPr>
            </w:pPr>
            <w:r>
              <w:rPr>
                <w:rFonts w:hAnsi="宋体"/>
                <w:snapToGrid w:val="0"/>
                <w:spacing w:val="-6"/>
                <w:kern w:val="21"/>
                <w:szCs w:val="24"/>
              </w:rPr>
              <w:t>排放量（固体废物产生量）</w:t>
            </w:r>
            <w:r>
              <w:rPr>
                <w:rFonts w:hAnsi="宋体"/>
                <w:snapToGrid w:val="0"/>
                <w:spacing w:val="-6"/>
                <w:kern w:val="21"/>
                <w:szCs w:val="24"/>
              </w:rPr>
              <w:fldChar w:fldCharType="begin"/>
            </w:r>
            <w:r>
              <w:rPr>
                <w:rFonts w:hAnsi="宋体"/>
                <w:snapToGrid w:val="0"/>
                <w:spacing w:val="-6"/>
                <w:kern w:val="21"/>
                <w:szCs w:val="24"/>
              </w:rPr>
              <w:instrText xml:space="preserve"> = 1 \* GB3 \* MERGEFORMAT </w:instrText>
            </w:r>
            <w:r>
              <w:rPr>
                <w:rFonts w:hAnsi="宋体"/>
                <w:snapToGrid w:val="0"/>
                <w:spacing w:val="-6"/>
                <w:kern w:val="21"/>
                <w:szCs w:val="24"/>
              </w:rPr>
              <w:fldChar w:fldCharType="separate"/>
            </w:r>
            <w:r>
              <w:rPr>
                <w:rFonts w:hAnsi="宋体"/>
                <w:szCs w:val="24"/>
              </w:rPr>
              <w:t>①</w:t>
            </w:r>
            <w:r>
              <w:rPr>
                <w:rFonts w:hAnsi="宋体"/>
                <w:snapToGrid w:val="0"/>
                <w:spacing w:val="-6"/>
                <w:kern w:val="21"/>
                <w:szCs w:val="24"/>
              </w:rPr>
              <w:fldChar w:fldCharType="end"/>
            </w:r>
          </w:p>
        </w:tc>
        <w:tc>
          <w:tcPr>
            <w:tcW w:w="462" w:type="pct"/>
            <w:tcMar>
              <w:left w:w="28" w:type="dxa"/>
              <w:right w:w="28" w:type="dxa"/>
            </w:tcMar>
            <w:vAlign w:val="center"/>
          </w:tcPr>
          <w:p w14:paraId="489E9AA3">
            <w:pPr>
              <w:pStyle w:val="157"/>
              <w:spacing w:line="360" w:lineRule="auto"/>
              <w:rPr>
                <w:rFonts w:hAnsi="宋体"/>
                <w:snapToGrid w:val="0"/>
                <w:spacing w:val="-6"/>
                <w:kern w:val="21"/>
                <w:szCs w:val="24"/>
              </w:rPr>
            </w:pPr>
            <w:r>
              <w:rPr>
                <w:rFonts w:hAnsi="宋体"/>
                <w:snapToGrid w:val="0"/>
                <w:spacing w:val="-6"/>
                <w:kern w:val="21"/>
                <w:szCs w:val="24"/>
              </w:rPr>
              <w:t>现有工程</w:t>
            </w:r>
          </w:p>
          <w:p w14:paraId="77963144">
            <w:pPr>
              <w:pStyle w:val="157"/>
              <w:spacing w:line="360" w:lineRule="auto"/>
              <w:rPr>
                <w:rFonts w:hAnsi="宋体"/>
                <w:snapToGrid w:val="0"/>
                <w:spacing w:val="-6"/>
                <w:kern w:val="21"/>
                <w:szCs w:val="24"/>
              </w:rPr>
            </w:pPr>
            <w:r>
              <w:rPr>
                <w:rFonts w:hAnsi="宋体"/>
                <w:snapToGrid w:val="0"/>
                <w:spacing w:val="-6"/>
                <w:kern w:val="21"/>
                <w:szCs w:val="24"/>
              </w:rPr>
              <w:t>许可排放量</w:t>
            </w:r>
          </w:p>
          <w:p w14:paraId="107D8181">
            <w:pPr>
              <w:pStyle w:val="157"/>
              <w:spacing w:line="360" w:lineRule="auto"/>
              <w:rPr>
                <w:rFonts w:hAnsi="宋体"/>
                <w:snapToGrid w:val="0"/>
                <w:spacing w:val="-6"/>
                <w:kern w:val="21"/>
                <w:szCs w:val="24"/>
              </w:rPr>
            </w:pPr>
            <w:r>
              <w:rPr>
                <w:rFonts w:hAnsi="宋体"/>
                <w:snapToGrid w:val="0"/>
                <w:spacing w:val="-6"/>
                <w:kern w:val="21"/>
                <w:szCs w:val="24"/>
              </w:rPr>
              <w:fldChar w:fldCharType="begin"/>
            </w:r>
            <w:r>
              <w:rPr>
                <w:rFonts w:hAnsi="宋体"/>
                <w:snapToGrid w:val="0"/>
                <w:spacing w:val="-6"/>
                <w:kern w:val="21"/>
                <w:szCs w:val="24"/>
              </w:rPr>
              <w:instrText xml:space="preserve"> = 2 \* GB3 \* MERGEFORMAT </w:instrText>
            </w:r>
            <w:r>
              <w:rPr>
                <w:rFonts w:hAnsi="宋体"/>
                <w:snapToGrid w:val="0"/>
                <w:spacing w:val="-6"/>
                <w:kern w:val="21"/>
                <w:szCs w:val="24"/>
              </w:rPr>
              <w:fldChar w:fldCharType="separate"/>
            </w:r>
            <w:r>
              <w:rPr>
                <w:rFonts w:hAnsi="宋体"/>
                <w:snapToGrid w:val="0"/>
                <w:spacing w:val="-6"/>
                <w:kern w:val="21"/>
                <w:szCs w:val="24"/>
              </w:rPr>
              <w:t>②</w:t>
            </w:r>
            <w:r>
              <w:rPr>
                <w:rFonts w:hAnsi="宋体"/>
                <w:snapToGrid w:val="0"/>
                <w:spacing w:val="-6"/>
                <w:kern w:val="21"/>
                <w:szCs w:val="24"/>
              </w:rPr>
              <w:fldChar w:fldCharType="end"/>
            </w:r>
          </w:p>
        </w:tc>
        <w:tc>
          <w:tcPr>
            <w:tcW w:w="617" w:type="pct"/>
            <w:tcMar>
              <w:left w:w="28" w:type="dxa"/>
              <w:right w:w="28" w:type="dxa"/>
            </w:tcMar>
            <w:vAlign w:val="center"/>
          </w:tcPr>
          <w:p w14:paraId="480C27B4">
            <w:pPr>
              <w:pStyle w:val="157"/>
              <w:spacing w:line="360" w:lineRule="auto"/>
              <w:rPr>
                <w:rFonts w:hAnsi="宋体"/>
                <w:snapToGrid w:val="0"/>
                <w:spacing w:val="-6"/>
                <w:kern w:val="21"/>
                <w:szCs w:val="24"/>
              </w:rPr>
            </w:pPr>
            <w:r>
              <w:rPr>
                <w:rFonts w:hAnsi="宋体"/>
                <w:snapToGrid w:val="0"/>
                <w:spacing w:val="-6"/>
                <w:kern w:val="21"/>
                <w:szCs w:val="24"/>
              </w:rPr>
              <w:t>在建工程</w:t>
            </w:r>
          </w:p>
          <w:p w14:paraId="1A12FEBE">
            <w:pPr>
              <w:pStyle w:val="157"/>
              <w:spacing w:line="360" w:lineRule="auto"/>
              <w:rPr>
                <w:rFonts w:hAnsi="宋体"/>
                <w:snapToGrid w:val="0"/>
                <w:spacing w:val="-6"/>
                <w:kern w:val="21"/>
                <w:szCs w:val="24"/>
              </w:rPr>
            </w:pPr>
            <w:r>
              <w:rPr>
                <w:rFonts w:hAnsi="宋体"/>
                <w:snapToGrid w:val="0"/>
                <w:spacing w:val="-6"/>
                <w:kern w:val="21"/>
                <w:szCs w:val="24"/>
              </w:rPr>
              <w:t>排放量（固体废物产生量）</w:t>
            </w:r>
            <w:r>
              <w:rPr>
                <w:rFonts w:hAnsi="宋体"/>
                <w:snapToGrid w:val="0"/>
                <w:spacing w:val="-6"/>
                <w:kern w:val="21"/>
                <w:szCs w:val="24"/>
              </w:rPr>
              <w:fldChar w:fldCharType="begin"/>
            </w:r>
            <w:r>
              <w:rPr>
                <w:rFonts w:hAnsi="宋体"/>
                <w:snapToGrid w:val="0"/>
                <w:spacing w:val="-6"/>
                <w:kern w:val="21"/>
                <w:szCs w:val="24"/>
              </w:rPr>
              <w:instrText xml:space="preserve"> = 3 \* GB3 \* MERGEFORMAT </w:instrText>
            </w:r>
            <w:r>
              <w:rPr>
                <w:rFonts w:hAnsi="宋体"/>
                <w:snapToGrid w:val="0"/>
                <w:spacing w:val="-6"/>
                <w:kern w:val="21"/>
                <w:szCs w:val="24"/>
              </w:rPr>
              <w:fldChar w:fldCharType="separate"/>
            </w:r>
            <w:r>
              <w:rPr>
                <w:rFonts w:hAnsi="宋体"/>
                <w:szCs w:val="24"/>
              </w:rPr>
              <w:t>③</w:t>
            </w:r>
            <w:r>
              <w:rPr>
                <w:rFonts w:hAnsi="宋体"/>
                <w:snapToGrid w:val="0"/>
                <w:spacing w:val="-6"/>
                <w:kern w:val="21"/>
                <w:szCs w:val="24"/>
              </w:rPr>
              <w:fldChar w:fldCharType="end"/>
            </w:r>
          </w:p>
        </w:tc>
        <w:tc>
          <w:tcPr>
            <w:tcW w:w="617" w:type="pct"/>
            <w:tcMar>
              <w:left w:w="28" w:type="dxa"/>
              <w:right w:w="28" w:type="dxa"/>
            </w:tcMar>
            <w:vAlign w:val="center"/>
          </w:tcPr>
          <w:p w14:paraId="72321C28">
            <w:pPr>
              <w:pStyle w:val="157"/>
              <w:spacing w:line="360" w:lineRule="auto"/>
              <w:rPr>
                <w:rFonts w:hAnsi="宋体"/>
                <w:snapToGrid w:val="0"/>
                <w:spacing w:val="-6"/>
                <w:kern w:val="21"/>
                <w:szCs w:val="24"/>
              </w:rPr>
            </w:pPr>
            <w:r>
              <w:rPr>
                <w:rFonts w:hAnsi="宋体"/>
                <w:snapToGrid w:val="0"/>
                <w:spacing w:val="-6"/>
                <w:kern w:val="21"/>
                <w:szCs w:val="24"/>
              </w:rPr>
              <w:t>本项目</w:t>
            </w:r>
          </w:p>
          <w:p w14:paraId="66409455">
            <w:pPr>
              <w:pStyle w:val="157"/>
              <w:spacing w:line="360" w:lineRule="auto"/>
              <w:rPr>
                <w:rFonts w:hAnsi="宋体"/>
                <w:snapToGrid w:val="0"/>
                <w:spacing w:val="-6"/>
                <w:kern w:val="21"/>
                <w:szCs w:val="24"/>
              </w:rPr>
            </w:pPr>
            <w:r>
              <w:rPr>
                <w:rFonts w:hAnsi="宋体"/>
                <w:snapToGrid w:val="0"/>
                <w:spacing w:val="-6"/>
                <w:kern w:val="21"/>
                <w:szCs w:val="24"/>
              </w:rPr>
              <w:t>排放量（固体废物产生量）</w:t>
            </w:r>
            <w:r>
              <w:rPr>
                <w:rFonts w:hAnsi="宋体"/>
                <w:snapToGrid w:val="0"/>
                <w:spacing w:val="-6"/>
                <w:kern w:val="21"/>
                <w:szCs w:val="24"/>
              </w:rPr>
              <w:fldChar w:fldCharType="begin"/>
            </w:r>
            <w:r>
              <w:rPr>
                <w:rFonts w:hAnsi="宋体"/>
                <w:snapToGrid w:val="0"/>
                <w:spacing w:val="-6"/>
                <w:kern w:val="21"/>
                <w:szCs w:val="24"/>
              </w:rPr>
              <w:instrText xml:space="preserve"> = 4 \* GB3 \* MERGEFORMAT </w:instrText>
            </w:r>
            <w:r>
              <w:rPr>
                <w:rFonts w:hAnsi="宋体"/>
                <w:snapToGrid w:val="0"/>
                <w:spacing w:val="-6"/>
                <w:kern w:val="21"/>
                <w:szCs w:val="24"/>
              </w:rPr>
              <w:fldChar w:fldCharType="separate"/>
            </w:r>
            <w:r>
              <w:rPr>
                <w:rFonts w:hAnsi="宋体"/>
                <w:szCs w:val="24"/>
              </w:rPr>
              <w:t>④</w:t>
            </w:r>
            <w:r>
              <w:rPr>
                <w:rFonts w:hAnsi="宋体"/>
                <w:snapToGrid w:val="0"/>
                <w:spacing w:val="-6"/>
                <w:kern w:val="21"/>
                <w:szCs w:val="24"/>
              </w:rPr>
              <w:fldChar w:fldCharType="end"/>
            </w:r>
          </w:p>
        </w:tc>
        <w:tc>
          <w:tcPr>
            <w:tcW w:w="566" w:type="pct"/>
            <w:tcMar>
              <w:left w:w="28" w:type="dxa"/>
              <w:right w:w="28" w:type="dxa"/>
            </w:tcMar>
            <w:vAlign w:val="center"/>
          </w:tcPr>
          <w:p w14:paraId="24C1C8E9">
            <w:pPr>
              <w:pStyle w:val="157"/>
              <w:spacing w:line="360" w:lineRule="auto"/>
              <w:rPr>
                <w:rFonts w:hAnsi="宋体"/>
                <w:snapToGrid w:val="0"/>
                <w:spacing w:val="-16"/>
                <w:kern w:val="21"/>
                <w:szCs w:val="24"/>
              </w:rPr>
            </w:pPr>
            <w:r>
              <w:rPr>
                <w:rFonts w:hAnsi="宋体"/>
                <w:snapToGrid w:val="0"/>
                <w:spacing w:val="-16"/>
                <w:kern w:val="21"/>
                <w:szCs w:val="24"/>
              </w:rPr>
              <w:t>以新带老削减量</w:t>
            </w:r>
          </w:p>
          <w:p w14:paraId="67B3755D">
            <w:pPr>
              <w:pStyle w:val="157"/>
              <w:spacing w:line="360" w:lineRule="auto"/>
              <w:rPr>
                <w:rFonts w:hAnsi="宋体"/>
                <w:snapToGrid w:val="0"/>
                <w:spacing w:val="-16"/>
                <w:kern w:val="21"/>
                <w:szCs w:val="24"/>
              </w:rPr>
            </w:pPr>
            <w:r>
              <w:rPr>
                <w:rFonts w:hAnsi="宋体"/>
                <w:snapToGrid w:val="0"/>
                <w:spacing w:val="-16"/>
                <w:kern w:val="21"/>
                <w:szCs w:val="24"/>
              </w:rPr>
              <w:t>（新建项目不填）</w:t>
            </w:r>
            <w:r>
              <w:rPr>
                <w:rFonts w:hAnsi="宋体"/>
                <w:snapToGrid w:val="0"/>
                <w:spacing w:val="-16"/>
                <w:kern w:val="21"/>
                <w:szCs w:val="24"/>
              </w:rPr>
              <w:fldChar w:fldCharType="begin"/>
            </w:r>
            <w:r>
              <w:rPr>
                <w:rFonts w:hAnsi="宋体"/>
                <w:snapToGrid w:val="0"/>
                <w:spacing w:val="-16"/>
                <w:kern w:val="21"/>
                <w:szCs w:val="24"/>
              </w:rPr>
              <w:instrText xml:space="preserve"> = 5 \* GB3 \* MERGEFORMAT </w:instrText>
            </w:r>
            <w:r>
              <w:rPr>
                <w:rFonts w:hAnsi="宋体"/>
                <w:snapToGrid w:val="0"/>
                <w:spacing w:val="-16"/>
                <w:kern w:val="21"/>
                <w:szCs w:val="24"/>
              </w:rPr>
              <w:fldChar w:fldCharType="separate"/>
            </w:r>
            <w:r>
              <w:rPr>
                <w:rFonts w:hAnsi="宋体"/>
                <w:szCs w:val="24"/>
              </w:rPr>
              <w:t>⑤</w:t>
            </w:r>
            <w:r>
              <w:rPr>
                <w:rFonts w:hAnsi="宋体"/>
                <w:snapToGrid w:val="0"/>
                <w:spacing w:val="-16"/>
                <w:kern w:val="21"/>
                <w:szCs w:val="24"/>
              </w:rPr>
              <w:fldChar w:fldCharType="end"/>
            </w:r>
          </w:p>
        </w:tc>
        <w:tc>
          <w:tcPr>
            <w:tcW w:w="617" w:type="pct"/>
            <w:tcMar>
              <w:left w:w="28" w:type="dxa"/>
              <w:right w:w="28" w:type="dxa"/>
            </w:tcMar>
            <w:vAlign w:val="center"/>
          </w:tcPr>
          <w:p w14:paraId="0342222B">
            <w:pPr>
              <w:pStyle w:val="157"/>
              <w:spacing w:line="360" w:lineRule="auto"/>
              <w:rPr>
                <w:rFonts w:hAnsi="宋体"/>
                <w:snapToGrid w:val="0"/>
                <w:spacing w:val="-16"/>
                <w:kern w:val="21"/>
                <w:szCs w:val="24"/>
              </w:rPr>
            </w:pPr>
            <w:r>
              <w:rPr>
                <w:rFonts w:hAnsi="宋体"/>
                <w:snapToGrid w:val="0"/>
                <w:spacing w:val="-16"/>
                <w:kern w:val="21"/>
                <w:szCs w:val="24"/>
              </w:rPr>
              <w:t>本项目建成后</w:t>
            </w:r>
          </w:p>
          <w:p w14:paraId="38108FC0">
            <w:pPr>
              <w:pStyle w:val="157"/>
              <w:spacing w:line="360" w:lineRule="auto"/>
              <w:rPr>
                <w:rFonts w:hAnsi="宋体"/>
                <w:snapToGrid w:val="0"/>
                <w:spacing w:val="-16"/>
                <w:kern w:val="21"/>
                <w:szCs w:val="24"/>
              </w:rPr>
            </w:pPr>
            <w:r>
              <w:rPr>
                <w:rFonts w:hAnsi="宋体"/>
                <w:snapToGrid w:val="0"/>
                <w:spacing w:val="-16"/>
                <w:kern w:val="21"/>
                <w:szCs w:val="24"/>
              </w:rPr>
              <w:t>全厂排放量（固体废物产生量）</w:t>
            </w:r>
            <w:r>
              <w:rPr>
                <w:rFonts w:hAnsi="宋体"/>
                <w:snapToGrid w:val="0"/>
                <w:spacing w:val="-16"/>
                <w:kern w:val="21"/>
                <w:szCs w:val="24"/>
              </w:rPr>
              <w:fldChar w:fldCharType="begin"/>
            </w:r>
            <w:r>
              <w:rPr>
                <w:rFonts w:hAnsi="宋体"/>
                <w:snapToGrid w:val="0"/>
                <w:spacing w:val="-16"/>
                <w:kern w:val="21"/>
                <w:szCs w:val="24"/>
              </w:rPr>
              <w:instrText xml:space="preserve"> = 6 \* GB3 \* MERGEFORMAT </w:instrText>
            </w:r>
            <w:r>
              <w:rPr>
                <w:rFonts w:hAnsi="宋体"/>
                <w:snapToGrid w:val="0"/>
                <w:spacing w:val="-16"/>
                <w:kern w:val="21"/>
                <w:szCs w:val="24"/>
              </w:rPr>
              <w:fldChar w:fldCharType="separate"/>
            </w:r>
            <w:r>
              <w:rPr>
                <w:rFonts w:hAnsi="宋体"/>
                <w:szCs w:val="24"/>
              </w:rPr>
              <w:t>⑥</w:t>
            </w:r>
            <w:r>
              <w:rPr>
                <w:rFonts w:hAnsi="宋体"/>
                <w:snapToGrid w:val="0"/>
                <w:spacing w:val="-16"/>
                <w:kern w:val="21"/>
                <w:szCs w:val="24"/>
              </w:rPr>
              <w:fldChar w:fldCharType="end"/>
            </w:r>
          </w:p>
        </w:tc>
        <w:tc>
          <w:tcPr>
            <w:tcW w:w="517" w:type="pct"/>
            <w:tcMar>
              <w:left w:w="28" w:type="dxa"/>
              <w:right w:w="28" w:type="dxa"/>
            </w:tcMar>
            <w:vAlign w:val="center"/>
          </w:tcPr>
          <w:p w14:paraId="618F5785">
            <w:pPr>
              <w:pStyle w:val="157"/>
              <w:spacing w:line="360" w:lineRule="auto"/>
              <w:rPr>
                <w:rFonts w:hAnsi="宋体"/>
                <w:snapToGrid w:val="0"/>
                <w:spacing w:val="-6"/>
                <w:kern w:val="21"/>
                <w:szCs w:val="24"/>
              </w:rPr>
            </w:pPr>
            <w:r>
              <w:rPr>
                <w:rFonts w:hAnsi="宋体"/>
                <w:snapToGrid w:val="0"/>
                <w:spacing w:val="-6"/>
                <w:kern w:val="21"/>
                <w:szCs w:val="24"/>
              </w:rPr>
              <w:t>变化量</w:t>
            </w:r>
          </w:p>
          <w:p w14:paraId="19CBA86D">
            <w:pPr>
              <w:pStyle w:val="157"/>
              <w:spacing w:line="360" w:lineRule="auto"/>
              <w:rPr>
                <w:rFonts w:hAnsi="宋体"/>
                <w:snapToGrid w:val="0"/>
                <w:spacing w:val="-6"/>
                <w:kern w:val="21"/>
                <w:szCs w:val="24"/>
              </w:rPr>
            </w:pPr>
            <w:r>
              <w:rPr>
                <w:rFonts w:hAnsi="宋体"/>
                <w:snapToGrid w:val="0"/>
                <w:spacing w:val="-6"/>
                <w:kern w:val="21"/>
                <w:szCs w:val="24"/>
              </w:rPr>
              <w:fldChar w:fldCharType="begin"/>
            </w:r>
            <w:r>
              <w:rPr>
                <w:rFonts w:hAnsi="宋体"/>
                <w:snapToGrid w:val="0"/>
                <w:spacing w:val="-6"/>
                <w:kern w:val="21"/>
                <w:szCs w:val="24"/>
              </w:rPr>
              <w:instrText xml:space="preserve"> = 7 \* GB3 \* MERGEFORMAT </w:instrText>
            </w:r>
            <w:r>
              <w:rPr>
                <w:rFonts w:hAnsi="宋体"/>
                <w:snapToGrid w:val="0"/>
                <w:spacing w:val="-6"/>
                <w:kern w:val="21"/>
                <w:szCs w:val="24"/>
              </w:rPr>
              <w:fldChar w:fldCharType="separate"/>
            </w:r>
            <w:r>
              <w:rPr>
                <w:rFonts w:hAnsi="宋体"/>
                <w:szCs w:val="24"/>
              </w:rPr>
              <w:t>⑦</w:t>
            </w:r>
            <w:r>
              <w:rPr>
                <w:rFonts w:hAnsi="宋体"/>
                <w:snapToGrid w:val="0"/>
                <w:spacing w:val="-6"/>
                <w:kern w:val="21"/>
                <w:szCs w:val="24"/>
              </w:rPr>
              <w:fldChar w:fldCharType="end"/>
            </w:r>
          </w:p>
        </w:tc>
      </w:tr>
      <w:tr w14:paraId="605E45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restart"/>
            <w:vAlign w:val="center"/>
          </w:tcPr>
          <w:p w14:paraId="5E6035FA">
            <w:pPr>
              <w:pStyle w:val="157"/>
              <w:spacing w:line="360" w:lineRule="auto"/>
              <w:rPr>
                <w:snapToGrid w:val="0"/>
                <w:kern w:val="21"/>
                <w:szCs w:val="24"/>
              </w:rPr>
            </w:pPr>
            <w:r>
              <w:rPr>
                <w:rFonts w:hAnsi="宋体"/>
                <w:snapToGrid w:val="0"/>
                <w:kern w:val="21"/>
                <w:szCs w:val="24"/>
              </w:rPr>
              <w:t>废气</w:t>
            </w:r>
          </w:p>
        </w:tc>
        <w:tc>
          <w:tcPr>
            <w:tcW w:w="514" w:type="pct"/>
            <w:vAlign w:val="center"/>
          </w:tcPr>
          <w:p w14:paraId="21E68D4B">
            <w:pPr>
              <w:pStyle w:val="157"/>
              <w:spacing w:line="360" w:lineRule="auto"/>
              <w:rPr>
                <w:snapToGrid w:val="0"/>
                <w:kern w:val="21"/>
                <w:szCs w:val="24"/>
              </w:rPr>
            </w:pPr>
            <w:r>
              <w:rPr>
                <w:rFonts w:hint="eastAsia" w:hAnsi="宋体"/>
                <w:snapToGrid w:val="0"/>
                <w:kern w:val="21"/>
                <w:szCs w:val="24"/>
              </w:rPr>
              <w:t>颗粒物</w:t>
            </w:r>
          </w:p>
        </w:tc>
        <w:tc>
          <w:tcPr>
            <w:tcW w:w="617" w:type="pct"/>
            <w:vAlign w:val="center"/>
          </w:tcPr>
          <w:p w14:paraId="64B69203">
            <w:pPr>
              <w:pStyle w:val="157"/>
              <w:spacing w:line="360" w:lineRule="auto"/>
              <w:rPr>
                <w:snapToGrid w:val="0"/>
                <w:kern w:val="21"/>
                <w:szCs w:val="24"/>
              </w:rPr>
            </w:pPr>
            <w:r>
              <w:rPr>
                <w:snapToGrid w:val="0"/>
                <w:kern w:val="21"/>
                <w:szCs w:val="24"/>
              </w:rPr>
              <w:t>0</w:t>
            </w:r>
          </w:p>
        </w:tc>
        <w:tc>
          <w:tcPr>
            <w:tcW w:w="462" w:type="pct"/>
            <w:vAlign w:val="center"/>
          </w:tcPr>
          <w:p w14:paraId="5C347181">
            <w:pPr>
              <w:pStyle w:val="157"/>
              <w:spacing w:line="360" w:lineRule="auto"/>
              <w:rPr>
                <w:snapToGrid w:val="0"/>
                <w:kern w:val="21"/>
                <w:szCs w:val="24"/>
              </w:rPr>
            </w:pPr>
            <w:r>
              <w:rPr>
                <w:snapToGrid w:val="0"/>
                <w:kern w:val="21"/>
                <w:szCs w:val="24"/>
              </w:rPr>
              <w:t>0</w:t>
            </w:r>
          </w:p>
        </w:tc>
        <w:tc>
          <w:tcPr>
            <w:tcW w:w="617" w:type="pct"/>
            <w:vAlign w:val="center"/>
          </w:tcPr>
          <w:p w14:paraId="5EA3FA05">
            <w:pPr>
              <w:pStyle w:val="157"/>
              <w:spacing w:line="360" w:lineRule="auto"/>
              <w:rPr>
                <w:snapToGrid w:val="0"/>
                <w:kern w:val="21"/>
                <w:szCs w:val="24"/>
              </w:rPr>
            </w:pPr>
            <w:r>
              <w:rPr>
                <w:snapToGrid w:val="0"/>
                <w:kern w:val="21"/>
                <w:szCs w:val="24"/>
              </w:rPr>
              <w:t>0</w:t>
            </w:r>
          </w:p>
        </w:tc>
        <w:tc>
          <w:tcPr>
            <w:tcW w:w="617" w:type="pct"/>
            <w:vAlign w:val="center"/>
          </w:tcPr>
          <w:p w14:paraId="0CD41E9E">
            <w:pPr>
              <w:spacing w:line="360" w:lineRule="auto"/>
              <w:jc w:val="center"/>
              <w:rPr>
                <w:sz w:val="24"/>
                <w:szCs w:val="24"/>
              </w:rPr>
            </w:pPr>
            <w:r>
              <w:rPr>
                <w:rFonts w:hint="eastAsia"/>
                <w:sz w:val="24"/>
                <w:szCs w:val="24"/>
              </w:rPr>
              <w:t>2.43</w:t>
            </w:r>
            <m:oMath>
              <m:r>
                <m:rPr>
                  <m:sty m:val="p"/>
                </m:rPr>
                <w:rPr>
                  <w:rFonts w:ascii="Cambria Math" w:hAnsi="Cambria Math"/>
                  <w:sz w:val="24"/>
                  <w:szCs w:val="24"/>
                </w:rPr>
                <m:t>×</m:t>
              </m:r>
            </m:oMath>
            <w:r>
              <w:rPr>
                <w:rFonts w:hint="eastAsia"/>
                <w:sz w:val="24"/>
                <w:szCs w:val="24"/>
              </w:rPr>
              <w:t>10</w:t>
            </w:r>
            <w:r>
              <w:rPr>
                <w:rFonts w:hint="eastAsia"/>
                <w:sz w:val="24"/>
                <w:szCs w:val="24"/>
                <w:vertAlign w:val="superscript"/>
              </w:rPr>
              <w:t>-5</w:t>
            </w:r>
            <w:r>
              <w:rPr>
                <w:rFonts w:hint="eastAsia"/>
                <w:sz w:val="24"/>
                <w:szCs w:val="24"/>
              </w:rPr>
              <w:t>t/a</w:t>
            </w:r>
          </w:p>
        </w:tc>
        <w:tc>
          <w:tcPr>
            <w:tcW w:w="566" w:type="pct"/>
            <w:vAlign w:val="center"/>
          </w:tcPr>
          <w:p w14:paraId="0C78FFAE">
            <w:pPr>
              <w:pStyle w:val="157"/>
              <w:spacing w:line="360" w:lineRule="auto"/>
              <w:rPr>
                <w:snapToGrid w:val="0"/>
                <w:kern w:val="21"/>
                <w:szCs w:val="24"/>
              </w:rPr>
            </w:pPr>
            <w:r>
              <w:rPr>
                <w:rFonts w:hint="eastAsia"/>
                <w:snapToGrid w:val="0"/>
                <w:kern w:val="21"/>
                <w:szCs w:val="24"/>
              </w:rPr>
              <w:t>/</w:t>
            </w:r>
          </w:p>
        </w:tc>
        <w:tc>
          <w:tcPr>
            <w:tcW w:w="617" w:type="pct"/>
            <w:vAlign w:val="center"/>
          </w:tcPr>
          <w:p w14:paraId="039AE8EF">
            <w:pPr>
              <w:spacing w:line="360" w:lineRule="auto"/>
              <w:jc w:val="center"/>
              <w:rPr>
                <w:sz w:val="24"/>
                <w:szCs w:val="24"/>
              </w:rPr>
            </w:pPr>
            <w:r>
              <w:rPr>
                <w:rFonts w:hint="eastAsia"/>
                <w:sz w:val="24"/>
                <w:szCs w:val="24"/>
              </w:rPr>
              <w:t>2.43</w:t>
            </w:r>
            <m:oMath>
              <m:r>
                <m:rPr>
                  <m:sty m:val="p"/>
                </m:rPr>
                <w:rPr>
                  <w:rFonts w:ascii="Cambria Math" w:hAnsi="Cambria Math"/>
                  <w:sz w:val="24"/>
                  <w:szCs w:val="24"/>
                </w:rPr>
                <m:t>×</m:t>
              </m:r>
            </m:oMath>
            <w:r>
              <w:rPr>
                <w:rFonts w:hint="eastAsia"/>
                <w:sz w:val="24"/>
                <w:szCs w:val="24"/>
              </w:rPr>
              <w:t>10</w:t>
            </w:r>
            <w:r>
              <w:rPr>
                <w:rFonts w:hint="eastAsia"/>
                <w:sz w:val="24"/>
                <w:szCs w:val="24"/>
                <w:vertAlign w:val="superscript"/>
              </w:rPr>
              <w:t>-5</w:t>
            </w:r>
            <w:r>
              <w:rPr>
                <w:rFonts w:hint="eastAsia"/>
                <w:sz w:val="24"/>
                <w:szCs w:val="24"/>
              </w:rPr>
              <w:t>t/a</w:t>
            </w:r>
          </w:p>
        </w:tc>
        <w:tc>
          <w:tcPr>
            <w:tcW w:w="517" w:type="pct"/>
            <w:vAlign w:val="center"/>
          </w:tcPr>
          <w:p w14:paraId="6E44138A">
            <w:pPr>
              <w:spacing w:line="360" w:lineRule="auto"/>
              <w:jc w:val="center"/>
              <w:rPr>
                <w:sz w:val="24"/>
                <w:szCs w:val="24"/>
              </w:rPr>
            </w:pPr>
            <w:r>
              <w:rPr>
                <w:rFonts w:hint="eastAsia"/>
                <w:sz w:val="24"/>
                <w:szCs w:val="24"/>
              </w:rPr>
              <w:t>+2.43</w:t>
            </w:r>
            <m:oMath>
              <m:r>
                <m:rPr>
                  <m:sty m:val="p"/>
                </m:rPr>
                <w:rPr>
                  <w:rFonts w:ascii="Cambria Math" w:hAnsi="Cambria Math"/>
                  <w:sz w:val="24"/>
                  <w:szCs w:val="24"/>
                </w:rPr>
                <m:t>×</m:t>
              </m:r>
            </m:oMath>
            <w:r>
              <w:rPr>
                <w:rFonts w:hint="eastAsia"/>
                <w:sz w:val="24"/>
                <w:szCs w:val="24"/>
              </w:rPr>
              <w:t>10</w:t>
            </w:r>
            <w:r>
              <w:rPr>
                <w:rFonts w:hint="eastAsia"/>
                <w:sz w:val="24"/>
                <w:szCs w:val="24"/>
                <w:vertAlign w:val="superscript"/>
              </w:rPr>
              <w:t>-5</w:t>
            </w:r>
            <w:r>
              <w:rPr>
                <w:rFonts w:hint="eastAsia"/>
                <w:sz w:val="24"/>
                <w:szCs w:val="24"/>
              </w:rPr>
              <w:t>t/a</w:t>
            </w:r>
          </w:p>
        </w:tc>
      </w:tr>
      <w:tr w14:paraId="160F7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continue"/>
            <w:vAlign w:val="center"/>
          </w:tcPr>
          <w:p w14:paraId="36108EA5">
            <w:pPr>
              <w:pStyle w:val="157"/>
              <w:spacing w:line="360" w:lineRule="auto"/>
              <w:rPr>
                <w:rFonts w:hAnsi="宋体"/>
                <w:snapToGrid w:val="0"/>
                <w:kern w:val="21"/>
                <w:szCs w:val="24"/>
              </w:rPr>
            </w:pPr>
          </w:p>
        </w:tc>
        <w:tc>
          <w:tcPr>
            <w:tcW w:w="514" w:type="pct"/>
            <w:vAlign w:val="center"/>
          </w:tcPr>
          <w:p w14:paraId="04B42D2E">
            <w:pPr>
              <w:pStyle w:val="157"/>
              <w:spacing w:line="360" w:lineRule="auto"/>
              <w:rPr>
                <w:rFonts w:hAnsi="宋体"/>
                <w:snapToGrid w:val="0"/>
                <w:kern w:val="21"/>
                <w:szCs w:val="24"/>
              </w:rPr>
            </w:pPr>
            <w:r>
              <w:rPr>
                <w:rFonts w:hint="eastAsia" w:hAnsi="宋体"/>
                <w:snapToGrid w:val="0"/>
                <w:kern w:val="21"/>
                <w:szCs w:val="24"/>
              </w:rPr>
              <w:t>非甲烷总烃</w:t>
            </w:r>
          </w:p>
        </w:tc>
        <w:tc>
          <w:tcPr>
            <w:tcW w:w="617" w:type="pct"/>
            <w:vAlign w:val="center"/>
          </w:tcPr>
          <w:p w14:paraId="3B1085A9">
            <w:pPr>
              <w:pStyle w:val="157"/>
              <w:spacing w:line="360" w:lineRule="auto"/>
              <w:rPr>
                <w:snapToGrid w:val="0"/>
                <w:kern w:val="21"/>
                <w:szCs w:val="24"/>
              </w:rPr>
            </w:pPr>
            <w:r>
              <w:rPr>
                <w:snapToGrid w:val="0"/>
                <w:kern w:val="21"/>
                <w:szCs w:val="24"/>
              </w:rPr>
              <w:t>0</w:t>
            </w:r>
          </w:p>
        </w:tc>
        <w:tc>
          <w:tcPr>
            <w:tcW w:w="462" w:type="pct"/>
            <w:vAlign w:val="center"/>
          </w:tcPr>
          <w:p w14:paraId="69B765D5">
            <w:pPr>
              <w:pStyle w:val="157"/>
              <w:spacing w:line="360" w:lineRule="auto"/>
              <w:rPr>
                <w:snapToGrid w:val="0"/>
                <w:kern w:val="21"/>
                <w:szCs w:val="24"/>
              </w:rPr>
            </w:pPr>
            <w:r>
              <w:rPr>
                <w:snapToGrid w:val="0"/>
                <w:kern w:val="21"/>
                <w:szCs w:val="24"/>
              </w:rPr>
              <w:t>0</w:t>
            </w:r>
          </w:p>
        </w:tc>
        <w:tc>
          <w:tcPr>
            <w:tcW w:w="617" w:type="pct"/>
            <w:vAlign w:val="center"/>
          </w:tcPr>
          <w:p w14:paraId="5D8D85C1">
            <w:pPr>
              <w:pStyle w:val="157"/>
              <w:spacing w:line="360" w:lineRule="auto"/>
              <w:rPr>
                <w:snapToGrid w:val="0"/>
                <w:kern w:val="21"/>
                <w:szCs w:val="24"/>
              </w:rPr>
            </w:pPr>
            <w:r>
              <w:rPr>
                <w:snapToGrid w:val="0"/>
                <w:kern w:val="21"/>
                <w:szCs w:val="24"/>
              </w:rPr>
              <w:t>0</w:t>
            </w:r>
          </w:p>
        </w:tc>
        <w:tc>
          <w:tcPr>
            <w:tcW w:w="617" w:type="pct"/>
            <w:vAlign w:val="center"/>
          </w:tcPr>
          <w:p w14:paraId="44B98305">
            <w:pPr>
              <w:spacing w:line="360" w:lineRule="auto"/>
              <w:jc w:val="center"/>
              <w:rPr>
                <w:sz w:val="24"/>
                <w:szCs w:val="24"/>
              </w:rPr>
            </w:pPr>
            <w:r>
              <w:rPr>
                <w:rFonts w:hint="eastAsia"/>
                <w:sz w:val="24"/>
                <w:szCs w:val="24"/>
              </w:rPr>
              <w:t>0.033t/a</w:t>
            </w:r>
          </w:p>
        </w:tc>
        <w:tc>
          <w:tcPr>
            <w:tcW w:w="566" w:type="pct"/>
            <w:vAlign w:val="center"/>
          </w:tcPr>
          <w:p w14:paraId="48A25AFA">
            <w:pPr>
              <w:pStyle w:val="157"/>
              <w:spacing w:line="360" w:lineRule="auto"/>
              <w:rPr>
                <w:snapToGrid w:val="0"/>
                <w:kern w:val="21"/>
                <w:szCs w:val="24"/>
              </w:rPr>
            </w:pPr>
            <w:r>
              <w:rPr>
                <w:rFonts w:hint="eastAsia"/>
                <w:snapToGrid w:val="0"/>
                <w:kern w:val="21"/>
                <w:szCs w:val="24"/>
              </w:rPr>
              <w:t>/</w:t>
            </w:r>
          </w:p>
        </w:tc>
        <w:tc>
          <w:tcPr>
            <w:tcW w:w="617" w:type="pct"/>
            <w:vAlign w:val="center"/>
          </w:tcPr>
          <w:p w14:paraId="3774A8C6">
            <w:pPr>
              <w:spacing w:line="360" w:lineRule="auto"/>
              <w:jc w:val="center"/>
              <w:rPr>
                <w:sz w:val="24"/>
                <w:szCs w:val="24"/>
              </w:rPr>
            </w:pPr>
            <w:r>
              <w:rPr>
                <w:rFonts w:hint="eastAsia"/>
                <w:sz w:val="24"/>
                <w:szCs w:val="24"/>
              </w:rPr>
              <w:t>0.033t/a</w:t>
            </w:r>
          </w:p>
        </w:tc>
        <w:tc>
          <w:tcPr>
            <w:tcW w:w="517" w:type="pct"/>
            <w:vAlign w:val="center"/>
          </w:tcPr>
          <w:p w14:paraId="0D387633">
            <w:pPr>
              <w:spacing w:line="360" w:lineRule="auto"/>
              <w:jc w:val="center"/>
              <w:rPr>
                <w:sz w:val="24"/>
                <w:szCs w:val="24"/>
              </w:rPr>
            </w:pPr>
            <w:r>
              <w:rPr>
                <w:rFonts w:hint="eastAsia"/>
                <w:sz w:val="24"/>
                <w:szCs w:val="24"/>
              </w:rPr>
              <w:t>+0.033t/a</w:t>
            </w:r>
          </w:p>
        </w:tc>
      </w:tr>
      <w:tr w14:paraId="77226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73" w:type="pct"/>
            <w:vMerge w:val="continue"/>
            <w:vAlign w:val="center"/>
          </w:tcPr>
          <w:p w14:paraId="0F772C39">
            <w:pPr>
              <w:pStyle w:val="157"/>
              <w:spacing w:line="360" w:lineRule="auto"/>
              <w:rPr>
                <w:rFonts w:hAnsi="宋体"/>
                <w:snapToGrid w:val="0"/>
                <w:kern w:val="21"/>
                <w:szCs w:val="24"/>
              </w:rPr>
            </w:pPr>
          </w:p>
        </w:tc>
        <w:tc>
          <w:tcPr>
            <w:tcW w:w="514" w:type="pct"/>
            <w:vAlign w:val="center"/>
          </w:tcPr>
          <w:p w14:paraId="70C2A82A">
            <w:pPr>
              <w:pStyle w:val="105"/>
              <w:spacing w:line="360" w:lineRule="auto"/>
              <w:rPr>
                <w:sz w:val="24"/>
                <w:szCs w:val="24"/>
              </w:rPr>
            </w:pPr>
            <w:r>
              <w:rPr>
                <w:rFonts w:hint="eastAsia"/>
                <w:sz w:val="24"/>
                <w:szCs w:val="24"/>
              </w:rPr>
              <w:t>SO</w:t>
            </w:r>
            <w:r>
              <w:rPr>
                <w:rFonts w:hint="eastAsia"/>
                <w:sz w:val="24"/>
                <w:szCs w:val="24"/>
                <w:vertAlign w:val="subscript"/>
              </w:rPr>
              <w:t>2</w:t>
            </w:r>
          </w:p>
        </w:tc>
        <w:tc>
          <w:tcPr>
            <w:tcW w:w="617" w:type="pct"/>
            <w:vAlign w:val="center"/>
          </w:tcPr>
          <w:p w14:paraId="4A716929">
            <w:pPr>
              <w:pStyle w:val="157"/>
              <w:spacing w:line="360" w:lineRule="auto"/>
              <w:rPr>
                <w:snapToGrid w:val="0"/>
                <w:kern w:val="21"/>
                <w:szCs w:val="24"/>
              </w:rPr>
            </w:pPr>
            <w:r>
              <w:rPr>
                <w:snapToGrid w:val="0"/>
                <w:kern w:val="21"/>
                <w:szCs w:val="24"/>
              </w:rPr>
              <w:t>0</w:t>
            </w:r>
          </w:p>
        </w:tc>
        <w:tc>
          <w:tcPr>
            <w:tcW w:w="462" w:type="pct"/>
            <w:vAlign w:val="center"/>
          </w:tcPr>
          <w:p w14:paraId="403A1396">
            <w:pPr>
              <w:pStyle w:val="157"/>
              <w:spacing w:line="360" w:lineRule="auto"/>
              <w:rPr>
                <w:snapToGrid w:val="0"/>
                <w:kern w:val="21"/>
                <w:szCs w:val="24"/>
              </w:rPr>
            </w:pPr>
            <w:r>
              <w:rPr>
                <w:snapToGrid w:val="0"/>
                <w:kern w:val="21"/>
                <w:szCs w:val="24"/>
              </w:rPr>
              <w:t>0</w:t>
            </w:r>
          </w:p>
        </w:tc>
        <w:tc>
          <w:tcPr>
            <w:tcW w:w="617" w:type="pct"/>
            <w:vAlign w:val="center"/>
          </w:tcPr>
          <w:p w14:paraId="110BF760">
            <w:pPr>
              <w:pStyle w:val="157"/>
              <w:spacing w:line="360" w:lineRule="auto"/>
              <w:rPr>
                <w:snapToGrid w:val="0"/>
                <w:kern w:val="21"/>
                <w:szCs w:val="24"/>
              </w:rPr>
            </w:pPr>
            <w:r>
              <w:rPr>
                <w:snapToGrid w:val="0"/>
                <w:kern w:val="21"/>
                <w:szCs w:val="24"/>
              </w:rPr>
              <w:t>0</w:t>
            </w:r>
          </w:p>
        </w:tc>
        <w:tc>
          <w:tcPr>
            <w:tcW w:w="617" w:type="pct"/>
            <w:vAlign w:val="center"/>
          </w:tcPr>
          <w:p w14:paraId="232A226E">
            <w:pPr>
              <w:pStyle w:val="157"/>
              <w:spacing w:line="360" w:lineRule="auto"/>
              <w:rPr>
                <w:snapToGrid w:val="0"/>
                <w:kern w:val="21"/>
                <w:szCs w:val="24"/>
              </w:rPr>
            </w:pPr>
            <w:r>
              <w:rPr>
                <w:rFonts w:hint="eastAsia"/>
              </w:rPr>
              <w:t>1.17</w:t>
            </w:r>
            <m:oMath>
              <m:r>
                <m:rPr/>
                <w:rPr>
                  <w:rFonts w:ascii="Cambria Math" w:hAnsi="Cambria Math"/>
                </w:rPr>
                <m:t>×</m:t>
              </m:r>
            </m:oMath>
            <w:r>
              <w:rPr>
                <w:rFonts w:hint="eastAsia"/>
              </w:rPr>
              <w:t>1</w:t>
            </w:r>
            <w:r>
              <w:t>0</w:t>
            </w:r>
            <w:r>
              <w:rPr>
                <w:vertAlign w:val="superscript"/>
              </w:rPr>
              <w:t>-7</w:t>
            </w:r>
            <w:r>
              <w:rPr>
                <w:rFonts w:hint="eastAsia"/>
                <w:szCs w:val="24"/>
              </w:rPr>
              <w:t xml:space="preserve"> t/a</w:t>
            </w:r>
          </w:p>
        </w:tc>
        <w:tc>
          <w:tcPr>
            <w:tcW w:w="566" w:type="pct"/>
            <w:vAlign w:val="center"/>
          </w:tcPr>
          <w:p w14:paraId="388EAB77">
            <w:pPr>
              <w:pStyle w:val="157"/>
              <w:spacing w:line="360" w:lineRule="auto"/>
              <w:rPr>
                <w:snapToGrid w:val="0"/>
                <w:kern w:val="21"/>
                <w:szCs w:val="24"/>
              </w:rPr>
            </w:pPr>
            <w:r>
              <w:rPr>
                <w:rFonts w:hint="eastAsia"/>
                <w:snapToGrid w:val="0"/>
                <w:kern w:val="21"/>
                <w:szCs w:val="24"/>
              </w:rPr>
              <w:t>/</w:t>
            </w:r>
          </w:p>
        </w:tc>
        <w:tc>
          <w:tcPr>
            <w:tcW w:w="617" w:type="pct"/>
            <w:vAlign w:val="center"/>
          </w:tcPr>
          <w:p w14:paraId="69E2CE2B">
            <w:pPr>
              <w:pStyle w:val="157"/>
              <w:spacing w:line="360" w:lineRule="auto"/>
              <w:rPr>
                <w:snapToGrid w:val="0"/>
                <w:kern w:val="21"/>
                <w:szCs w:val="24"/>
              </w:rPr>
            </w:pPr>
            <w:r>
              <w:rPr>
                <w:rFonts w:hint="eastAsia"/>
              </w:rPr>
              <w:t>1.17</w:t>
            </w:r>
            <m:oMath>
              <m:r>
                <m:rPr/>
                <w:rPr>
                  <w:rFonts w:ascii="Cambria Math" w:hAnsi="Cambria Math"/>
                </w:rPr>
                <m:t>×</m:t>
              </m:r>
            </m:oMath>
            <w:r>
              <w:rPr>
                <w:rFonts w:hint="eastAsia"/>
              </w:rPr>
              <w:t>1</w:t>
            </w:r>
            <w:r>
              <w:t>0</w:t>
            </w:r>
            <w:r>
              <w:rPr>
                <w:vertAlign w:val="superscript"/>
              </w:rPr>
              <w:t>-7</w:t>
            </w:r>
            <w:r>
              <w:rPr>
                <w:rFonts w:hint="eastAsia"/>
                <w:szCs w:val="24"/>
              </w:rPr>
              <w:t xml:space="preserve"> t/a</w:t>
            </w:r>
          </w:p>
        </w:tc>
        <w:tc>
          <w:tcPr>
            <w:tcW w:w="517" w:type="pct"/>
            <w:vAlign w:val="center"/>
          </w:tcPr>
          <w:p w14:paraId="5C152C68">
            <w:pPr>
              <w:pStyle w:val="157"/>
              <w:spacing w:line="360" w:lineRule="auto"/>
              <w:rPr>
                <w:snapToGrid w:val="0"/>
                <w:kern w:val="21"/>
                <w:szCs w:val="24"/>
              </w:rPr>
            </w:pPr>
            <w:r>
              <w:rPr>
                <w:rFonts w:hint="eastAsia"/>
              </w:rPr>
              <w:t>+1.17</w:t>
            </w:r>
            <m:oMath>
              <m:r>
                <m:rPr/>
                <w:rPr>
                  <w:rFonts w:ascii="Cambria Math" w:hAnsi="Cambria Math"/>
                </w:rPr>
                <m:t>×</m:t>
              </m:r>
            </m:oMath>
            <w:r>
              <w:rPr>
                <w:rFonts w:hint="eastAsia"/>
              </w:rPr>
              <w:t>1</w:t>
            </w:r>
            <w:r>
              <w:t>0</w:t>
            </w:r>
            <w:r>
              <w:rPr>
                <w:vertAlign w:val="superscript"/>
              </w:rPr>
              <w:t>-7</w:t>
            </w:r>
            <w:r>
              <w:rPr>
                <w:rFonts w:hint="eastAsia"/>
                <w:szCs w:val="24"/>
              </w:rPr>
              <w:t xml:space="preserve"> t/a</w:t>
            </w:r>
          </w:p>
        </w:tc>
      </w:tr>
      <w:tr w14:paraId="339E4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73" w:type="pct"/>
            <w:vMerge w:val="continue"/>
            <w:vAlign w:val="center"/>
          </w:tcPr>
          <w:p w14:paraId="2D8D322F">
            <w:pPr>
              <w:pStyle w:val="157"/>
              <w:spacing w:line="360" w:lineRule="auto"/>
              <w:rPr>
                <w:rFonts w:hAnsi="宋体"/>
                <w:snapToGrid w:val="0"/>
                <w:kern w:val="21"/>
                <w:szCs w:val="24"/>
              </w:rPr>
            </w:pPr>
          </w:p>
        </w:tc>
        <w:tc>
          <w:tcPr>
            <w:tcW w:w="514" w:type="pct"/>
            <w:vAlign w:val="center"/>
          </w:tcPr>
          <w:p w14:paraId="0090D2FA">
            <w:pPr>
              <w:pStyle w:val="105"/>
              <w:spacing w:line="360" w:lineRule="auto"/>
              <w:rPr>
                <w:sz w:val="24"/>
                <w:szCs w:val="24"/>
              </w:rPr>
            </w:pPr>
            <w:r>
              <w:rPr>
                <w:rFonts w:hint="eastAsia"/>
                <w:sz w:val="24"/>
                <w:szCs w:val="24"/>
              </w:rPr>
              <w:t>NO</w:t>
            </w:r>
            <w:r>
              <w:rPr>
                <w:rFonts w:hint="eastAsia"/>
                <w:sz w:val="24"/>
                <w:szCs w:val="24"/>
                <w:vertAlign w:val="subscript"/>
              </w:rPr>
              <w:t>2</w:t>
            </w:r>
          </w:p>
        </w:tc>
        <w:tc>
          <w:tcPr>
            <w:tcW w:w="617" w:type="pct"/>
            <w:vAlign w:val="center"/>
          </w:tcPr>
          <w:p w14:paraId="1E0509CA">
            <w:pPr>
              <w:pStyle w:val="157"/>
              <w:spacing w:line="360" w:lineRule="auto"/>
              <w:rPr>
                <w:snapToGrid w:val="0"/>
                <w:kern w:val="21"/>
                <w:szCs w:val="24"/>
              </w:rPr>
            </w:pPr>
            <w:r>
              <w:rPr>
                <w:rFonts w:hint="eastAsia"/>
                <w:snapToGrid w:val="0"/>
                <w:kern w:val="21"/>
                <w:szCs w:val="24"/>
              </w:rPr>
              <w:t>0</w:t>
            </w:r>
          </w:p>
        </w:tc>
        <w:tc>
          <w:tcPr>
            <w:tcW w:w="462" w:type="pct"/>
            <w:vAlign w:val="center"/>
          </w:tcPr>
          <w:p w14:paraId="1514B507">
            <w:pPr>
              <w:pStyle w:val="157"/>
              <w:spacing w:line="360" w:lineRule="auto"/>
              <w:rPr>
                <w:snapToGrid w:val="0"/>
                <w:kern w:val="21"/>
                <w:szCs w:val="24"/>
              </w:rPr>
            </w:pPr>
            <w:r>
              <w:rPr>
                <w:rFonts w:hint="eastAsia"/>
                <w:snapToGrid w:val="0"/>
                <w:kern w:val="21"/>
                <w:szCs w:val="24"/>
              </w:rPr>
              <w:t>0</w:t>
            </w:r>
          </w:p>
        </w:tc>
        <w:tc>
          <w:tcPr>
            <w:tcW w:w="617" w:type="pct"/>
            <w:vAlign w:val="center"/>
          </w:tcPr>
          <w:p w14:paraId="7F6ACF5E">
            <w:pPr>
              <w:pStyle w:val="157"/>
              <w:spacing w:line="360" w:lineRule="auto"/>
              <w:rPr>
                <w:snapToGrid w:val="0"/>
                <w:kern w:val="21"/>
                <w:szCs w:val="24"/>
              </w:rPr>
            </w:pPr>
            <w:r>
              <w:rPr>
                <w:rFonts w:hint="eastAsia"/>
                <w:snapToGrid w:val="0"/>
                <w:kern w:val="21"/>
                <w:szCs w:val="24"/>
              </w:rPr>
              <w:t>0</w:t>
            </w:r>
          </w:p>
        </w:tc>
        <w:tc>
          <w:tcPr>
            <w:tcW w:w="617" w:type="pct"/>
            <w:vAlign w:val="center"/>
          </w:tcPr>
          <w:p w14:paraId="6853DE84">
            <w:pPr>
              <w:pStyle w:val="157"/>
              <w:spacing w:line="360" w:lineRule="auto"/>
              <w:rPr>
                <w:snapToGrid w:val="0"/>
                <w:kern w:val="21"/>
                <w:szCs w:val="24"/>
              </w:rPr>
            </w:pPr>
            <w:r>
              <w:rPr>
                <w:rFonts w:hint="eastAsia"/>
                <w:snapToGrid w:val="0"/>
                <w:kern w:val="21"/>
                <w:szCs w:val="24"/>
              </w:rPr>
              <w:t>2.7</w:t>
            </w:r>
            <m:oMath>
              <m:r>
                <m:rPr/>
                <w:rPr>
                  <w:rFonts w:ascii="Cambria Math" w:hAnsi="Cambria Math"/>
                </w:rPr>
                <m:t>×</m:t>
              </m:r>
            </m:oMath>
            <w:r>
              <w:rPr>
                <w:rFonts w:hint="eastAsia"/>
              </w:rPr>
              <w:t>1</w:t>
            </w:r>
            <w:r>
              <w:t>0</w:t>
            </w:r>
            <w:r>
              <w:rPr>
                <w:vertAlign w:val="superscript"/>
              </w:rPr>
              <w:t>-</w:t>
            </w:r>
            <w:r>
              <w:rPr>
                <w:rFonts w:hint="eastAsia"/>
                <w:vertAlign w:val="superscript"/>
              </w:rPr>
              <w:t>4</w:t>
            </w:r>
            <w:r>
              <w:rPr>
                <w:rFonts w:hint="eastAsia"/>
                <w:szCs w:val="24"/>
              </w:rPr>
              <w:t>t/a</w:t>
            </w:r>
          </w:p>
        </w:tc>
        <w:tc>
          <w:tcPr>
            <w:tcW w:w="566" w:type="pct"/>
            <w:vAlign w:val="center"/>
          </w:tcPr>
          <w:p w14:paraId="11BC5404">
            <w:pPr>
              <w:pStyle w:val="157"/>
              <w:spacing w:line="360" w:lineRule="auto"/>
              <w:rPr>
                <w:snapToGrid w:val="0"/>
                <w:kern w:val="21"/>
                <w:szCs w:val="24"/>
              </w:rPr>
            </w:pPr>
            <w:r>
              <w:rPr>
                <w:rFonts w:hint="eastAsia"/>
                <w:snapToGrid w:val="0"/>
                <w:kern w:val="21"/>
                <w:szCs w:val="24"/>
              </w:rPr>
              <w:t>/</w:t>
            </w:r>
          </w:p>
        </w:tc>
        <w:tc>
          <w:tcPr>
            <w:tcW w:w="617" w:type="pct"/>
            <w:vAlign w:val="center"/>
          </w:tcPr>
          <w:p w14:paraId="188FC187">
            <w:pPr>
              <w:pStyle w:val="157"/>
              <w:spacing w:line="360" w:lineRule="auto"/>
              <w:rPr>
                <w:snapToGrid w:val="0"/>
                <w:kern w:val="21"/>
                <w:szCs w:val="24"/>
              </w:rPr>
            </w:pPr>
            <w:r>
              <w:rPr>
                <w:rFonts w:hint="eastAsia"/>
                <w:snapToGrid w:val="0"/>
                <w:kern w:val="21"/>
                <w:szCs w:val="24"/>
              </w:rPr>
              <w:t>2.7</w:t>
            </w:r>
            <m:oMath>
              <m:r>
                <m:rPr/>
                <w:rPr>
                  <w:rFonts w:ascii="Cambria Math" w:hAnsi="Cambria Math"/>
                </w:rPr>
                <m:t>×</m:t>
              </m:r>
            </m:oMath>
            <w:r>
              <w:rPr>
                <w:rFonts w:hint="eastAsia"/>
              </w:rPr>
              <w:t>1</w:t>
            </w:r>
            <w:r>
              <w:t>0</w:t>
            </w:r>
            <w:r>
              <w:rPr>
                <w:vertAlign w:val="superscript"/>
              </w:rPr>
              <w:t>-</w:t>
            </w:r>
            <w:r>
              <w:rPr>
                <w:rFonts w:hint="eastAsia"/>
                <w:vertAlign w:val="superscript"/>
              </w:rPr>
              <w:t>4</w:t>
            </w:r>
            <w:r>
              <w:rPr>
                <w:rFonts w:hint="eastAsia"/>
                <w:szCs w:val="24"/>
              </w:rPr>
              <w:t>t/a</w:t>
            </w:r>
          </w:p>
        </w:tc>
        <w:tc>
          <w:tcPr>
            <w:tcW w:w="517" w:type="pct"/>
            <w:vAlign w:val="center"/>
          </w:tcPr>
          <w:p w14:paraId="74547BF7">
            <w:pPr>
              <w:pStyle w:val="157"/>
              <w:spacing w:line="360" w:lineRule="auto"/>
              <w:rPr>
                <w:snapToGrid w:val="0"/>
                <w:kern w:val="21"/>
                <w:szCs w:val="24"/>
              </w:rPr>
            </w:pPr>
            <w:r>
              <w:rPr>
                <w:rFonts w:hint="eastAsia"/>
                <w:snapToGrid w:val="0"/>
                <w:kern w:val="21"/>
                <w:szCs w:val="24"/>
              </w:rPr>
              <w:t>+2.7</w:t>
            </w:r>
            <m:oMath>
              <m:r>
                <m:rPr/>
                <w:rPr>
                  <w:rFonts w:ascii="Cambria Math" w:hAnsi="Cambria Math"/>
                </w:rPr>
                <m:t>×</m:t>
              </m:r>
            </m:oMath>
            <w:r>
              <w:rPr>
                <w:rFonts w:hint="eastAsia"/>
              </w:rPr>
              <w:t>1</w:t>
            </w:r>
            <w:r>
              <w:t>0</w:t>
            </w:r>
            <w:r>
              <w:rPr>
                <w:vertAlign w:val="superscript"/>
              </w:rPr>
              <w:t>-</w:t>
            </w:r>
            <w:r>
              <w:rPr>
                <w:rFonts w:hint="eastAsia"/>
                <w:vertAlign w:val="superscript"/>
              </w:rPr>
              <w:t>4</w:t>
            </w:r>
            <w:r>
              <w:rPr>
                <w:rFonts w:hint="eastAsia"/>
                <w:szCs w:val="24"/>
              </w:rPr>
              <w:t>t/a</w:t>
            </w:r>
          </w:p>
        </w:tc>
      </w:tr>
      <w:tr w14:paraId="3A2D4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restart"/>
            <w:vAlign w:val="center"/>
          </w:tcPr>
          <w:p w14:paraId="4823B91B">
            <w:pPr>
              <w:pStyle w:val="157"/>
              <w:spacing w:line="360" w:lineRule="auto"/>
              <w:rPr>
                <w:snapToGrid w:val="0"/>
                <w:kern w:val="21"/>
                <w:szCs w:val="24"/>
              </w:rPr>
            </w:pPr>
            <w:r>
              <w:rPr>
                <w:rFonts w:hAnsi="宋体"/>
                <w:snapToGrid w:val="0"/>
                <w:kern w:val="21"/>
                <w:szCs w:val="24"/>
              </w:rPr>
              <w:t>废水</w:t>
            </w:r>
          </w:p>
        </w:tc>
        <w:tc>
          <w:tcPr>
            <w:tcW w:w="514" w:type="pct"/>
            <w:vAlign w:val="center"/>
          </w:tcPr>
          <w:p w14:paraId="38C2D8F5">
            <w:pPr>
              <w:pStyle w:val="157"/>
              <w:spacing w:line="360" w:lineRule="auto"/>
              <w:rPr>
                <w:snapToGrid w:val="0"/>
                <w:kern w:val="21"/>
                <w:szCs w:val="24"/>
              </w:rPr>
            </w:pPr>
            <w:r>
              <w:rPr>
                <w:rFonts w:hint="eastAsia"/>
                <w:snapToGrid w:val="0"/>
                <w:kern w:val="21"/>
                <w:szCs w:val="24"/>
              </w:rPr>
              <w:t>COD</w:t>
            </w:r>
          </w:p>
        </w:tc>
        <w:tc>
          <w:tcPr>
            <w:tcW w:w="617" w:type="pct"/>
            <w:vAlign w:val="center"/>
          </w:tcPr>
          <w:p w14:paraId="165F835E">
            <w:pPr>
              <w:pStyle w:val="157"/>
              <w:spacing w:line="360" w:lineRule="auto"/>
              <w:rPr>
                <w:snapToGrid w:val="0"/>
                <w:kern w:val="21"/>
                <w:szCs w:val="24"/>
              </w:rPr>
            </w:pPr>
            <w:r>
              <w:rPr>
                <w:snapToGrid w:val="0"/>
                <w:kern w:val="21"/>
                <w:szCs w:val="24"/>
              </w:rPr>
              <w:t>0</w:t>
            </w:r>
          </w:p>
        </w:tc>
        <w:tc>
          <w:tcPr>
            <w:tcW w:w="462" w:type="pct"/>
            <w:vAlign w:val="center"/>
          </w:tcPr>
          <w:p w14:paraId="2FB67A37">
            <w:pPr>
              <w:pStyle w:val="157"/>
              <w:spacing w:line="360" w:lineRule="auto"/>
              <w:rPr>
                <w:snapToGrid w:val="0"/>
                <w:kern w:val="21"/>
                <w:szCs w:val="24"/>
              </w:rPr>
            </w:pPr>
            <w:r>
              <w:rPr>
                <w:snapToGrid w:val="0"/>
                <w:kern w:val="21"/>
                <w:szCs w:val="24"/>
              </w:rPr>
              <w:t>0</w:t>
            </w:r>
          </w:p>
        </w:tc>
        <w:tc>
          <w:tcPr>
            <w:tcW w:w="617" w:type="pct"/>
            <w:vAlign w:val="center"/>
          </w:tcPr>
          <w:p w14:paraId="6E6422A5">
            <w:pPr>
              <w:pStyle w:val="157"/>
              <w:spacing w:line="360" w:lineRule="auto"/>
              <w:rPr>
                <w:snapToGrid w:val="0"/>
                <w:kern w:val="21"/>
                <w:szCs w:val="24"/>
              </w:rPr>
            </w:pPr>
            <w:r>
              <w:rPr>
                <w:snapToGrid w:val="0"/>
                <w:kern w:val="21"/>
                <w:szCs w:val="24"/>
              </w:rPr>
              <w:t>0</w:t>
            </w:r>
          </w:p>
        </w:tc>
        <w:tc>
          <w:tcPr>
            <w:tcW w:w="617" w:type="pct"/>
            <w:vAlign w:val="center"/>
          </w:tcPr>
          <w:p w14:paraId="1690C464">
            <w:pPr>
              <w:pStyle w:val="105"/>
              <w:spacing w:line="360" w:lineRule="auto"/>
              <w:rPr>
                <w:sz w:val="24"/>
                <w:szCs w:val="24"/>
              </w:rPr>
            </w:pPr>
            <w:r>
              <w:rPr>
                <w:rFonts w:hint="eastAsia"/>
                <w:sz w:val="24"/>
                <w:szCs w:val="24"/>
              </w:rPr>
              <w:t>0.024 t/a</w:t>
            </w:r>
          </w:p>
        </w:tc>
        <w:tc>
          <w:tcPr>
            <w:tcW w:w="566" w:type="pct"/>
            <w:vAlign w:val="center"/>
          </w:tcPr>
          <w:p w14:paraId="03600ED2">
            <w:pPr>
              <w:pStyle w:val="157"/>
              <w:spacing w:line="360" w:lineRule="auto"/>
              <w:rPr>
                <w:snapToGrid w:val="0"/>
                <w:kern w:val="21"/>
                <w:szCs w:val="24"/>
              </w:rPr>
            </w:pPr>
            <w:r>
              <w:rPr>
                <w:rFonts w:hint="eastAsia"/>
                <w:snapToGrid w:val="0"/>
                <w:kern w:val="21"/>
                <w:szCs w:val="24"/>
              </w:rPr>
              <w:t>/</w:t>
            </w:r>
          </w:p>
        </w:tc>
        <w:tc>
          <w:tcPr>
            <w:tcW w:w="617" w:type="pct"/>
            <w:vAlign w:val="center"/>
          </w:tcPr>
          <w:p w14:paraId="75B09092">
            <w:pPr>
              <w:pStyle w:val="105"/>
              <w:spacing w:line="360" w:lineRule="auto"/>
              <w:rPr>
                <w:sz w:val="24"/>
                <w:szCs w:val="24"/>
              </w:rPr>
            </w:pPr>
            <w:r>
              <w:rPr>
                <w:rFonts w:hint="eastAsia"/>
                <w:sz w:val="24"/>
                <w:szCs w:val="24"/>
              </w:rPr>
              <w:t>0.024 t/a</w:t>
            </w:r>
          </w:p>
        </w:tc>
        <w:tc>
          <w:tcPr>
            <w:tcW w:w="517" w:type="pct"/>
            <w:vAlign w:val="center"/>
          </w:tcPr>
          <w:p w14:paraId="074BF71A">
            <w:pPr>
              <w:pStyle w:val="105"/>
              <w:spacing w:line="360" w:lineRule="auto"/>
              <w:rPr>
                <w:sz w:val="24"/>
                <w:szCs w:val="24"/>
              </w:rPr>
            </w:pPr>
            <w:r>
              <w:rPr>
                <w:rFonts w:hint="eastAsia"/>
                <w:sz w:val="24"/>
                <w:szCs w:val="24"/>
              </w:rPr>
              <w:t>+0.024 t/a</w:t>
            </w:r>
          </w:p>
        </w:tc>
      </w:tr>
      <w:tr w14:paraId="281C3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continue"/>
            <w:vAlign w:val="center"/>
          </w:tcPr>
          <w:p w14:paraId="50EEADC7">
            <w:pPr>
              <w:pStyle w:val="157"/>
              <w:spacing w:line="360" w:lineRule="auto"/>
              <w:rPr>
                <w:rFonts w:hAnsi="宋体"/>
                <w:snapToGrid w:val="0"/>
                <w:kern w:val="21"/>
                <w:szCs w:val="24"/>
              </w:rPr>
            </w:pPr>
          </w:p>
        </w:tc>
        <w:tc>
          <w:tcPr>
            <w:tcW w:w="514" w:type="pct"/>
            <w:vAlign w:val="center"/>
          </w:tcPr>
          <w:p w14:paraId="06C44698">
            <w:pPr>
              <w:pStyle w:val="157"/>
              <w:spacing w:line="360" w:lineRule="auto"/>
              <w:rPr>
                <w:snapToGrid w:val="0"/>
                <w:kern w:val="21"/>
                <w:szCs w:val="24"/>
              </w:rPr>
            </w:pPr>
            <w:r>
              <w:rPr>
                <w:rFonts w:hint="eastAsia"/>
                <w:snapToGrid w:val="0"/>
                <w:kern w:val="21"/>
                <w:szCs w:val="24"/>
              </w:rPr>
              <w:t>BOD</w:t>
            </w:r>
            <w:r>
              <w:rPr>
                <w:rFonts w:hint="eastAsia"/>
                <w:snapToGrid w:val="0"/>
                <w:kern w:val="21"/>
                <w:szCs w:val="24"/>
                <w:vertAlign w:val="subscript"/>
              </w:rPr>
              <w:t>5</w:t>
            </w:r>
          </w:p>
        </w:tc>
        <w:tc>
          <w:tcPr>
            <w:tcW w:w="617" w:type="pct"/>
            <w:vAlign w:val="center"/>
          </w:tcPr>
          <w:p w14:paraId="08BC7DDE">
            <w:pPr>
              <w:pStyle w:val="157"/>
              <w:spacing w:line="360" w:lineRule="auto"/>
              <w:rPr>
                <w:snapToGrid w:val="0"/>
                <w:kern w:val="21"/>
                <w:szCs w:val="24"/>
              </w:rPr>
            </w:pPr>
            <w:r>
              <w:rPr>
                <w:snapToGrid w:val="0"/>
                <w:kern w:val="21"/>
                <w:szCs w:val="24"/>
              </w:rPr>
              <w:t>0</w:t>
            </w:r>
          </w:p>
        </w:tc>
        <w:tc>
          <w:tcPr>
            <w:tcW w:w="462" w:type="pct"/>
            <w:vAlign w:val="center"/>
          </w:tcPr>
          <w:p w14:paraId="1D6C6129">
            <w:pPr>
              <w:pStyle w:val="157"/>
              <w:spacing w:line="360" w:lineRule="auto"/>
              <w:rPr>
                <w:snapToGrid w:val="0"/>
                <w:kern w:val="21"/>
                <w:szCs w:val="24"/>
              </w:rPr>
            </w:pPr>
            <w:r>
              <w:rPr>
                <w:snapToGrid w:val="0"/>
                <w:kern w:val="21"/>
                <w:szCs w:val="24"/>
              </w:rPr>
              <w:t>0</w:t>
            </w:r>
          </w:p>
        </w:tc>
        <w:tc>
          <w:tcPr>
            <w:tcW w:w="617" w:type="pct"/>
            <w:vAlign w:val="center"/>
          </w:tcPr>
          <w:p w14:paraId="37E50CE3">
            <w:pPr>
              <w:pStyle w:val="157"/>
              <w:spacing w:line="360" w:lineRule="auto"/>
              <w:rPr>
                <w:snapToGrid w:val="0"/>
                <w:kern w:val="21"/>
                <w:szCs w:val="24"/>
              </w:rPr>
            </w:pPr>
            <w:r>
              <w:rPr>
                <w:snapToGrid w:val="0"/>
                <w:kern w:val="21"/>
                <w:szCs w:val="24"/>
              </w:rPr>
              <w:t>0</w:t>
            </w:r>
          </w:p>
        </w:tc>
        <w:tc>
          <w:tcPr>
            <w:tcW w:w="617" w:type="pct"/>
            <w:vAlign w:val="center"/>
          </w:tcPr>
          <w:p w14:paraId="221CD277">
            <w:pPr>
              <w:pStyle w:val="105"/>
              <w:spacing w:line="360" w:lineRule="auto"/>
              <w:rPr>
                <w:sz w:val="24"/>
                <w:szCs w:val="24"/>
              </w:rPr>
            </w:pPr>
            <w:r>
              <w:rPr>
                <w:rFonts w:hint="eastAsia"/>
                <w:sz w:val="24"/>
                <w:szCs w:val="24"/>
              </w:rPr>
              <w:t>0.005 t/a</w:t>
            </w:r>
          </w:p>
        </w:tc>
        <w:tc>
          <w:tcPr>
            <w:tcW w:w="566" w:type="pct"/>
            <w:vAlign w:val="center"/>
          </w:tcPr>
          <w:p w14:paraId="1F976D3D">
            <w:pPr>
              <w:pStyle w:val="157"/>
              <w:spacing w:line="360" w:lineRule="auto"/>
              <w:rPr>
                <w:snapToGrid w:val="0"/>
                <w:kern w:val="21"/>
                <w:szCs w:val="24"/>
              </w:rPr>
            </w:pPr>
            <w:r>
              <w:rPr>
                <w:rFonts w:hint="eastAsia"/>
                <w:snapToGrid w:val="0"/>
                <w:kern w:val="21"/>
                <w:szCs w:val="24"/>
              </w:rPr>
              <w:t>/</w:t>
            </w:r>
          </w:p>
        </w:tc>
        <w:tc>
          <w:tcPr>
            <w:tcW w:w="617" w:type="pct"/>
            <w:vAlign w:val="center"/>
          </w:tcPr>
          <w:p w14:paraId="6963FC44">
            <w:pPr>
              <w:pStyle w:val="105"/>
              <w:spacing w:line="360" w:lineRule="auto"/>
              <w:rPr>
                <w:sz w:val="24"/>
                <w:szCs w:val="24"/>
              </w:rPr>
            </w:pPr>
            <w:r>
              <w:rPr>
                <w:rFonts w:hint="eastAsia"/>
                <w:sz w:val="24"/>
                <w:szCs w:val="24"/>
              </w:rPr>
              <w:t>0.005 t/a</w:t>
            </w:r>
          </w:p>
        </w:tc>
        <w:tc>
          <w:tcPr>
            <w:tcW w:w="517" w:type="pct"/>
            <w:vAlign w:val="center"/>
          </w:tcPr>
          <w:p w14:paraId="06C087C6">
            <w:pPr>
              <w:pStyle w:val="105"/>
              <w:spacing w:line="360" w:lineRule="auto"/>
              <w:rPr>
                <w:sz w:val="24"/>
                <w:szCs w:val="24"/>
              </w:rPr>
            </w:pPr>
            <w:r>
              <w:rPr>
                <w:rFonts w:hint="eastAsia"/>
                <w:sz w:val="24"/>
                <w:szCs w:val="24"/>
              </w:rPr>
              <w:t>+0.005 t/a</w:t>
            </w:r>
          </w:p>
        </w:tc>
      </w:tr>
      <w:tr w14:paraId="02F46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continue"/>
            <w:vAlign w:val="center"/>
          </w:tcPr>
          <w:p w14:paraId="6FBA3A5C">
            <w:pPr>
              <w:pStyle w:val="157"/>
              <w:spacing w:line="360" w:lineRule="auto"/>
              <w:rPr>
                <w:rFonts w:hAnsi="宋体"/>
                <w:snapToGrid w:val="0"/>
                <w:kern w:val="21"/>
                <w:szCs w:val="24"/>
              </w:rPr>
            </w:pPr>
          </w:p>
        </w:tc>
        <w:tc>
          <w:tcPr>
            <w:tcW w:w="514" w:type="pct"/>
            <w:vAlign w:val="center"/>
          </w:tcPr>
          <w:p w14:paraId="7E4B2AAA">
            <w:pPr>
              <w:pStyle w:val="157"/>
              <w:spacing w:line="360" w:lineRule="auto"/>
              <w:rPr>
                <w:snapToGrid w:val="0"/>
                <w:kern w:val="21"/>
                <w:szCs w:val="24"/>
              </w:rPr>
            </w:pPr>
            <w:r>
              <w:rPr>
                <w:rFonts w:hint="eastAsia"/>
                <w:snapToGrid w:val="0"/>
                <w:kern w:val="21"/>
                <w:szCs w:val="24"/>
              </w:rPr>
              <w:t>NH</w:t>
            </w:r>
            <w:r>
              <w:rPr>
                <w:rFonts w:hint="eastAsia"/>
                <w:snapToGrid w:val="0"/>
                <w:kern w:val="21"/>
                <w:szCs w:val="24"/>
                <w:vertAlign w:val="subscript"/>
              </w:rPr>
              <w:t>3</w:t>
            </w:r>
            <w:r>
              <w:rPr>
                <w:rFonts w:hint="eastAsia"/>
                <w:snapToGrid w:val="0"/>
                <w:kern w:val="21"/>
                <w:szCs w:val="24"/>
              </w:rPr>
              <w:t>-N</w:t>
            </w:r>
          </w:p>
        </w:tc>
        <w:tc>
          <w:tcPr>
            <w:tcW w:w="617" w:type="pct"/>
            <w:vAlign w:val="center"/>
          </w:tcPr>
          <w:p w14:paraId="5C406B8B">
            <w:pPr>
              <w:pStyle w:val="157"/>
              <w:spacing w:line="360" w:lineRule="auto"/>
              <w:rPr>
                <w:snapToGrid w:val="0"/>
                <w:kern w:val="21"/>
                <w:szCs w:val="24"/>
              </w:rPr>
            </w:pPr>
            <w:r>
              <w:rPr>
                <w:snapToGrid w:val="0"/>
                <w:kern w:val="21"/>
                <w:szCs w:val="24"/>
              </w:rPr>
              <w:t>0</w:t>
            </w:r>
          </w:p>
        </w:tc>
        <w:tc>
          <w:tcPr>
            <w:tcW w:w="462" w:type="pct"/>
            <w:vAlign w:val="center"/>
          </w:tcPr>
          <w:p w14:paraId="58838F65">
            <w:pPr>
              <w:pStyle w:val="157"/>
              <w:spacing w:line="360" w:lineRule="auto"/>
              <w:rPr>
                <w:snapToGrid w:val="0"/>
                <w:kern w:val="21"/>
                <w:szCs w:val="24"/>
              </w:rPr>
            </w:pPr>
            <w:r>
              <w:rPr>
                <w:snapToGrid w:val="0"/>
                <w:kern w:val="21"/>
                <w:szCs w:val="24"/>
              </w:rPr>
              <w:t>0</w:t>
            </w:r>
          </w:p>
        </w:tc>
        <w:tc>
          <w:tcPr>
            <w:tcW w:w="617" w:type="pct"/>
            <w:vAlign w:val="center"/>
          </w:tcPr>
          <w:p w14:paraId="1E0243DD">
            <w:pPr>
              <w:pStyle w:val="157"/>
              <w:spacing w:line="360" w:lineRule="auto"/>
              <w:rPr>
                <w:snapToGrid w:val="0"/>
                <w:kern w:val="21"/>
                <w:szCs w:val="24"/>
              </w:rPr>
            </w:pPr>
            <w:r>
              <w:rPr>
                <w:snapToGrid w:val="0"/>
                <w:kern w:val="21"/>
                <w:szCs w:val="24"/>
              </w:rPr>
              <w:t>0</w:t>
            </w:r>
          </w:p>
        </w:tc>
        <w:tc>
          <w:tcPr>
            <w:tcW w:w="617" w:type="pct"/>
            <w:vAlign w:val="center"/>
          </w:tcPr>
          <w:p w14:paraId="242C49CE">
            <w:pPr>
              <w:pStyle w:val="105"/>
              <w:spacing w:line="360" w:lineRule="auto"/>
              <w:rPr>
                <w:sz w:val="24"/>
                <w:szCs w:val="24"/>
              </w:rPr>
            </w:pPr>
            <w:r>
              <w:rPr>
                <w:rFonts w:hint="eastAsia"/>
                <w:sz w:val="24"/>
                <w:szCs w:val="24"/>
              </w:rPr>
              <w:t>0.002 t/a</w:t>
            </w:r>
          </w:p>
        </w:tc>
        <w:tc>
          <w:tcPr>
            <w:tcW w:w="566" w:type="pct"/>
            <w:vAlign w:val="center"/>
          </w:tcPr>
          <w:p w14:paraId="64B0FA27">
            <w:pPr>
              <w:pStyle w:val="157"/>
              <w:spacing w:line="360" w:lineRule="auto"/>
              <w:rPr>
                <w:snapToGrid w:val="0"/>
                <w:kern w:val="21"/>
                <w:szCs w:val="24"/>
              </w:rPr>
            </w:pPr>
            <w:r>
              <w:rPr>
                <w:rFonts w:hint="eastAsia"/>
                <w:snapToGrid w:val="0"/>
                <w:kern w:val="21"/>
                <w:szCs w:val="24"/>
              </w:rPr>
              <w:t>/</w:t>
            </w:r>
          </w:p>
        </w:tc>
        <w:tc>
          <w:tcPr>
            <w:tcW w:w="617" w:type="pct"/>
            <w:vAlign w:val="center"/>
          </w:tcPr>
          <w:p w14:paraId="515FE9FF">
            <w:pPr>
              <w:pStyle w:val="105"/>
              <w:spacing w:line="360" w:lineRule="auto"/>
              <w:rPr>
                <w:sz w:val="24"/>
                <w:szCs w:val="24"/>
              </w:rPr>
            </w:pPr>
            <w:r>
              <w:rPr>
                <w:rFonts w:hint="eastAsia"/>
                <w:sz w:val="24"/>
                <w:szCs w:val="24"/>
              </w:rPr>
              <w:t>0.002 t/a</w:t>
            </w:r>
          </w:p>
        </w:tc>
        <w:tc>
          <w:tcPr>
            <w:tcW w:w="517" w:type="pct"/>
            <w:vAlign w:val="center"/>
          </w:tcPr>
          <w:p w14:paraId="6CE6B34E">
            <w:pPr>
              <w:pStyle w:val="105"/>
              <w:spacing w:line="360" w:lineRule="auto"/>
              <w:rPr>
                <w:sz w:val="24"/>
                <w:szCs w:val="24"/>
              </w:rPr>
            </w:pPr>
            <w:r>
              <w:rPr>
                <w:rFonts w:hint="eastAsia"/>
                <w:sz w:val="24"/>
                <w:szCs w:val="24"/>
              </w:rPr>
              <w:t>+0.002 t/a</w:t>
            </w:r>
          </w:p>
        </w:tc>
      </w:tr>
      <w:tr w14:paraId="64198A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continue"/>
            <w:vAlign w:val="center"/>
          </w:tcPr>
          <w:p w14:paraId="43E7DE36">
            <w:pPr>
              <w:pStyle w:val="157"/>
              <w:spacing w:line="360" w:lineRule="auto"/>
              <w:rPr>
                <w:rFonts w:hAnsi="宋体"/>
                <w:snapToGrid w:val="0"/>
                <w:kern w:val="21"/>
                <w:szCs w:val="24"/>
              </w:rPr>
            </w:pPr>
          </w:p>
        </w:tc>
        <w:tc>
          <w:tcPr>
            <w:tcW w:w="514" w:type="pct"/>
            <w:vAlign w:val="center"/>
          </w:tcPr>
          <w:p w14:paraId="48F1C18E">
            <w:pPr>
              <w:pStyle w:val="157"/>
              <w:spacing w:line="360" w:lineRule="auto"/>
              <w:rPr>
                <w:snapToGrid w:val="0"/>
                <w:kern w:val="21"/>
                <w:szCs w:val="24"/>
              </w:rPr>
            </w:pPr>
            <w:r>
              <w:rPr>
                <w:rFonts w:hint="eastAsia"/>
                <w:snapToGrid w:val="0"/>
                <w:kern w:val="21"/>
                <w:szCs w:val="24"/>
              </w:rPr>
              <w:t>SS</w:t>
            </w:r>
          </w:p>
        </w:tc>
        <w:tc>
          <w:tcPr>
            <w:tcW w:w="617" w:type="pct"/>
            <w:vAlign w:val="center"/>
          </w:tcPr>
          <w:p w14:paraId="77BEC1F3">
            <w:pPr>
              <w:pStyle w:val="157"/>
              <w:spacing w:line="360" w:lineRule="auto"/>
              <w:rPr>
                <w:snapToGrid w:val="0"/>
                <w:kern w:val="21"/>
                <w:szCs w:val="24"/>
              </w:rPr>
            </w:pPr>
            <w:r>
              <w:rPr>
                <w:snapToGrid w:val="0"/>
                <w:kern w:val="21"/>
                <w:szCs w:val="24"/>
              </w:rPr>
              <w:t>0</w:t>
            </w:r>
          </w:p>
        </w:tc>
        <w:tc>
          <w:tcPr>
            <w:tcW w:w="462" w:type="pct"/>
            <w:vAlign w:val="center"/>
          </w:tcPr>
          <w:p w14:paraId="4C44BB84">
            <w:pPr>
              <w:pStyle w:val="157"/>
              <w:spacing w:line="360" w:lineRule="auto"/>
              <w:rPr>
                <w:snapToGrid w:val="0"/>
                <w:kern w:val="21"/>
                <w:szCs w:val="24"/>
              </w:rPr>
            </w:pPr>
            <w:r>
              <w:rPr>
                <w:snapToGrid w:val="0"/>
                <w:kern w:val="21"/>
                <w:szCs w:val="24"/>
              </w:rPr>
              <w:t>0</w:t>
            </w:r>
          </w:p>
        </w:tc>
        <w:tc>
          <w:tcPr>
            <w:tcW w:w="617" w:type="pct"/>
            <w:vAlign w:val="center"/>
          </w:tcPr>
          <w:p w14:paraId="30DD7075">
            <w:pPr>
              <w:pStyle w:val="157"/>
              <w:spacing w:line="360" w:lineRule="auto"/>
              <w:rPr>
                <w:snapToGrid w:val="0"/>
                <w:kern w:val="21"/>
                <w:szCs w:val="24"/>
              </w:rPr>
            </w:pPr>
            <w:r>
              <w:rPr>
                <w:snapToGrid w:val="0"/>
                <w:kern w:val="21"/>
                <w:szCs w:val="24"/>
              </w:rPr>
              <w:t>0</w:t>
            </w:r>
          </w:p>
        </w:tc>
        <w:tc>
          <w:tcPr>
            <w:tcW w:w="617" w:type="pct"/>
            <w:vAlign w:val="center"/>
          </w:tcPr>
          <w:p w14:paraId="797EBD82">
            <w:pPr>
              <w:pStyle w:val="105"/>
              <w:spacing w:line="360" w:lineRule="auto"/>
              <w:rPr>
                <w:sz w:val="24"/>
                <w:szCs w:val="24"/>
              </w:rPr>
            </w:pPr>
            <w:r>
              <w:rPr>
                <w:rFonts w:hint="eastAsia"/>
                <w:sz w:val="24"/>
                <w:szCs w:val="24"/>
              </w:rPr>
              <w:t>0.005 t/a</w:t>
            </w:r>
          </w:p>
        </w:tc>
        <w:tc>
          <w:tcPr>
            <w:tcW w:w="566" w:type="pct"/>
            <w:vAlign w:val="center"/>
          </w:tcPr>
          <w:p w14:paraId="5EF1751C">
            <w:pPr>
              <w:pStyle w:val="157"/>
              <w:spacing w:line="360" w:lineRule="auto"/>
              <w:rPr>
                <w:snapToGrid w:val="0"/>
                <w:kern w:val="21"/>
                <w:szCs w:val="24"/>
              </w:rPr>
            </w:pPr>
            <w:r>
              <w:rPr>
                <w:rFonts w:hint="eastAsia"/>
                <w:snapToGrid w:val="0"/>
                <w:kern w:val="21"/>
                <w:szCs w:val="24"/>
              </w:rPr>
              <w:t>/</w:t>
            </w:r>
          </w:p>
        </w:tc>
        <w:tc>
          <w:tcPr>
            <w:tcW w:w="617" w:type="pct"/>
            <w:vAlign w:val="center"/>
          </w:tcPr>
          <w:p w14:paraId="5FFEC80F">
            <w:pPr>
              <w:pStyle w:val="105"/>
              <w:spacing w:line="360" w:lineRule="auto"/>
              <w:rPr>
                <w:sz w:val="24"/>
                <w:szCs w:val="24"/>
              </w:rPr>
            </w:pPr>
            <w:r>
              <w:rPr>
                <w:rFonts w:hint="eastAsia"/>
                <w:sz w:val="24"/>
                <w:szCs w:val="24"/>
              </w:rPr>
              <w:t>0.005t/a</w:t>
            </w:r>
          </w:p>
        </w:tc>
        <w:tc>
          <w:tcPr>
            <w:tcW w:w="517" w:type="pct"/>
            <w:vAlign w:val="center"/>
          </w:tcPr>
          <w:p w14:paraId="3A0C2E69">
            <w:pPr>
              <w:pStyle w:val="105"/>
              <w:spacing w:line="360" w:lineRule="auto"/>
              <w:rPr>
                <w:sz w:val="24"/>
                <w:szCs w:val="24"/>
              </w:rPr>
            </w:pPr>
            <w:r>
              <w:rPr>
                <w:rFonts w:hint="eastAsia"/>
                <w:sz w:val="24"/>
                <w:szCs w:val="24"/>
              </w:rPr>
              <w:t>+0.005 t/a</w:t>
            </w:r>
          </w:p>
        </w:tc>
      </w:tr>
      <w:tr w14:paraId="480D7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restart"/>
            <w:vAlign w:val="center"/>
          </w:tcPr>
          <w:p w14:paraId="44D7D187">
            <w:pPr>
              <w:pStyle w:val="105"/>
              <w:spacing w:line="360" w:lineRule="auto"/>
              <w:rPr>
                <w:rFonts w:hAnsi="宋体"/>
                <w:sz w:val="24"/>
                <w:szCs w:val="24"/>
              </w:rPr>
            </w:pPr>
            <w:r>
              <w:rPr>
                <w:rFonts w:hAnsi="宋体"/>
                <w:sz w:val="24"/>
                <w:szCs w:val="24"/>
              </w:rPr>
              <w:t>一般工业固废</w:t>
            </w:r>
          </w:p>
        </w:tc>
        <w:tc>
          <w:tcPr>
            <w:tcW w:w="514" w:type="pct"/>
            <w:vAlign w:val="center"/>
          </w:tcPr>
          <w:p w14:paraId="0B8CD9A1">
            <w:pPr>
              <w:spacing w:line="276" w:lineRule="auto"/>
              <w:jc w:val="center"/>
              <w:rPr>
                <w:sz w:val="24"/>
                <w:szCs w:val="24"/>
              </w:rPr>
            </w:pPr>
            <w:r>
              <w:rPr>
                <w:rFonts w:hint="eastAsia" w:hAnsi="宋体"/>
                <w:sz w:val="24"/>
                <w:szCs w:val="24"/>
              </w:rPr>
              <w:t>废包材</w:t>
            </w:r>
          </w:p>
        </w:tc>
        <w:tc>
          <w:tcPr>
            <w:tcW w:w="617" w:type="pct"/>
            <w:vAlign w:val="center"/>
          </w:tcPr>
          <w:p w14:paraId="34368284">
            <w:pPr>
              <w:pStyle w:val="157"/>
              <w:spacing w:line="360" w:lineRule="auto"/>
              <w:rPr>
                <w:snapToGrid w:val="0"/>
                <w:kern w:val="21"/>
                <w:szCs w:val="24"/>
              </w:rPr>
            </w:pPr>
            <w:r>
              <w:rPr>
                <w:rFonts w:hint="eastAsia"/>
                <w:snapToGrid w:val="0"/>
                <w:kern w:val="21"/>
                <w:szCs w:val="24"/>
              </w:rPr>
              <w:t>0</w:t>
            </w:r>
          </w:p>
        </w:tc>
        <w:tc>
          <w:tcPr>
            <w:tcW w:w="462" w:type="pct"/>
            <w:vAlign w:val="center"/>
          </w:tcPr>
          <w:p w14:paraId="44F73990">
            <w:pPr>
              <w:pStyle w:val="157"/>
              <w:spacing w:line="360" w:lineRule="auto"/>
              <w:rPr>
                <w:snapToGrid w:val="0"/>
                <w:kern w:val="21"/>
                <w:szCs w:val="24"/>
              </w:rPr>
            </w:pPr>
            <w:r>
              <w:rPr>
                <w:rFonts w:hint="eastAsia"/>
                <w:snapToGrid w:val="0"/>
                <w:kern w:val="21"/>
                <w:szCs w:val="24"/>
              </w:rPr>
              <w:t>0</w:t>
            </w:r>
          </w:p>
        </w:tc>
        <w:tc>
          <w:tcPr>
            <w:tcW w:w="617" w:type="pct"/>
            <w:vAlign w:val="center"/>
          </w:tcPr>
          <w:p w14:paraId="322F9845">
            <w:pPr>
              <w:pStyle w:val="157"/>
              <w:spacing w:line="360" w:lineRule="auto"/>
              <w:rPr>
                <w:snapToGrid w:val="0"/>
                <w:kern w:val="21"/>
                <w:szCs w:val="24"/>
              </w:rPr>
            </w:pPr>
            <w:r>
              <w:rPr>
                <w:rFonts w:hint="eastAsia"/>
                <w:snapToGrid w:val="0"/>
                <w:kern w:val="21"/>
                <w:szCs w:val="24"/>
              </w:rPr>
              <w:t>0</w:t>
            </w:r>
          </w:p>
        </w:tc>
        <w:tc>
          <w:tcPr>
            <w:tcW w:w="617" w:type="pct"/>
            <w:vAlign w:val="center"/>
          </w:tcPr>
          <w:p w14:paraId="15437665">
            <w:pPr>
              <w:pStyle w:val="157"/>
              <w:spacing w:line="360" w:lineRule="auto"/>
              <w:rPr>
                <w:snapToGrid w:val="0"/>
                <w:kern w:val="21"/>
                <w:szCs w:val="24"/>
              </w:rPr>
            </w:pPr>
            <w:r>
              <w:rPr>
                <w:rFonts w:hint="eastAsia"/>
                <w:snapToGrid w:val="0"/>
                <w:kern w:val="21"/>
                <w:szCs w:val="24"/>
              </w:rPr>
              <w:t>0.01</w:t>
            </w:r>
            <w:r>
              <w:rPr>
                <w:rFonts w:hint="eastAsia"/>
                <w:szCs w:val="24"/>
              </w:rPr>
              <w:t xml:space="preserve"> t/a</w:t>
            </w:r>
          </w:p>
        </w:tc>
        <w:tc>
          <w:tcPr>
            <w:tcW w:w="566" w:type="pct"/>
            <w:vAlign w:val="center"/>
          </w:tcPr>
          <w:p w14:paraId="5686E683">
            <w:pPr>
              <w:pStyle w:val="157"/>
              <w:spacing w:line="360" w:lineRule="auto"/>
              <w:rPr>
                <w:snapToGrid w:val="0"/>
                <w:kern w:val="21"/>
                <w:szCs w:val="24"/>
              </w:rPr>
            </w:pPr>
            <w:r>
              <w:rPr>
                <w:rFonts w:hint="eastAsia"/>
                <w:snapToGrid w:val="0"/>
                <w:kern w:val="21"/>
                <w:szCs w:val="24"/>
              </w:rPr>
              <w:t>/</w:t>
            </w:r>
          </w:p>
        </w:tc>
        <w:tc>
          <w:tcPr>
            <w:tcW w:w="617" w:type="pct"/>
            <w:vAlign w:val="center"/>
          </w:tcPr>
          <w:p w14:paraId="02D532F3">
            <w:pPr>
              <w:pStyle w:val="157"/>
              <w:spacing w:line="360" w:lineRule="auto"/>
              <w:rPr>
                <w:snapToGrid w:val="0"/>
                <w:kern w:val="21"/>
                <w:szCs w:val="24"/>
              </w:rPr>
            </w:pPr>
            <w:r>
              <w:rPr>
                <w:rFonts w:hint="eastAsia"/>
                <w:snapToGrid w:val="0"/>
                <w:kern w:val="21"/>
                <w:szCs w:val="24"/>
              </w:rPr>
              <w:t>0.01</w:t>
            </w:r>
            <w:r>
              <w:rPr>
                <w:rFonts w:hint="eastAsia"/>
                <w:szCs w:val="24"/>
              </w:rPr>
              <w:t xml:space="preserve"> t/a</w:t>
            </w:r>
          </w:p>
        </w:tc>
        <w:tc>
          <w:tcPr>
            <w:tcW w:w="517" w:type="pct"/>
            <w:vAlign w:val="center"/>
          </w:tcPr>
          <w:p w14:paraId="130D22A4">
            <w:pPr>
              <w:pStyle w:val="157"/>
              <w:spacing w:line="360" w:lineRule="auto"/>
              <w:rPr>
                <w:snapToGrid w:val="0"/>
                <w:kern w:val="21"/>
                <w:szCs w:val="24"/>
              </w:rPr>
            </w:pPr>
            <w:r>
              <w:rPr>
                <w:rFonts w:hint="eastAsia"/>
                <w:snapToGrid w:val="0"/>
                <w:kern w:val="21"/>
                <w:szCs w:val="24"/>
              </w:rPr>
              <w:t>+0.01</w:t>
            </w:r>
            <w:r>
              <w:rPr>
                <w:rFonts w:hint="eastAsia"/>
                <w:szCs w:val="24"/>
              </w:rPr>
              <w:t xml:space="preserve"> t/a</w:t>
            </w:r>
          </w:p>
        </w:tc>
      </w:tr>
      <w:tr w14:paraId="5AC468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473" w:type="pct"/>
            <w:vMerge w:val="continue"/>
            <w:vAlign w:val="center"/>
          </w:tcPr>
          <w:p w14:paraId="15BDAAC2">
            <w:pPr>
              <w:pStyle w:val="105"/>
              <w:spacing w:line="360" w:lineRule="auto"/>
              <w:rPr>
                <w:rFonts w:hAnsi="宋体"/>
                <w:sz w:val="24"/>
                <w:szCs w:val="24"/>
              </w:rPr>
            </w:pPr>
          </w:p>
        </w:tc>
        <w:tc>
          <w:tcPr>
            <w:tcW w:w="514" w:type="pct"/>
            <w:vAlign w:val="center"/>
          </w:tcPr>
          <w:p w14:paraId="119A2A7A">
            <w:pPr>
              <w:spacing w:line="276" w:lineRule="auto"/>
              <w:jc w:val="center"/>
              <w:rPr>
                <w:sz w:val="24"/>
                <w:szCs w:val="24"/>
              </w:rPr>
            </w:pPr>
            <w:r>
              <w:rPr>
                <w:rFonts w:hint="eastAsia" w:hAnsi="宋体"/>
                <w:sz w:val="24"/>
                <w:szCs w:val="24"/>
              </w:rPr>
              <w:t>废包装袋</w:t>
            </w:r>
          </w:p>
        </w:tc>
        <w:tc>
          <w:tcPr>
            <w:tcW w:w="617" w:type="pct"/>
            <w:vAlign w:val="center"/>
          </w:tcPr>
          <w:p w14:paraId="52A91727">
            <w:pPr>
              <w:pStyle w:val="157"/>
              <w:spacing w:line="360" w:lineRule="auto"/>
              <w:rPr>
                <w:snapToGrid w:val="0"/>
                <w:kern w:val="21"/>
                <w:szCs w:val="24"/>
              </w:rPr>
            </w:pPr>
            <w:r>
              <w:rPr>
                <w:rFonts w:hint="eastAsia"/>
                <w:snapToGrid w:val="0"/>
                <w:kern w:val="21"/>
                <w:szCs w:val="24"/>
              </w:rPr>
              <w:t>0</w:t>
            </w:r>
          </w:p>
        </w:tc>
        <w:tc>
          <w:tcPr>
            <w:tcW w:w="462" w:type="pct"/>
            <w:vAlign w:val="center"/>
          </w:tcPr>
          <w:p w14:paraId="38445F50">
            <w:pPr>
              <w:pStyle w:val="157"/>
              <w:spacing w:line="360" w:lineRule="auto"/>
              <w:rPr>
                <w:snapToGrid w:val="0"/>
                <w:kern w:val="21"/>
                <w:szCs w:val="24"/>
              </w:rPr>
            </w:pPr>
            <w:r>
              <w:rPr>
                <w:rFonts w:hint="eastAsia"/>
                <w:snapToGrid w:val="0"/>
                <w:kern w:val="21"/>
                <w:szCs w:val="24"/>
              </w:rPr>
              <w:t>0</w:t>
            </w:r>
          </w:p>
        </w:tc>
        <w:tc>
          <w:tcPr>
            <w:tcW w:w="617" w:type="pct"/>
            <w:vAlign w:val="center"/>
          </w:tcPr>
          <w:p w14:paraId="5EC8F37F">
            <w:pPr>
              <w:pStyle w:val="157"/>
              <w:spacing w:line="360" w:lineRule="auto"/>
              <w:rPr>
                <w:snapToGrid w:val="0"/>
                <w:kern w:val="21"/>
                <w:szCs w:val="24"/>
              </w:rPr>
            </w:pPr>
            <w:r>
              <w:rPr>
                <w:rFonts w:hint="eastAsia"/>
                <w:snapToGrid w:val="0"/>
                <w:kern w:val="21"/>
                <w:szCs w:val="24"/>
              </w:rPr>
              <w:t>0</w:t>
            </w:r>
          </w:p>
        </w:tc>
        <w:tc>
          <w:tcPr>
            <w:tcW w:w="617" w:type="pct"/>
            <w:vAlign w:val="center"/>
          </w:tcPr>
          <w:p w14:paraId="1F6FD103">
            <w:pPr>
              <w:pStyle w:val="157"/>
              <w:spacing w:line="360" w:lineRule="auto"/>
              <w:rPr>
                <w:snapToGrid w:val="0"/>
                <w:kern w:val="21"/>
                <w:szCs w:val="24"/>
              </w:rPr>
            </w:pPr>
            <w:r>
              <w:rPr>
                <w:rFonts w:hint="eastAsia"/>
                <w:snapToGrid w:val="0"/>
                <w:kern w:val="21"/>
                <w:szCs w:val="24"/>
              </w:rPr>
              <w:t>0.005</w:t>
            </w:r>
            <w:r>
              <w:rPr>
                <w:rFonts w:hint="eastAsia"/>
                <w:szCs w:val="24"/>
              </w:rPr>
              <w:t xml:space="preserve"> t/a</w:t>
            </w:r>
          </w:p>
        </w:tc>
        <w:tc>
          <w:tcPr>
            <w:tcW w:w="566" w:type="pct"/>
            <w:vAlign w:val="center"/>
          </w:tcPr>
          <w:p w14:paraId="4F529DAD">
            <w:pPr>
              <w:pStyle w:val="157"/>
              <w:spacing w:line="360" w:lineRule="auto"/>
              <w:rPr>
                <w:snapToGrid w:val="0"/>
                <w:kern w:val="21"/>
                <w:szCs w:val="24"/>
              </w:rPr>
            </w:pPr>
            <w:r>
              <w:rPr>
                <w:rFonts w:hint="eastAsia"/>
                <w:snapToGrid w:val="0"/>
                <w:kern w:val="21"/>
                <w:szCs w:val="24"/>
              </w:rPr>
              <w:t>/</w:t>
            </w:r>
          </w:p>
        </w:tc>
        <w:tc>
          <w:tcPr>
            <w:tcW w:w="617" w:type="pct"/>
            <w:vAlign w:val="center"/>
          </w:tcPr>
          <w:p w14:paraId="47813D10">
            <w:pPr>
              <w:pStyle w:val="157"/>
              <w:spacing w:line="360" w:lineRule="auto"/>
              <w:rPr>
                <w:snapToGrid w:val="0"/>
                <w:kern w:val="21"/>
                <w:szCs w:val="24"/>
              </w:rPr>
            </w:pPr>
            <w:r>
              <w:rPr>
                <w:rFonts w:hint="eastAsia"/>
                <w:snapToGrid w:val="0"/>
                <w:kern w:val="21"/>
                <w:szCs w:val="24"/>
              </w:rPr>
              <w:t>0.005</w:t>
            </w:r>
            <w:r>
              <w:rPr>
                <w:rFonts w:hint="eastAsia"/>
                <w:szCs w:val="24"/>
              </w:rPr>
              <w:t xml:space="preserve"> t/a</w:t>
            </w:r>
          </w:p>
        </w:tc>
        <w:tc>
          <w:tcPr>
            <w:tcW w:w="517" w:type="pct"/>
            <w:vAlign w:val="center"/>
          </w:tcPr>
          <w:p w14:paraId="1E7FAF9B">
            <w:pPr>
              <w:pStyle w:val="157"/>
              <w:spacing w:line="360" w:lineRule="auto"/>
              <w:rPr>
                <w:snapToGrid w:val="0"/>
                <w:kern w:val="21"/>
                <w:szCs w:val="24"/>
              </w:rPr>
            </w:pPr>
            <w:r>
              <w:rPr>
                <w:rFonts w:hint="eastAsia"/>
                <w:snapToGrid w:val="0"/>
                <w:kern w:val="21"/>
                <w:szCs w:val="24"/>
              </w:rPr>
              <w:t>+0.005</w:t>
            </w:r>
            <w:r>
              <w:rPr>
                <w:rFonts w:hint="eastAsia"/>
                <w:szCs w:val="24"/>
              </w:rPr>
              <w:t xml:space="preserve"> t/a</w:t>
            </w:r>
          </w:p>
        </w:tc>
      </w:tr>
      <w:tr w14:paraId="4FD23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restart"/>
            <w:vAlign w:val="center"/>
          </w:tcPr>
          <w:p w14:paraId="10A53B6C">
            <w:pPr>
              <w:pStyle w:val="105"/>
              <w:spacing w:line="360" w:lineRule="auto"/>
              <w:rPr>
                <w:rFonts w:hAnsi="宋体"/>
                <w:sz w:val="24"/>
                <w:szCs w:val="24"/>
              </w:rPr>
            </w:pPr>
            <w:r>
              <w:rPr>
                <w:rFonts w:hAnsi="宋体"/>
                <w:sz w:val="24"/>
                <w:szCs w:val="24"/>
              </w:rPr>
              <w:t>危险废物</w:t>
            </w:r>
          </w:p>
        </w:tc>
        <w:tc>
          <w:tcPr>
            <w:tcW w:w="514" w:type="pct"/>
            <w:vAlign w:val="center"/>
          </w:tcPr>
          <w:p w14:paraId="4D80F9C4">
            <w:pPr>
              <w:spacing w:line="276" w:lineRule="auto"/>
              <w:jc w:val="center"/>
              <w:rPr>
                <w:sz w:val="24"/>
                <w:szCs w:val="24"/>
              </w:rPr>
            </w:pPr>
            <w:r>
              <w:rPr>
                <w:rFonts w:hint="eastAsia" w:hAnsi="宋体"/>
                <w:sz w:val="24"/>
                <w:szCs w:val="24"/>
              </w:rPr>
              <w:t>废包装桶</w:t>
            </w:r>
          </w:p>
        </w:tc>
        <w:tc>
          <w:tcPr>
            <w:tcW w:w="617" w:type="pct"/>
            <w:vAlign w:val="center"/>
          </w:tcPr>
          <w:p w14:paraId="714FAA4C">
            <w:pPr>
              <w:pStyle w:val="157"/>
              <w:spacing w:line="360" w:lineRule="auto"/>
              <w:rPr>
                <w:snapToGrid w:val="0"/>
                <w:kern w:val="21"/>
                <w:szCs w:val="24"/>
              </w:rPr>
            </w:pPr>
            <w:r>
              <w:rPr>
                <w:rFonts w:hint="eastAsia"/>
                <w:snapToGrid w:val="0"/>
                <w:kern w:val="21"/>
                <w:szCs w:val="24"/>
              </w:rPr>
              <w:t>0</w:t>
            </w:r>
          </w:p>
        </w:tc>
        <w:tc>
          <w:tcPr>
            <w:tcW w:w="462" w:type="pct"/>
            <w:vAlign w:val="center"/>
          </w:tcPr>
          <w:p w14:paraId="31B628EB">
            <w:pPr>
              <w:pStyle w:val="157"/>
              <w:spacing w:line="360" w:lineRule="auto"/>
              <w:rPr>
                <w:snapToGrid w:val="0"/>
                <w:kern w:val="21"/>
                <w:szCs w:val="24"/>
              </w:rPr>
            </w:pPr>
            <w:r>
              <w:rPr>
                <w:rFonts w:hint="eastAsia"/>
                <w:snapToGrid w:val="0"/>
                <w:kern w:val="21"/>
                <w:szCs w:val="24"/>
              </w:rPr>
              <w:t>0</w:t>
            </w:r>
          </w:p>
        </w:tc>
        <w:tc>
          <w:tcPr>
            <w:tcW w:w="617" w:type="pct"/>
            <w:vAlign w:val="center"/>
          </w:tcPr>
          <w:p w14:paraId="71A3036E">
            <w:pPr>
              <w:pStyle w:val="157"/>
              <w:spacing w:line="360" w:lineRule="auto"/>
              <w:rPr>
                <w:snapToGrid w:val="0"/>
                <w:kern w:val="21"/>
                <w:szCs w:val="24"/>
              </w:rPr>
            </w:pPr>
            <w:r>
              <w:rPr>
                <w:rFonts w:hint="eastAsia"/>
                <w:snapToGrid w:val="0"/>
                <w:kern w:val="21"/>
                <w:szCs w:val="24"/>
              </w:rPr>
              <w:t>0</w:t>
            </w:r>
          </w:p>
        </w:tc>
        <w:tc>
          <w:tcPr>
            <w:tcW w:w="617" w:type="pct"/>
            <w:vAlign w:val="center"/>
          </w:tcPr>
          <w:p w14:paraId="2C40E05C">
            <w:pPr>
              <w:pStyle w:val="157"/>
              <w:spacing w:line="360" w:lineRule="auto"/>
              <w:rPr>
                <w:snapToGrid w:val="0"/>
                <w:kern w:val="21"/>
                <w:szCs w:val="24"/>
              </w:rPr>
            </w:pPr>
            <w:r>
              <w:rPr>
                <w:rFonts w:hint="eastAsia"/>
                <w:snapToGrid w:val="0"/>
                <w:kern w:val="21"/>
                <w:szCs w:val="24"/>
              </w:rPr>
              <w:t>1.91</w:t>
            </w:r>
            <w:r>
              <w:rPr>
                <w:rFonts w:hint="eastAsia"/>
                <w:szCs w:val="24"/>
              </w:rPr>
              <w:t xml:space="preserve"> t/a</w:t>
            </w:r>
          </w:p>
        </w:tc>
        <w:tc>
          <w:tcPr>
            <w:tcW w:w="566" w:type="pct"/>
            <w:vAlign w:val="center"/>
          </w:tcPr>
          <w:p w14:paraId="216FDF91">
            <w:pPr>
              <w:pStyle w:val="157"/>
              <w:spacing w:line="360" w:lineRule="auto"/>
              <w:rPr>
                <w:snapToGrid w:val="0"/>
                <w:kern w:val="21"/>
                <w:szCs w:val="24"/>
              </w:rPr>
            </w:pPr>
            <w:r>
              <w:rPr>
                <w:rFonts w:hint="eastAsia"/>
                <w:snapToGrid w:val="0"/>
                <w:kern w:val="21"/>
                <w:szCs w:val="24"/>
              </w:rPr>
              <w:t>/</w:t>
            </w:r>
          </w:p>
        </w:tc>
        <w:tc>
          <w:tcPr>
            <w:tcW w:w="617" w:type="pct"/>
            <w:vAlign w:val="center"/>
          </w:tcPr>
          <w:p w14:paraId="651EFD56">
            <w:pPr>
              <w:pStyle w:val="157"/>
              <w:spacing w:line="360" w:lineRule="auto"/>
              <w:rPr>
                <w:snapToGrid w:val="0"/>
                <w:kern w:val="21"/>
                <w:szCs w:val="24"/>
              </w:rPr>
            </w:pPr>
            <w:r>
              <w:rPr>
                <w:rFonts w:hint="eastAsia"/>
                <w:snapToGrid w:val="0"/>
                <w:kern w:val="21"/>
                <w:szCs w:val="24"/>
              </w:rPr>
              <w:t>1.91</w:t>
            </w:r>
            <w:r>
              <w:rPr>
                <w:rFonts w:hint="eastAsia"/>
                <w:szCs w:val="24"/>
              </w:rPr>
              <w:t xml:space="preserve"> t/a</w:t>
            </w:r>
          </w:p>
        </w:tc>
        <w:tc>
          <w:tcPr>
            <w:tcW w:w="517" w:type="pct"/>
            <w:vAlign w:val="center"/>
          </w:tcPr>
          <w:p w14:paraId="71D75653">
            <w:pPr>
              <w:pStyle w:val="157"/>
              <w:spacing w:line="360" w:lineRule="auto"/>
              <w:rPr>
                <w:snapToGrid w:val="0"/>
                <w:kern w:val="21"/>
                <w:szCs w:val="24"/>
              </w:rPr>
            </w:pPr>
            <w:r>
              <w:rPr>
                <w:rFonts w:hint="eastAsia"/>
                <w:snapToGrid w:val="0"/>
                <w:kern w:val="21"/>
                <w:szCs w:val="24"/>
              </w:rPr>
              <w:t>+1.91</w:t>
            </w:r>
            <w:r>
              <w:rPr>
                <w:rFonts w:hint="eastAsia"/>
                <w:szCs w:val="24"/>
              </w:rPr>
              <w:t xml:space="preserve"> t/a</w:t>
            </w:r>
          </w:p>
        </w:tc>
      </w:tr>
      <w:tr w14:paraId="63219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continue"/>
            <w:vAlign w:val="center"/>
          </w:tcPr>
          <w:p w14:paraId="3C2284C8">
            <w:pPr>
              <w:pStyle w:val="105"/>
              <w:spacing w:line="360" w:lineRule="auto"/>
              <w:rPr>
                <w:rFonts w:hAnsi="宋体"/>
                <w:sz w:val="24"/>
                <w:szCs w:val="24"/>
              </w:rPr>
            </w:pPr>
          </w:p>
        </w:tc>
        <w:tc>
          <w:tcPr>
            <w:tcW w:w="514" w:type="pct"/>
            <w:vAlign w:val="center"/>
          </w:tcPr>
          <w:p w14:paraId="6D91999F">
            <w:pPr>
              <w:spacing w:line="276" w:lineRule="auto"/>
              <w:jc w:val="center"/>
              <w:rPr>
                <w:sz w:val="24"/>
                <w:szCs w:val="24"/>
              </w:rPr>
            </w:pPr>
            <w:r>
              <w:rPr>
                <w:rFonts w:hint="eastAsia" w:hAnsi="宋体"/>
                <w:sz w:val="24"/>
                <w:szCs w:val="24"/>
              </w:rPr>
              <w:t>不合格品</w:t>
            </w:r>
          </w:p>
        </w:tc>
        <w:tc>
          <w:tcPr>
            <w:tcW w:w="617" w:type="pct"/>
            <w:vAlign w:val="center"/>
          </w:tcPr>
          <w:p w14:paraId="167579FE">
            <w:pPr>
              <w:pStyle w:val="157"/>
              <w:spacing w:line="360" w:lineRule="auto"/>
              <w:rPr>
                <w:snapToGrid w:val="0"/>
                <w:kern w:val="21"/>
                <w:szCs w:val="24"/>
              </w:rPr>
            </w:pPr>
            <w:r>
              <w:rPr>
                <w:rFonts w:hint="eastAsia"/>
                <w:snapToGrid w:val="0"/>
                <w:kern w:val="21"/>
                <w:szCs w:val="24"/>
              </w:rPr>
              <w:t>0</w:t>
            </w:r>
          </w:p>
        </w:tc>
        <w:tc>
          <w:tcPr>
            <w:tcW w:w="462" w:type="pct"/>
            <w:vAlign w:val="center"/>
          </w:tcPr>
          <w:p w14:paraId="74750884">
            <w:pPr>
              <w:pStyle w:val="157"/>
              <w:spacing w:line="360" w:lineRule="auto"/>
              <w:rPr>
                <w:snapToGrid w:val="0"/>
                <w:kern w:val="21"/>
                <w:szCs w:val="24"/>
              </w:rPr>
            </w:pPr>
            <w:r>
              <w:rPr>
                <w:rFonts w:hint="eastAsia"/>
                <w:snapToGrid w:val="0"/>
                <w:kern w:val="21"/>
                <w:szCs w:val="24"/>
              </w:rPr>
              <w:t>0</w:t>
            </w:r>
          </w:p>
        </w:tc>
        <w:tc>
          <w:tcPr>
            <w:tcW w:w="617" w:type="pct"/>
            <w:vAlign w:val="center"/>
          </w:tcPr>
          <w:p w14:paraId="0361A0E9">
            <w:pPr>
              <w:pStyle w:val="157"/>
              <w:spacing w:line="360" w:lineRule="auto"/>
              <w:rPr>
                <w:snapToGrid w:val="0"/>
                <w:kern w:val="21"/>
                <w:szCs w:val="24"/>
              </w:rPr>
            </w:pPr>
            <w:r>
              <w:rPr>
                <w:rFonts w:hint="eastAsia"/>
                <w:snapToGrid w:val="0"/>
                <w:kern w:val="21"/>
                <w:szCs w:val="24"/>
              </w:rPr>
              <w:t>0</w:t>
            </w:r>
          </w:p>
        </w:tc>
        <w:tc>
          <w:tcPr>
            <w:tcW w:w="617" w:type="pct"/>
            <w:vAlign w:val="center"/>
          </w:tcPr>
          <w:p w14:paraId="7B8A7E21">
            <w:pPr>
              <w:pStyle w:val="157"/>
              <w:spacing w:line="360" w:lineRule="auto"/>
              <w:rPr>
                <w:snapToGrid w:val="0"/>
                <w:kern w:val="21"/>
                <w:szCs w:val="24"/>
              </w:rPr>
            </w:pPr>
            <w:r>
              <w:rPr>
                <w:rFonts w:hint="eastAsia"/>
                <w:snapToGrid w:val="0"/>
                <w:kern w:val="21"/>
                <w:szCs w:val="24"/>
              </w:rPr>
              <w:t>6.3</w:t>
            </w:r>
            <w:r>
              <w:rPr>
                <w:rFonts w:hint="eastAsia"/>
                <w:szCs w:val="24"/>
              </w:rPr>
              <w:t xml:space="preserve"> t/a</w:t>
            </w:r>
          </w:p>
        </w:tc>
        <w:tc>
          <w:tcPr>
            <w:tcW w:w="566" w:type="pct"/>
            <w:vAlign w:val="center"/>
          </w:tcPr>
          <w:p w14:paraId="1330B6AF">
            <w:pPr>
              <w:pStyle w:val="157"/>
              <w:spacing w:line="360" w:lineRule="auto"/>
              <w:rPr>
                <w:snapToGrid w:val="0"/>
                <w:kern w:val="21"/>
                <w:szCs w:val="24"/>
              </w:rPr>
            </w:pPr>
            <w:r>
              <w:rPr>
                <w:rFonts w:hint="eastAsia"/>
                <w:snapToGrid w:val="0"/>
                <w:kern w:val="21"/>
                <w:szCs w:val="24"/>
              </w:rPr>
              <w:t>/</w:t>
            </w:r>
          </w:p>
        </w:tc>
        <w:tc>
          <w:tcPr>
            <w:tcW w:w="617" w:type="pct"/>
            <w:vAlign w:val="center"/>
          </w:tcPr>
          <w:p w14:paraId="41FD891A">
            <w:pPr>
              <w:pStyle w:val="157"/>
              <w:spacing w:line="360" w:lineRule="auto"/>
              <w:rPr>
                <w:snapToGrid w:val="0"/>
                <w:kern w:val="21"/>
                <w:szCs w:val="24"/>
              </w:rPr>
            </w:pPr>
            <w:r>
              <w:rPr>
                <w:rFonts w:hint="eastAsia"/>
                <w:snapToGrid w:val="0"/>
                <w:kern w:val="21"/>
                <w:szCs w:val="24"/>
              </w:rPr>
              <w:t>6.3</w:t>
            </w:r>
            <w:r>
              <w:rPr>
                <w:rFonts w:hint="eastAsia"/>
                <w:szCs w:val="24"/>
              </w:rPr>
              <w:t>t/a</w:t>
            </w:r>
          </w:p>
        </w:tc>
        <w:tc>
          <w:tcPr>
            <w:tcW w:w="517" w:type="pct"/>
            <w:vAlign w:val="center"/>
          </w:tcPr>
          <w:p w14:paraId="5725BE62">
            <w:pPr>
              <w:pStyle w:val="157"/>
              <w:spacing w:line="360" w:lineRule="auto"/>
              <w:rPr>
                <w:snapToGrid w:val="0"/>
                <w:kern w:val="21"/>
                <w:szCs w:val="24"/>
              </w:rPr>
            </w:pPr>
            <w:r>
              <w:rPr>
                <w:rFonts w:hint="eastAsia"/>
                <w:snapToGrid w:val="0"/>
                <w:kern w:val="21"/>
                <w:szCs w:val="24"/>
              </w:rPr>
              <w:t>+6.3</w:t>
            </w:r>
            <w:r>
              <w:rPr>
                <w:rFonts w:hint="eastAsia"/>
                <w:szCs w:val="24"/>
              </w:rPr>
              <w:t>t/a</w:t>
            </w:r>
          </w:p>
        </w:tc>
      </w:tr>
      <w:tr w14:paraId="6A317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continue"/>
            <w:vAlign w:val="center"/>
          </w:tcPr>
          <w:p w14:paraId="37657B24">
            <w:pPr>
              <w:pStyle w:val="105"/>
              <w:spacing w:line="360" w:lineRule="auto"/>
              <w:rPr>
                <w:rFonts w:hAnsi="宋体"/>
                <w:sz w:val="24"/>
                <w:szCs w:val="24"/>
              </w:rPr>
            </w:pPr>
          </w:p>
        </w:tc>
        <w:tc>
          <w:tcPr>
            <w:tcW w:w="514" w:type="pct"/>
            <w:vAlign w:val="center"/>
          </w:tcPr>
          <w:p w14:paraId="7DB7F85C">
            <w:pPr>
              <w:spacing w:line="276" w:lineRule="auto"/>
              <w:jc w:val="center"/>
              <w:rPr>
                <w:sz w:val="24"/>
                <w:szCs w:val="24"/>
              </w:rPr>
            </w:pPr>
            <w:r>
              <w:rPr>
                <w:rFonts w:hint="eastAsia" w:hAnsi="宋体"/>
                <w:sz w:val="24"/>
                <w:szCs w:val="24"/>
              </w:rPr>
              <w:t>离心废液</w:t>
            </w:r>
          </w:p>
        </w:tc>
        <w:tc>
          <w:tcPr>
            <w:tcW w:w="617" w:type="pct"/>
            <w:vAlign w:val="center"/>
          </w:tcPr>
          <w:p w14:paraId="5A062CEC">
            <w:pPr>
              <w:pStyle w:val="157"/>
              <w:spacing w:line="360" w:lineRule="auto"/>
              <w:rPr>
                <w:snapToGrid w:val="0"/>
                <w:kern w:val="21"/>
                <w:szCs w:val="24"/>
              </w:rPr>
            </w:pPr>
            <w:r>
              <w:rPr>
                <w:rFonts w:hint="eastAsia"/>
                <w:snapToGrid w:val="0"/>
                <w:kern w:val="21"/>
                <w:szCs w:val="24"/>
              </w:rPr>
              <w:t>0</w:t>
            </w:r>
          </w:p>
        </w:tc>
        <w:tc>
          <w:tcPr>
            <w:tcW w:w="462" w:type="pct"/>
            <w:vAlign w:val="center"/>
          </w:tcPr>
          <w:p w14:paraId="6AA76A26">
            <w:pPr>
              <w:pStyle w:val="157"/>
              <w:spacing w:line="360" w:lineRule="auto"/>
              <w:rPr>
                <w:snapToGrid w:val="0"/>
                <w:kern w:val="21"/>
                <w:szCs w:val="24"/>
              </w:rPr>
            </w:pPr>
            <w:r>
              <w:rPr>
                <w:rFonts w:hint="eastAsia"/>
                <w:snapToGrid w:val="0"/>
                <w:kern w:val="21"/>
                <w:szCs w:val="24"/>
              </w:rPr>
              <w:t>0</w:t>
            </w:r>
          </w:p>
        </w:tc>
        <w:tc>
          <w:tcPr>
            <w:tcW w:w="617" w:type="pct"/>
            <w:vAlign w:val="center"/>
          </w:tcPr>
          <w:p w14:paraId="22E0B3C0">
            <w:pPr>
              <w:pStyle w:val="157"/>
              <w:spacing w:line="360" w:lineRule="auto"/>
              <w:rPr>
                <w:snapToGrid w:val="0"/>
                <w:kern w:val="21"/>
                <w:szCs w:val="24"/>
              </w:rPr>
            </w:pPr>
            <w:r>
              <w:rPr>
                <w:rFonts w:hint="eastAsia"/>
                <w:snapToGrid w:val="0"/>
                <w:kern w:val="21"/>
                <w:szCs w:val="24"/>
              </w:rPr>
              <w:t>0</w:t>
            </w:r>
          </w:p>
        </w:tc>
        <w:tc>
          <w:tcPr>
            <w:tcW w:w="617" w:type="pct"/>
            <w:vAlign w:val="center"/>
          </w:tcPr>
          <w:p w14:paraId="0D1A0238">
            <w:pPr>
              <w:pStyle w:val="157"/>
              <w:spacing w:line="360" w:lineRule="auto"/>
              <w:rPr>
                <w:snapToGrid w:val="0"/>
                <w:kern w:val="21"/>
                <w:szCs w:val="24"/>
              </w:rPr>
            </w:pPr>
            <w:r>
              <w:rPr>
                <w:rFonts w:hint="eastAsia"/>
                <w:snapToGrid w:val="0"/>
                <w:kern w:val="21"/>
                <w:szCs w:val="24"/>
              </w:rPr>
              <w:t>0.3021</w:t>
            </w:r>
            <w:r>
              <w:rPr>
                <w:rFonts w:hint="eastAsia"/>
                <w:szCs w:val="24"/>
              </w:rPr>
              <w:t>t/a</w:t>
            </w:r>
          </w:p>
        </w:tc>
        <w:tc>
          <w:tcPr>
            <w:tcW w:w="566" w:type="pct"/>
            <w:vAlign w:val="center"/>
          </w:tcPr>
          <w:p w14:paraId="4C357DB9">
            <w:pPr>
              <w:pStyle w:val="157"/>
              <w:spacing w:line="360" w:lineRule="auto"/>
              <w:rPr>
                <w:snapToGrid w:val="0"/>
                <w:kern w:val="21"/>
                <w:szCs w:val="24"/>
              </w:rPr>
            </w:pPr>
            <w:r>
              <w:rPr>
                <w:rFonts w:hint="eastAsia"/>
                <w:snapToGrid w:val="0"/>
                <w:kern w:val="21"/>
                <w:szCs w:val="24"/>
              </w:rPr>
              <w:t>/</w:t>
            </w:r>
          </w:p>
        </w:tc>
        <w:tc>
          <w:tcPr>
            <w:tcW w:w="617" w:type="pct"/>
            <w:vAlign w:val="center"/>
          </w:tcPr>
          <w:p w14:paraId="398EF078">
            <w:pPr>
              <w:pStyle w:val="157"/>
              <w:spacing w:line="360" w:lineRule="auto"/>
              <w:rPr>
                <w:snapToGrid w:val="0"/>
                <w:kern w:val="21"/>
                <w:szCs w:val="24"/>
              </w:rPr>
            </w:pPr>
            <w:r>
              <w:rPr>
                <w:rFonts w:hint="eastAsia"/>
                <w:snapToGrid w:val="0"/>
                <w:kern w:val="21"/>
                <w:szCs w:val="24"/>
              </w:rPr>
              <w:t>0.3021</w:t>
            </w:r>
            <w:r>
              <w:rPr>
                <w:rFonts w:hint="eastAsia"/>
                <w:szCs w:val="24"/>
              </w:rPr>
              <w:t>t/a</w:t>
            </w:r>
          </w:p>
        </w:tc>
        <w:tc>
          <w:tcPr>
            <w:tcW w:w="517" w:type="pct"/>
            <w:vAlign w:val="center"/>
          </w:tcPr>
          <w:p w14:paraId="639365B8">
            <w:pPr>
              <w:pStyle w:val="157"/>
              <w:spacing w:line="360" w:lineRule="auto"/>
              <w:rPr>
                <w:snapToGrid w:val="0"/>
                <w:kern w:val="21"/>
                <w:szCs w:val="24"/>
              </w:rPr>
            </w:pPr>
            <w:r>
              <w:rPr>
                <w:rFonts w:hint="eastAsia"/>
                <w:snapToGrid w:val="0"/>
                <w:kern w:val="21"/>
                <w:szCs w:val="24"/>
              </w:rPr>
              <w:t>+0.3021</w:t>
            </w:r>
            <w:r>
              <w:rPr>
                <w:rFonts w:hint="eastAsia"/>
                <w:szCs w:val="24"/>
              </w:rPr>
              <w:t>t/a</w:t>
            </w:r>
          </w:p>
        </w:tc>
      </w:tr>
      <w:tr w14:paraId="344BA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continue"/>
            <w:vAlign w:val="center"/>
          </w:tcPr>
          <w:p w14:paraId="400D56A1">
            <w:pPr>
              <w:pStyle w:val="105"/>
              <w:spacing w:line="360" w:lineRule="auto"/>
              <w:rPr>
                <w:rFonts w:hAnsi="宋体"/>
                <w:sz w:val="24"/>
                <w:szCs w:val="24"/>
              </w:rPr>
            </w:pPr>
          </w:p>
        </w:tc>
        <w:tc>
          <w:tcPr>
            <w:tcW w:w="514" w:type="pct"/>
            <w:vAlign w:val="center"/>
          </w:tcPr>
          <w:p w14:paraId="4E14665D">
            <w:pPr>
              <w:spacing w:line="276" w:lineRule="auto"/>
              <w:jc w:val="center"/>
              <w:rPr>
                <w:sz w:val="24"/>
                <w:szCs w:val="24"/>
              </w:rPr>
            </w:pPr>
            <w:r>
              <w:rPr>
                <w:rFonts w:hint="eastAsia" w:hAnsi="宋体"/>
                <w:sz w:val="24"/>
                <w:szCs w:val="24"/>
              </w:rPr>
              <w:t>清洗废液</w:t>
            </w:r>
          </w:p>
        </w:tc>
        <w:tc>
          <w:tcPr>
            <w:tcW w:w="617" w:type="pct"/>
            <w:vAlign w:val="center"/>
          </w:tcPr>
          <w:p w14:paraId="574FDF4A">
            <w:pPr>
              <w:pStyle w:val="157"/>
              <w:spacing w:line="360" w:lineRule="auto"/>
              <w:rPr>
                <w:snapToGrid w:val="0"/>
                <w:kern w:val="21"/>
                <w:szCs w:val="24"/>
              </w:rPr>
            </w:pPr>
            <w:r>
              <w:rPr>
                <w:rFonts w:hint="eastAsia"/>
                <w:snapToGrid w:val="0"/>
                <w:kern w:val="21"/>
                <w:szCs w:val="24"/>
              </w:rPr>
              <w:t>0</w:t>
            </w:r>
          </w:p>
        </w:tc>
        <w:tc>
          <w:tcPr>
            <w:tcW w:w="462" w:type="pct"/>
            <w:vAlign w:val="center"/>
          </w:tcPr>
          <w:p w14:paraId="34438778">
            <w:pPr>
              <w:pStyle w:val="157"/>
              <w:spacing w:line="360" w:lineRule="auto"/>
              <w:rPr>
                <w:snapToGrid w:val="0"/>
                <w:kern w:val="21"/>
                <w:szCs w:val="24"/>
              </w:rPr>
            </w:pPr>
            <w:r>
              <w:rPr>
                <w:rFonts w:hint="eastAsia"/>
                <w:snapToGrid w:val="0"/>
                <w:kern w:val="21"/>
                <w:szCs w:val="24"/>
              </w:rPr>
              <w:t>0</w:t>
            </w:r>
          </w:p>
        </w:tc>
        <w:tc>
          <w:tcPr>
            <w:tcW w:w="617" w:type="pct"/>
            <w:vAlign w:val="center"/>
          </w:tcPr>
          <w:p w14:paraId="7E1B9730">
            <w:pPr>
              <w:pStyle w:val="157"/>
              <w:spacing w:line="360" w:lineRule="auto"/>
              <w:rPr>
                <w:snapToGrid w:val="0"/>
                <w:kern w:val="21"/>
                <w:szCs w:val="24"/>
              </w:rPr>
            </w:pPr>
            <w:r>
              <w:rPr>
                <w:rFonts w:hint="eastAsia"/>
                <w:snapToGrid w:val="0"/>
                <w:kern w:val="21"/>
                <w:szCs w:val="24"/>
              </w:rPr>
              <w:t>0</w:t>
            </w:r>
          </w:p>
        </w:tc>
        <w:tc>
          <w:tcPr>
            <w:tcW w:w="617" w:type="pct"/>
            <w:vAlign w:val="center"/>
          </w:tcPr>
          <w:p w14:paraId="4F4ACAF7">
            <w:pPr>
              <w:pStyle w:val="157"/>
              <w:spacing w:line="360" w:lineRule="auto"/>
              <w:rPr>
                <w:snapToGrid w:val="0"/>
                <w:kern w:val="21"/>
                <w:szCs w:val="24"/>
              </w:rPr>
            </w:pPr>
            <w:r>
              <w:rPr>
                <w:rFonts w:hint="eastAsia"/>
                <w:snapToGrid w:val="0"/>
                <w:kern w:val="21"/>
                <w:szCs w:val="24"/>
              </w:rPr>
              <w:t>2.89</w:t>
            </w:r>
            <w:r>
              <w:rPr>
                <w:rFonts w:hint="eastAsia"/>
                <w:szCs w:val="24"/>
              </w:rPr>
              <w:t>t/a</w:t>
            </w:r>
          </w:p>
        </w:tc>
        <w:tc>
          <w:tcPr>
            <w:tcW w:w="566" w:type="pct"/>
            <w:vAlign w:val="center"/>
          </w:tcPr>
          <w:p w14:paraId="1E171D94">
            <w:pPr>
              <w:pStyle w:val="157"/>
              <w:spacing w:line="360" w:lineRule="auto"/>
              <w:rPr>
                <w:snapToGrid w:val="0"/>
                <w:kern w:val="21"/>
                <w:szCs w:val="24"/>
              </w:rPr>
            </w:pPr>
            <w:r>
              <w:rPr>
                <w:rFonts w:hint="eastAsia"/>
                <w:snapToGrid w:val="0"/>
                <w:kern w:val="21"/>
                <w:szCs w:val="24"/>
              </w:rPr>
              <w:t>/</w:t>
            </w:r>
          </w:p>
        </w:tc>
        <w:tc>
          <w:tcPr>
            <w:tcW w:w="617" w:type="pct"/>
            <w:vAlign w:val="center"/>
          </w:tcPr>
          <w:p w14:paraId="51F85B38">
            <w:pPr>
              <w:pStyle w:val="157"/>
              <w:spacing w:line="360" w:lineRule="auto"/>
              <w:rPr>
                <w:snapToGrid w:val="0"/>
                <w:kern w:val="21"/>
                <w:szCs w:val="24"/>
              </w:rPr>
            </w:pPr>
            <w:r>
              <w:rPr>
                <w:rFonts w:hint="eastAsia"/>
                <w:snapToGrid w:val="0"/>
                <w:kern w:val="21"/>
                <w:szCs w:val="24"/>
              </w:rPr>
              <w:t>2.89</w:t>
            </w:r>
            <w:r>
              <w:rPr>
                <w:rFonts w:hint="eastAsia"/>
                <w:szCs w:val="24"/>
              </w:rPr>
              <w:t>t/a</w:t>
            </w:r>
          </w:p>
        </w:tc>
        <w:tc>
          <w:tcPr>
            <w:tcW w:w="517" w:type="pct"/>
            <w:vAlign w:val="center"/>
          </w:tcPr>
          <w:p w14:paraId="197A7395">
            <w:pPr>
              <w:pStyle w:val="157"/>
              <w:spacing w:line="360" w:lineRule="auto"/>
              <w:rPr>
                <w:snapToGrid w:val="0"/>
                <w:kern w:val="21"/>
                <w:szCs w:val="24"/>
              </w:rPr>
            </w:pPr>
            <w:r>
              <w:rPr>
                <w:rFonts w:hint="eastAsia"/>
                <w:snapToGrid w:val="0"/>
                <w:kern w:val="21"/>
                <w:szCs w:val="24"/>
              </w:rPr>
              <w:t>+2.89</w:t>
            </w:r>
            <w:r>
              <w:rPr>
                <w:rFonts w:hint="eastAsia"/>
                <w:szCs w:val="24"/>
              </w:rPr>
              <w:t>t/a</w:t>
            </w:r>
          </w:p>
        </w:tc>
      </w:tr>
      <w:tr w14:paraId="6624B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73" w:type="pct"/>
            <w:vMerge w:val="continue"/>
            <w:vAlign w:val="center"/>
          </w:tcPr>
          <w:p w14:paraId="3CB0FDA7">
            <w:pPr>
              <w:pStyle w:val="105"/>
              <w:spacing w:line="360" w:lineRule="auto"/>
              <w:rPr>
                <w:rFonts w:hAnsi="宋体"/>
                <w:sz w:val="24"/>
                <w:szCs w:val="24"/>
              </w:rPr>
            </w:pPr>
          </w:p>
        </w:tc>
        <w:tc>
          <w:tcPr>
            <w:tcW w:w="514" w:type="pct"/>
            <w:vAlign w:val="center"/>
          </w:tcPr>
          <w:p w14:paraId="71EF5381">
            <w:pPr>
              <w:spacing w:line="276" w:lineRule="auto"/>
              <w:jc w:val="center"/>
              <w:rPr>
                <w:rFonts w:hAnsi="宋体"/>
                <w:sz w:val="24"/>
                <w:szCs w:val="24"/>
              </w:rPr>
            </w:pPr>
            <w:r>
              <w:rPr>
                <w:rFonts w:hint="eastAsia"/>
                <w:sz w:val="24"/>
                <w:szCs w:val="24"/>
              </w:rPr>
              <w:t>废活性炭</w:t>
            </w:r>
          </w:p>
        </w:tc>
        <w:tc>
          <w:tcPr>
            <w:tcW w:w="617" w:type="pct"/>
            <w:vAlign w:val="center"/>
          </w:tcPr>
          <w:p w14:paraId="3D074D06">
            <w:pPr>
              <w:pStyle w:val="157"/>
              <w:spacing w:line="360" w:lineRule="auto"/>
              <w:rPr>
                <w:snapToGrid w:val="0"/>
                <w:kern w:val="21"/>
                <w:szCs w:val="24"/>
              </w:rPr>
            </w:pPr>
            <w:r>
              <w:rPr>
                <w:rFonts w:hint="eastAsia"/>
                <w:snapToGrid w:val="0"/>
                <w:kern w:val="21"/>
                <w:szCs w:val="24"/>
              </w:rPr>
              <w:t>0</w:t>
            </w:r>
          </w:p>
        </w:tc>
        <w:tc>
          <w:tcPr>
            <w:tcW w:w="462" w:type="pct"/>
            <w:vAlign w:val="center"/>
          </w:tcPr>
          <w:p w14:paraId="2A2F5A32">
            <w:pPr>
              <w:pStyle w:val="157"/>
              <w:spacing w:line="360" w:lineRule="auto"/>
              <w:rPr>
                <w:snapToGrid w:val="0"/>
                <w:kern w:val="21"/>
                <w:szCs w:val="24"/>
              </w:rPr>
            </w:pPr>
            <w:r>
              <w:rPr>
                <w:rFonts w:hint="eastAsia"/>
                <w:snapToGrid w:val="0"/>
                <w:kern w:val="21"/>
                <w:szCs w:val="24"/>
              </w:rPr>
              <w:t>0</w:t>
            </w:r>
          </w:p>
        </w:tc>
        <w:tc>
          <w:tcPr>
            <w:tcW w:w="617" w:type="pct"/>
            <w:vAlign w:val="center"/>
          </w:tcPr>
          <w:p w14:paraId="59EF86A2">
            <w:pPr>
              <w:pStyle w:val="157"/>
              <w:spacing w:line="360" w:lineRule="auto"/>
              <w:rPr>
                <w:snapToGrid w:val="0"/>
                <w:kern w:val="21"/>
                <w:szCs w:val="24"/>
              </w:rPr>
            </w:pPr>
            <w:r>
              <w:rPr>
                <w:rFonts w:hint="eastAsia"/>
                <w:snapToGrid w:val="0"/>
                <w:kern w:val="21"/>
                <w:szCs w:val="24"/>
              </w:rPr>
              <w:t>0</w:t>
            </w:r>
          </w:p>
        </w:tc>
        <w:tc>
          <w:tcPr>
            <w:tcW w:w="617" w:type="pct"/>
            <w:vAlign w:val="center"/>
          </w:tcPr>
          <w:p w14:paraId="0953EFE9">
            <w:pPr>
              <w:pStyle w:val="157"/>
              <w:spacing w:line="360" w:lineRule="auto"/>
              <w:rPr>
                <w:snapToGrid w:val="0"/>
                <w:kern w:val="21"/>
                <w:szCs w:val="24"/>
              </w:rPr>
            </w:pPr>
            <w:r>
              <w:rPr>
                <w:rFonts w:hint="eastAsia"/>
                <w:snapToGrid w:val="0"/>
                <w:kern w:val="21"/>
                <w:szCs w:val="24"/>
              </w:rPr>
              <w:t>1.184</w:t>
            </w:r>
            <w:r>
              <w:rPr>
                <w:rFonts w:hint="eastAsia"/>
                <w:szCs w:val="24"/>
              </w:rPr>
              <w:t>t/a</w:t>
            </w:r>
          </w:p>
        </w:tc>
        <w:tc>
          <w:tcPr>
            <w:tcW w:w="566" w:type="pct"/>
            <w:vAlign w:val="center"/>
          </w:tcPr>
          <w:p w14:paraId="5C3652EC">
            <w:pPr>
              <w:pStyle w:val="157"/>
              <w:spacing w:line="360" w:lineRule="auto"/>
              <w:rPr>
                <w:snapToGrid w:val="0"/>
                <w:kern w:val="21"/>
                <w:szCs w:val="24"/>
              </w:rPr>
            </w:pPr>
            <w:r>
              <w:rPr>
                <w:rFonts w:hint="eastAsia"/>
                <w:snapToGrid w:val="0"/>
                <w:kern w:val="21"/>
                <w:szCs w:val="24"/>
              </w:rPr>
              <w:t>/</w:t>
            </w:r>
          </w:p>
        </w:tc>
        <w:tc>
          <w:tcPr>
            <w:tcW w:w="617" w:type="pct"/>
            <w:vAlign w:val="center"/>
          </w:tcPr>
          <w:p w14:paraId="2BAF0728">
            <w:pPr>
              <w:pStyle w:val="157"/>
              <w:spacing w:line="360" w:lineRule="auto"/>
              <w:rPr>
                <w:snapToGrid w:val="0"/>
                <w:kern w:val="21"/>
                <w:szCs w:val="24"/>
              </w:rPr>
            </w:pPr>
            <w:r>
              <w:rPr>
                <w:rFonts w:hint="eastAsia"/>
                <w:snapToGrid w:val="0"/>
                <w:kern w:val="21"/>
                <w:szCs w:val="24"/>
              </w:rPr>
              <w:t>1.184</w:t>
            </w:r>
            <w:r>
              <w:rPr>
                <w:rFonts w:hint="eastAsia"/>
                <w:szCs w:val="24"/>
              </w:rPr>
              <w:t>t/a</w:t>
            </w:r>
          </w:p>
        </w:tc>
        <w:tc>
          <w:tcPr>
            <w:tcW w:w="517" w:type="pct"/>
            <w:vAlign w:val="center"/>
          </w:tcPr>
          <w:p w14:paraId="3C3AC9BE">
            <w:pPr>
              <w:pStyle w:val="157"/>
              <w:spacing w:line="360" w:lineRule="auto"/>
              <w:rPr>
                <w:snapToGrid w:val="0"/>
                <w:kern w:val="21"/>
                <w:szCs w:val="24"/>
              </w:rPr>
            </w:pPr>
            <w:r>
              <w:rPr>
                <w:rFonts w:hint="eastAsia"/>
                <w:snapToGrid w:val="0"/>
                <w:kern w:val="21"/>
                <w:szCs w:val="24"/>
              </w:rPr>
              <w:t>+1.184</w:t>
            </w:r>
            <w:r>
              <w:rPr>
                <w:rFonts w:hint="eastAsia"/>
                <w:szCs w:val="24"/>
              </w:rPr>
              <w:t>t/a</w:t>
            </w:r>
          </w:p>
        </w:tc>
      </w:tr>
    </w:tbl>
    <w:p w14:paraId="64603B9B">
      <w:pPr>
        <w:pStyle w:val="157"/>
        <w:spacing w:beforeLines="80" w:after="24"/>
        <w:jc w:val="left"/>
        <w:rPr>
          <w:rFonts w:ascii="宋体" w:hAnsi="宋体"/>
          <w:snapToGrid w:val="0"/>
          <w:spacing w:val="-6"/>
          <w:kern w:val="21"/>
        </w:rPr>
      </w:pPr>
      <w:r>
        <w:rPr>
          <w:rFonts w:ascii="宋体" w:hAnsi="宋体"/>
          <w:snapToGrid w:val="0"/>
          <w:kern w:val="21"/>
        </w:rPr>
        <w:t>注：</w:t>
      </w:r>
      <w:r>
        <w:rPr>
          <w:rFonts w:ascii="宋体" w:hAnsi="宋体"/>
          <w:snapToGrid w:val="0"/>
          <w:spacing w:val="-16"/>
          <w:kern w:val="21"/>
        </w:rPr>
        <w:fldChar w:fldCharType="begin"/>
      </w:r>
      <w:r>
        <w:rPr>
          <w:rFonts w:ascii="宋体" w:hAnsi="宋体"/>
          <w:snapToGrid w:val="0"/>
          <w:spacing w:val="-16"/>
          <w:kern w:val="21"/>
        </w:rPr>
        <w:instrText xml:space="preserve"> = 6 \* GB3 \* MERGEFORMAT </w:instrText>
      </w:r>
      <w:r>
        <w:rPr>
          <w:rFonts w:ascii="宋体" w:hAnsi="宋体"/>
          <w:snapToGrid w:val="0"/>
          <w:spacing w:val="-16"/>
          <w:kern w:val="21"/>
        </w:rPr>
        <w:fldChar w:fldCharType="separate"/>
      </w:r>
      <w:r>
        <w:rPr>
          <w:rFonts w:ascii="宋体" w:hAnsi="宋体"/>
        </w:rPr>
        <w:t>⑥</w:t>
      </w:r>
      <w:r>
        <w:rPr>
          <w:rFonts w:ascii="宋体" w:hAnsi="宋体"/>
          <w:snapToGrid w:val="0"/>
          <w:spacing w:val="-16"/>
          <w:kern w:val="21"/>
        </w:rPr>
        <w:fldChar w:fldCharType="end"/>
      </w:r>
      <w:r>
        <w:rPr>
          <w:rFonts w:ascii="宋体" w:hAnsi="宋体"/>
          <w:snapToGrid w:val="0"/>
          <w:spacing w:val="-16"/>
          <w:kern w:val="21"/>
        </w:rPr>
        <w:t>=</w:t>
      </w:r>
      <w:r>
        <w:rPr>
          <w:rFonts w:ascii="宋体" w:hAnsi="宋体"/>
          <w:snapToGrid w:val="0"/>
          <w:spacing w:val="-6"/>
          <w:kern w:val="21"/>
        </w:rPr>
        <w:fldChar w:fldCharType="begin"/>
      </w:r>
      <w:r>
        <w:rPr>
          <w:rFonts w:ascii="宋体" w:hAnsi="宋体"/>
          <w:snapToGrid w:val="0"/>
          <w:spacing w:val="-6"/>
          <w:kern w:val="21"/>
        </w:rPr>
        <w:instrText xml:space="preserve"> = 1 \* GB3 \* MERGEFORMAT </w:instrText>
      </w:r>
      <w:r>
        <w:rPr>
          <w:rFonts w:ascii="宋体" w:hAnsi="宋体"/>
          <w:snapToGrid w:val="0"/>
          <w:spacing w:val="-6"/>
          <w:kern w:val="21"/>
        </w:rPr>
        <w:fldChar w:fldCharType="separate"/>
      </w:r>
      <w:r>
        <w:rPr>
          <w:rFonts w:ascii="宋体" w:hAnsi="宋体"/>
        </w:rPr>
        <w:t>①</w:t>
      </w:r>
      <w:r>
        <w:rPr>
          <w:rFonts w:ascii="宋体" w:hAnsi="宋体"/>
          <w:snapToGrid w:val="0"/>
          <w:spacing w:val="-6"/>
          <w:kern w:val="21"/>
        </w:rPr>
        <w:fldChar w:fldCharType="end"/>
      </w:r>
      <w:r>
        <w:rPr>
          <w:rFonts w:ascii="宋体" w:hAnsi="宋体"/>
          <w:snapToGrid w:val="0"/>
          <w:spacing w:val="-6"/>
          <w:kern w:val="21"/>
        </w:rPr>
        <w:t>+</w:t>
      </w:r>
      <w:r>
        <w:rPr>
          <w:rFonts w:ascii="宋体" w:hAnsi="宋体"/>
          <w:snapToGrid w:val="0"/>
          <w:spacing w:val="-6"/>
          <w:kern w:val="21"/>
        </w:rPr>
        <w:fldChar w:fldCharType="begin"/>
      </w:r>
      <w:r>
        <w:rPr>
          <w:rFonts w:ascii="宋体" w:hAnsi="宋体"/>
          <w:snapToGrid w:val="0"/>
          <w:spacing w:val="-6"/>
          <w:kern w:val="21"/>
        </w:rPr>
        <w:instrText xml:space="preserve"> = 3 \* GB3 \* MERGEFORMAT </w:instrText>
      </w:r>
      <w:r>
        <w:rPr>
          <w:rFonts w:ascii="宋体" w:hAnsi="宋体"/>
          <w:snapToGrid w:val="0"/>
          <w:spacing w:val="-6"/>
          <w:kern w:val="21"/>
        </w:rPr>
        <w:fldChar w:fldCharType="separate"/>
      </w:r>
      <w:r>
        <w:rPr>
          <w:rFonts w:ascii="宋体" w:hAnsi="宋体"/>
        </w:rPr>
        <w:t>③</w:t>
      </w:r>
      <w:r>
        <w:rPr>
          <w:rFonts w:ascii="宋体" w:hAnsi="宋体"/>
          <w:snapToGrid w:val="0"/>
          <w:spacing w:val="-6"/>
          <w:kern w:val="21"/>
        </w:rPr>
        <w:fldChar w:fldCharType="end"/>
      </w:r>
      <w:r>
        <w:rPr>
          <w:rFonts w:ascii="宋体" w:hAnsi="宋体"/>
          <w:snapToGrid w:val="0"/>
          <w:spacing w:val="-6"/>
          <w:kern w:val="21"/>
        </w:rPr>
        <w:t>+</w:t>
      </w:r>
      <w:r>
        <w:rPr>
          <w:rFonts w:ascii="宋体" w:hAnsi="宋体"/>
          <w:snapToGrid w:val="0"/>
          <w:spacing w:val="-6"/>
          <w:kern w:val="21"/>
        </w:rPr>
        <w:fldChar w:fldCharType="begin"/>
      </w:r>
      <w:r>
        <w:rPr>
          <w:rFonts w:ascii="宋体" w:hAnsi="宋体"/>
          <w:snapToGrid w:val="0"/>
          <w:spacing w:val="-6"/>
          <w:kern w:val="21"/>
        </w:rPr>
        <w:instrText xml:space="preserve"> = 4 \* GB3 \* MERGEFORMAT </w:instrText>
      </w:r>
      <w:r>
        <w:rPr>
          <w:rFonts w:ascii="宋体" w:hAnsi="宋体"/>
          <w:snapToGrid w:val="0"/>
          <w:spacing w:val="-6"/>
          <w:kern w:val="21"/>
        </w:rPr>
        <w:fldChar w:fldCharType="separate"/>
      </w:r>
      <w:r>
        <w:rPr>
          <w:rFonts w:ascii="宋体" w:hAnsi="宋体"/>
        </w:rPr>
        <w:t>④</w:t>
      </w:r>
      <w:r>
        <w:rPr>
          <w:rFonts w:ascii="宋体" w:hAnsi="宋体"/>
          <w:snapToGrid w:val="0"/>
          <w:spacing w:val="-6"/>
          <w:kern w:val="21"/>
        </w:rPr>
        <w:fldChar w:fldCharType="end"/>
      </w:r>
      <w:r>
        <w:rPr>
          <w:rFonts w:ascii="宋体" w:hAnsi="宋体"/>
          <w:snapToGrid w:val="0"/>
          <w:spacing w:val="-6"/>
          <w:kern w:val="21"/>
        </w:rPr>
        <w:t>-</w:t>
      </w:r>
      <w:r>
        <w:rPr>
          <w:rFonts w:ascii="宋体" w:hAnsi="宋体"/>
          <w:snapToGrid w:val="0"/>
          <w:spacing w:val="-16"/>
          <w:kern w:val="21"/>
        </w:rPr>
        <w:fldChar w:fldCharType="begin"/>
      </w:r>
      <w:r>
        <w:rPr>
          <w:rFonts w:ascii="宋体" w:hAnsi="宋体"/>
          <w:snapToGrid w:val="0"/>
          <w:spacing w:val="-16"/>
          <w:kern w:val="21"/>
        </w:rPr>
        <w:instrText xml:space="preserve"> = 5 \* GB3 \* MERGEFORMAT </w:instrText>
      </w:r>
      <w:r>
        <w:rPr>
          <w:rFonts w:ascii="宋体" w:hAnsi="宋体"/>
          <w:snapToGrid w:val="0"/>
          <w:spacing w:val="-16"/>
          <w:kern w:val="21"/>
        </w:rPr>
        <w:fldChar w:fldCharType="separate"/>
      </w:r>
      <w:r>
        <w:rPr>
          <w:rFonts w:ascii="宋体" w:hAnsi="宋体"/>
        </w:rPr>
        <w:t>⑤</w:t>
      </w:r>
      <w:r>
        <w:rPr>
          <w:rFonts w:ascii="宋体" w:hAnsi="宋体"/>
          <w:snapToGrid w:val="0"/>
          <w:spacing w:val="-16"/>
          <w:kern w:val="21"/>
        </w:rPr>
        <w:fldChar w:fldCharType="end"/>
      </w:r>
      <w:r>
        <w:rPr>
          <w:rFonts w:ascii="宋体" w:hAnsi="宋体"/>
          <w:snapToGrid w:val="0"/>
          <w:spacing w:val="-16"/>
          <w:kern w:val="21"/>
        </w:rPr>
        <w:t>；</w:t>
      </w:r>
      <w:r>
        <w:rPr>
          <w:rFonts w:ascii="宋体" w:hAnsi="宋体"/>
          <w:snapToGrid w:val="0"/>
          <w:spacing w:val="-6"/>
          <w:kern w:val="21"/>
        </w:rPr>
        <w:fldChar w:fldCharType="begin"/>
      </w:r>
      <w:r>
        <w:rPr>
          <w:rFonts w:ascii="宋体" w:hAnsi="宋体"/>
          <w:snapToGrid w:val="0"/>
          <w:spacing w:val="-6"/>
          <w:kern w:val="21"/>
        </w:rPr>
        <w:instrText xml:space="preserve"> = 7 \* GB3 \* MERGEFORMAT </w:instrText>
      </w:r>
      <w:r>
        <w:rPr>
          <w:rFonts w:ascii="宋体" w:hAnsi="宋体"/>
          <w:snapToGrid w:val="0"/>
          <w:spacing w:val="-6"/>
          <w:kern w:val="21"/>
        </w:rPr>
        <w:fldChar w:fldCharType="separate"/>
      </w:r>
      <w:r>
        <w:rPr>
          <w:rFonts w:ascii="宋体" w:hAnsi="宋体"/>
        </w:rPr>
        <w:t>⑦</w:t>
      </w:r>
      <w:r>
        <w:rPr>
          <w:rFonts w:ascii="宋体" w:hAnsi="宋体"/>
          <w:snapToGrid w:val="0"/>
          <w:spacing w:val="-6"/>
          <w:kern w:val="21"/>
        </w:rPr>
        <w:fldChar w:fldCharType="end"/>
      </w:r>
      <w:r>
        <w:rPr>
          <w:rFonts w:ascii="宋体" w:hAnsi="宋体"/>
          <w:snapToGrid w:val="0"/>
          <w:spacing w:val="-6"/>
          <w:kern w:val="21"/>
        </w:rPr>
        <w:t>=</w:t>
      </w:r>
      <w:r>
        <w:rPr>
          <w:rFonts w:ascii="宋体" w:hAnsi="宋体"/>
          <w:snapToGrid w:val="0"/>
          <w:spacing w:val="-16"/>
          <w:kern w:val="21"/>
        </w:rPr>
        <w:fldChar w:fldCharType="begin"/>
      </w:r>
      <w:r>
        <w:rPr>
          <w:rFonts w:ascii="宋体" w:hAnsi="宋体"/>
          <w:snapToGrid w:val="0"/>
          <w:spacing w:val="-16"/>
          <w:kern w:val="21"/>
        </w:rPr>
        <w:instrText xml:space="preserve"> = 6 \* GB3 \* MERGEFORMAT </w:instrText>
      </w:r>
      <w:r>
        <w:rPr>
          <w:rFonts w:ascii="宋体" w:hAnsi="宋体"/>
          <w:snapToGrid w:val="0"/>
          <w:spacing w:val="-16"/>
          <w:kern w:val="21"/>
        </w:rPr>
        <w:fldChar w:fldCharType="separate"/>
      </w:r>
      <w:r>
        <w:rPr>
          <w:rFonts w:ascii="宋体" w:hAnsi="宋体"/>
        </w:rPr>
        <w:t>⑥</w:t>
      </w:r>
      <w:r>
        <w:rPr>
          <w:rFonts w:ascii="宋体" w:hAnsi="宋体"/>
          <w:snapToGrid w:val="0"/>
          <w:spacing w:val="-16"/>
          <w:kern w:val="21"/>
        </w:rPr>
        <w:fldChar w:fldCharType="end"/>
      </w:r>
      <w:r>
        <w:rPr>
          <w:rFonts w:ascii="宋体" w:hAnsi="宋体"/>
          <w:snapToGrid w:val="0"/>
          <w:spacing w:val="-16"/>
          <w:kern w:val="21"/>
        </w:rPr>
        <w:t>-</w:t>
      </w:r>
      <w:r>
        <w:rPr>
          <w:rFonts w:ascii="宋体" w:hAnsi="宋体"/>
          <w:snapToGrid w:val="0"/>
          <w:spacing w:val="-6"/>
          <w:kern w:val="21"/>
        </w:rPr>
        <w:fldChar w:fldCharType="begin"/>
      </w:r>
      <w:r>
        <w:rPr>
          <w:rFonts w:ascii="宋体" w:hAnsi="宋体"/>
          <w:snapToGrid w:val="0"/>
          <w:spacing w:val="-6"/>
          <w:kern w:val="21"/>
        </w:rPr>
        <w:instrText xml:space="preserve"> = 1 \* GB3 \* MERGEFORMAT </w:instrText>
      </w:r>
      <w:r>
        <w:rPr>
          <w:rFonts w:ascii="宋体" w:hAnsi="宋体"/>
          <w:snapToGrid w:val="0"/>
          <w:spacing w:val="-6"/>
          <w:kern w:val="21"/>
        </w:rPr>
        <w:fldChar w:fldCharType="separate"/>
      </w:r>
      <w:r>
        <w:rPr>
          <w:rFonts w:ascii="宋体" w:hAnsi="宋体"/>
        </w:rPr>
        <w:t>①</w:t>
      </w:r>
      <w:r>
        <w:rPr>
          <w:rFonts w:ascii="宋体" w:hAnsi="宋体"/>
          <w:snapToGrid w:val="0"/>
          <w:spacing w:val="-6"/>
          <w:kern w:val="21"/>
        </w:rPr>
        <w:fldChar w:fldCharType="end"/>
      </w:r>
    </w:p>
    <w:p w14:paraId="6855183B">
      <w:pPr>
        <w:pStyle w:val="108"/>
        <w:rPr>
          <w:color w:val="auto"/>
        </w:rPr>
      </w:pPr>
    </w:p>
    <w:sectPr>
      <w:pgSz w:w="16838" w:h="11906" w:orient="landscape"/>
      <w:pgMar w:top="1508" w:right="1440" w:bottom="1797"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Noto Sans CJK JP Regular">
    <w:altName w:val="Segoe Print"/>
    <w:panose1 w:val="00000000000000000000"/>
    <w:charset w:val="00"/>
    <w:family w:val="swiss"/>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Roboto">
    <w:altName w:val="Segoe Print"/>
    <w:panose1 w:val="00000000000000000000"/>
    <w:charset w:val="00"/>
    <w:family w:val="auto"/>
    <w:pitch w:val="default"/>
    <w:sig w:usb0="00000000" w:usb1="00000000" w:usb2="00000021" w:usb3="00000000" w:csb0="0000019F" w:csb1="00000000"/>
  </w:font>
  <w:font w:name="仿宋">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E6115">
    <w:pPr>
      <w:pStyle w:val="18"/>
      <w:framePr w:wrap="around" w:vAnchor="text" w:hAnchor="margin" w:xAlign="center" w:y="1"/>
      <w:rPr>
        <w:rStyle w:val="39"/>
      </w:rPr>
    </w:pPr>
    <w:r>
      <w:fldChar w:fldCharType="begin"/>
    </w:r>
    <w:r>
      <w:rPr>
        <w:rStyle w:val="39"/>
      </w:rPr>
      <w:instrText xml:space="preserve">PAGE  </w:instrText>
    </w:r>
    <w:r>
      <w:fldChar w:fldCharType="separate"/>
    </w:r>
    <w:r>
      <w:rPr>
        <w:rStyle w:val="39"/>
      </w:rPr>
      <w:t>49</w:t>
    </w:r>
    <w:r>
      <w:fldChar w:fldCharType="end"/>
    </w:r>
  </w:p>
  <w:p w14:paraId="1FB51EC6">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E6105">
    <w:pPr>
      <w:pStyle w:val="18"/>
      <w:framePr w:wrap="around" w:vAnchor="text" w:hAnchor="margin" w:xAlign="center" w:y="1"/>
      <w:rPr>
        <w:rStyle w:val="39"/>
      </w:rPr>
    </w:pPr>
    <w:r>
      <w:fldChar w:fldCharType="begin"/>
    </w:r>
    <w:r>
      <w:rPr>
        <w:rStyle w:val="39"/>
      </w:rPr>
      <w:instrText xml:space="preserve">PAGE  </w:instrText>
    </w:r>
    <w:r>
      <w:fldChar w:fldCharType="end"/>
    </w:r>
  </w:p>
  <w:p w14:paraId="5F19BB0E">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88F4A">
    <w:pPr>
      <w:pStyle w:val="18"/>
      <w:framePr w:wrap="around" w:vAnchor="text" w:hAnchor="margin" w:xAlign="center" w:y="1"/>
      <w:rPr>
        <w:rStyle w:val="39"/>
      </w:rPr>
    </w:pPr>
    <w:r>
      <w:fldChar w:fldCharType="begin"/>
    </w:r>
    <w:r>
      <w:rPr>
        <w:rStyle w:val="39"/>
      </w:rPr>
      <w:instrText xml:space="preserve">PAGE  </w:instrText>
    </w:r>
    <w:r>
      <w:fldChar w:fldCharType="separate"/>
    </w:r>
    <w:r>
      <w:rPr>
        <w:rStyle w:val="39"/>
      </w:rPr>
      <w:t>75</w:t>
    </w:r>
    <w:r>
      <w:fldChar w:fldCharType="end"/>
    </w:r>
  </w:p>
  <w:p w14:paraId="245C9260">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FDAFD">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D028A">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writeProtection w:cryptProviderType="rsaFull" w:cryptAlgorithmClass="hash" w:cryptAlgorithmType="typeAny" w:cryptAlgorithmSid="4" w:cryptSpinCount="100000" w:hash="xv2IFu/BD2dTDblJg5nIdEdj+BA=" w:salt="zIM9cpNocY5nYqwEL6+RYw=="/>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VmYzA4NWFmNDgxM2U0OWYwYzQ5NzM5N2NiZTlkY2MifQ=="/>
  </w:docVars>
  <w:rsids>
    <w:rsidRoot w:val="00172A27"/>
    <w:rsid w:val="000000B2"/>
    <w:rsid w:val="0000014A"/>
    <w:rsid w:val="000001A2"/>
    <w:rsid w:val="000006FA"/>
    <w:rsid w:val="00000C8C"/>
    <w:rsid w:val="0000123C"/>
    <w:rsid w:val="0000155B"/>
    <w:rsid w:val="0000178D"/>
    <w:rsid w:val="00002819"/>
    <w:rsid w:val="00002A2C"/>
    <w:rsid w:val="00002FD9"/>
    <w:rsid w:val="000036E2"/>
    <w:rsid w:val="00003B93"/>
    <w:rsid w:val="00003C73"/>
    <w:rsid w:val="00004006"/>
    <w:rsid w:val="000040C9"/>
    <w:rsid w:val="0000422E"/>
    <w:rsid w:val="0000432C"/>
    <w:rsid w:val="00004358"/>
    <w:rsid w:val="000048F6"/>
    <w:rsid w:val="00005108"/>
    <w:rsid w:val="000052E4"/>
    <w:rsid w:val="00005969"/>
    <w:rsid w:val="00005A49"/>
    <w:rsid w:val="00005AEB"/>
    <w:rsid w:val="00005B40"/>
    <w:rsid w:val="00005D16"/>
    <w:rsid w:val="00005D34"/>
    <w:rsid w:val="000064DC"/>
    <w:rsid w:val="0000663E"/>
    <w:rsid w:val="0000668A"/>
    <w:rsid w:val="0000671C"/>
    <w:rsid w:val="000069BD"/>
    <w:rsid w:val="00006E32"/>
    <w:rsid w:val="00007486"/>
    <w:rsid w:val="000074DD"/>
    <w:rsid w:val="0000772B"/>
    <w:rsid w:val="00007B68"/>
    <w:rsid w:val="00010091"/>
    <w:rsid w:val="000103BF"/>
    <w:rsid w:val="000104DF"/>
    <w:rsid w:val="00010849"/>
    <w:rsid w:val="00010B22"/>
    <w:rsid w:val="00010CEC"/>
    <w:rsid w:val="000125FE"/>
    <w:rsid w:val="0001284C"/>
    <w:rsid w:val="000128F1"/>
    <w:rsid w:val="00012C02"/>
    <w:rsid w:val="0001325C"/>
    <w:rsid w:val="000132F3"/>
    <w:rsid w:val="000133FD"/>
    <w:rsid w:val="00013965"/>
    <w:rsid w:val="000140B6"/>
    <w:rsid w:val="0001437E"/>
    <w:rsid w:val="00014CAA"/>
    <w:rsid w:val="00014DE5"/>
    <w:rsid w:val="000155A6"/>
    <w:rsid w:val="000156CF"/>
    <w:rsid w:val="0001635E"/>
    <w:rsid w:val="0001671D"/>
    <w:rsid w:val="00016ABE"/>
    <w:rsid w:val="0001715C"/>
    <w:rsid w:val="000176F7"/>
    <w:rsid w:val="000179E8"/>
    <w:rsid w:val="00017AE1"/>
    <w:rsid w:val="00017D3E"/>
    <w:rsid w:val="00017FE2"/>
    <w:rsid w:val="0002029C"/>
    <w:rsid w:val="0002049C"/>
    <w:rsid w:val="0002059A"/>
    <w:rsid w:val="000206FF"/>
    <w:rsid w:val="00020765"/>
    <w:rsid w:val="0002086E"/>
    <w:rsid w:val="00020C39"/>
    <w:rsid w:val="00021337"/>
    <w:rsid w:val="0002160A"/>
    <w:rsid w:val="000219D0"/>
    <w:rsid w:val="00021B32"/>
    <w:rsid w:val="00021EAC"/>
    <w:rsid w:val="000221F3"/>
    <w:rsid w:val="000222B3"/>
    <w:rsid w:val="0002249D"/>
    <w:rsid w:val="00022C07"/>
    <w:rsid w:val="000246DE"/>
    <w:rsid w:val="00024B24"/>
    <w:rsid w:val="00024B74"/>
    <w:rsid w:val="00024BC6"/>
    <w:rsid w:val="00024C59"/>
    <w:rsid w:val="000251D7"/>
    <w:rsid w:val="00026135"/>
    <w:rsid w:val="0002663C"/>
    <w:rsid w:val="000272CE"/>
    <w:rsid w:val="00027A38"/>
    <w:rsid w:val="00027AE3"/>
    <w:rsid w:val="00027BB7"/>
    <w:rsid w:val="00030274"/>
    <w:rsid w:val="00030639"/>
    <w:rsid w:val="000307D9"/>
    <w:rsid w:val="0003091E"/>
    <w:rsid w:val="00030B9D"/>
    <w:rsid w:val="00031109"/>
    <w:rsid w:val="00031894"/>
    <w:rsid w:val="00031DBA"/>
    <w:rsid w:val="0003206F"/>
    <w:rsid w:val="000320E9"/>
    <w:rsid w:val="00032837"/>
    <w:rsid w:val="0003294F"/>
    <w:rsid w:val="00032CC4"/>
    <w:rsid w:val="000339AA"/>
    <w:rsid w:val="000340A3"/>
    <w:rsid w:val="000345D9"/>
    <w:rsid w:val="00034607"/>
    <w:rsid w:val="00034B87"/>
    <w:rsid w:val="00034C8C"/>
    <w:rsid w:val="00034DE7"/>
    <w:rsid w:val="0003556C"/>
    <w:rsid w:val="000357DC"/>
    <w:rsid w:val="00036243"/>
    <w:rsid w:val="00036388"/>
    <w:rsid w:val="00036D32"/>
    <w:rsid w:val="00036E02"/>
    <w:rsid w:val="00036F56"/>
    <w:rsid w:val="00037079"/>
    <w:rsid w:val="00037F2F"/>
    <w:rsid w:val="00040093"/>
    <w:rsid w:val="00040D9D"/>
    <w:rsid w:val="00041749"/>
    <w:rsid w:val="00042137"/>
    <w:rsid w:val="000422FE"/>
    <w:rsid w:val="00042770"/>
    <w:rsid w:val="00042921"/>
    <w:rsid w:val="00042C9E"/>
    <w:rsid w:val="000436DA"/>
    <w:rsid w:val="00043834"/>
    <w:rsid w:val="00043C03"/>
    <w:rsid w:val="00044114"/>
    <w:rsid w:val="000444D0"/>
    <w:rsid w:val="00044ED9"/>
    <w:rsid w:val="00044FA3"/>
    <w:rsid w:val="00045933"/>
    <w:rsid w:val="00045B6C"/>
    <w:rsid w:val="00045DBB"/>
    <w:rsid w:val="000462B1"/>
    <w:rsid w:val="000476A5"/>
    <w:rsid w:val="000477E5"/>
    <w:rsid w:val="000502C1"/>
    <w:rsid w:val="000505C7"/>
    <w:rsid w:val="000506EE"/>
    <w:rsid w:val="000507C4"/>
    <w:rsid w:val="000509CF"/>
    <w:rsid w:val="00051348"/>
    <w:rsid w:val="000514E0"/>
    <w:rsid w:val="000519D2"/>
    <w:rsid w:val="00051B6C"/>
    <w:rsid w:val="00051C64"/>
    <w:rsid w:val="00051CBA"/>
    <w:rsid w:val="00051E84"/>
    <w:rsid w:val="00051F5F"/>
    <w:rsid w:val="00051F62"/>
    <w:rsid w:val="00052263"/>
    <w:rsid w:val="00052DD1"/>
    <w:rsid w:val="0005339A"/>
    <w:rsid w:val="000533B6"/>
    <w:rsid w:val="0005349C"/>
    <w:rsid w:val="00053E01"/>
    <w:rsid w:val="000544FF"/>
    <w:rsid w:val="0005482A"/>
    <w:rsid w:val="00054CCF"/>
    <w:rsid w:val="00054D14"/>
    <w:rsid w:val="00055093"/>
    <w:rsid w:val="00055126"/>
    <w:rsid w:val="00055431"/>
    <w:rsid w:val="00055951"/>
    <w:rsid w:val="00055DDB"/>
    <w:rsid w:val="00055DEF"/>
    <w:rsid w:val="00055F86"/>
    <w:rsid w:val="000563BE"/>
    <w:rsid w:val="00056404"/>
    <w:rsid w:val="0005649A"/>
    <w:rsid w:val="00056510"/>
    <w:rsid w:val="00056576"/>
    <w:rsid w:val="000565B5"/>
    <w:rsid w:val="000565BA"/>
    <w:rsid w:val="00056C5B"/>
    <w:rsid w:val="000570EC"/>
    <w:rsid w:val="00057133"/>
    <w:rsid w:val="0006006B"/>
    <w:rsid w:val="000600F0"/>
    <w:rsid w:val="0006041B"/>
    <w:rsid w:val="00060454"/>
    <w:rsid w:val="0006062F"/>
    <w:rsid w:val="00060B39"/>
    <w:rsid w:val="00060B62"/>
    <w:rsid w:val="0006119D"/>
    <w:rsid w:val="00061221"/>
    <w:rsid w:val="00061352"/>
    <w:rsid w:val="00061354"/>
    <w:rsid w:val="00061A5E"/>
    <w:rsid w:val="00061B5E"/>
    <w:rsid w:val="000620F5"/>
    <w:rsid w:val="0006247C"/>
    <w:rsid w:val="00062572"/>
    <w:rsid w:val="00062CCC"/>
    <w:rsid w:val="00062DE6"/>
    <w:rsid w:val="00062EA9"/>
    <w:rsid w:val="00062EDE"/>
    <w:rsid w:val="00062F52"/>
    <w:rsid w:val="00063020"/>
    <w:rsid w:val="00063099"/>
    <w:rsid w:val="0006412C"/>
    <w:rsid w:val="00064408"/>
    <w:rsid w:val="000646BC"/>
    <w:rsid w:val="00064846"/>
    <w:rsid w:val="00064ED2"/>
    <w:rsid w:val="000651F2"/>
    <w:rsid w:val="000655EF"/>
    <w:rsid w:val="00066579"/>
    <w:rsid w:val="00066E6A"/>
    <w:rsid w:val="00066FE1"/>
    <w:rsid w:val="0006735D"/>
    <w:rsid w:val="000676D1"/>
    <w:rsid w:val="00067A3D"/>
    <w:rsid w:val="000702A0"/>
    <w:rsid w:val="000702F9"/>
    <w:rsid w:val="00070549"/>
    <w:rsid w:val="00070799"/>
    <w:rsid w:val="000707EE"/>
    <w:rsid w:val="00070B20"/>
    <w:rsid w:val="00070D86"/>
    <w:rsid w:val="00070EBC"/>
    <w:rsid w:val="00071623"/>
    <w:rsid w:val="000716DD"/>
    <w:rsid w:val="00071B1A"/>
    <w:rsid w:val="00071BD6"/>
    <w:rsid w:val="00071D75"/>
    <w:rsid w:val="00071FB5"/>
    <w:rsid w:val="00072F13"/>
    <w:rsid w:val="00073449"/>
    <w:rsid w:val="00073FB4"/>
    <w:rsid w:val="0007492E"/>
    <w:rsid w:val="00074984"/>
    <w:rsid w:val="00074B89"/>
    <w:rsid w:val="00074FC3"/>
    <w:rsid w:val="000757A1"/>
    <w:rsid w:val="00075920"/>
    <w:rsid w:val="00075ADF"/>
    <w:rsid w:val="00075BAF"/>
    <w:rsid w:val="000761B1"/>
    <w:rsid w:val="00076210"/>
    <w:rsid w:val="000766E3"/>
    <w:rsid w:val="00076899"/>
    <w:rsid w:val="00076C1C"/>
    <w:rsid w:val="00076E77"/>
    <w:rsid w:val="0007706B"/>
    <w:rsid w:val="00077431"/>
    <w:rsid w:val="0007746F"/>
    <w:rsid w:val="00077E8F"/>
    <w:rsid w:val="0008006B"/>
    <w:rsid w:val="000802F9"/>
    <w:rsid w:val="0008041A"/>
    <w:rsid w:val="0008055B"/>
    <w:rsid w:val="000808A3"/>
    <w:rsid w:val="00080B8F"/>
    <w:rsid w:val="00080CE4"/>
    <w:rsid w:val="00080EC9"/>
    <w:rsid w:val="00081313"/>
    <w:rsid w:val="0008143F"/>
    <w:rsid w:val="00081495"/>
    <w:rsid w:val="00081B25"/>
    <w:rsid w:val="00081C18"/>
    <w:rsid w:val="000822DD"/>
    <w:rsid w:val="0008233E"/>
    <w:rsid w:val="00082508"/>
    <w:rsid w:val="00082C04"/>
    <w:rsid w:val="00082C68"/>
    <w:rsid w:val="00084201"/>
    <w:rsid w:val="00084B5C"/>
    <w:rsid w:val="00084DED"/>
    <w:rsid w:val="00084E37"/>
    <w:rsid w:val="000852BA"/>
    <w:rsid w:val="00085382"/>
    <w:rsid w:val="00085D37"/>
    <w:rsid w:val="000869FB"/>
    <w:rsid w:val="00086AAC"/>
    <w:rsid w:val="00086DDE"/>
    <w:rsid w:val="00087096"/>
    <w:rsid w:val="000870CA"/>
    <w:rsid w:val="00087216"/>
    <w:rsid w:val="00087E1C"/>
    <w:rsid w:val="00090016"/>
    <w:rsid w:val="00090A6D"/>
    <w:rsid w:val="00090A8B"/>
    <w:rsid w:val="00090AB8"/>
    <w:rsid w:val="000910C3"/>
    <w:rsid w:val="000916CF"/>
    <w:rsid w:val="00091A79"/>
    <w:rsid w:val="00091CA8"/>
    <w:rsid w:val="00091CA9"/>
    <w:rsid w:val="00092398"/>
    <w:rsid w:val="00092664"/>
    <w:rsid w:val="000928BF"/>
    <w:rsid w:val="000932EB"/>
    <w:rsid w:val="00093C81"/>
    <w:rsid w:val="0009402F"/>
    <w:rsid w:val="000947EA"/>
    <w:rsid w:val="00094BC7"/>
    <w:rsid w:val="00094E32"/>
    <w:rsid w:val="00094F26"/>
    <w:rsid w:val="00095372"/>
    <w:rsid w:val="000956BC"/>
    <w:rsid w:val="00095712"/>
    <w:rsid w:val="00095C6E"/>
    <w:rsid w:val="00096672"/>
    <w:rsid w:val="000969AE"/>
    <w:rsid w:val="000970A7"/>
    <w:rsid w:val="0009799B"/>
    <w:rsid w:val="00097ED6"/>
    <w:rsid w:val="000A0339"/>
    <w:rsid w:val="000A092E"/>
    <w:rsid w:val="000A09E2"/>
    <w:rsid w:val="000A0D54"/>
    <w:rsid w:val="000A0E0C"/>
    <w:rsid w:val="000A0FE0"/>
    <w:rsid w:val="000A10AD"/>
    <w:rsid w:val="000A122F"/>
    <w:rsid w:val="000A1B6A"/>
    <w:rsid w:val="000A209C"/>
    <w:rsid w:val="000A20F3"/>
    <w:rsid w:val="000A22AB"/>
    <w:rsid w:val="000A26D6"/>
    <w:rsid w:val="000A29BD"/>
    <w:rsid w:val="000A2D48"/>
    <w:rsid w:val="000A390B"/>
    <w:rsid w:val="000A3B01"/>
    <w:rsid w:val="000A3BC6"/>
    <w:rsid w:val="000A4049"/>
    <w:rsid w:val="000A42A8"/>
    <w:rsid w:val="000A431F"/>
    <w:rsid w:val="000A4424"/>
    <w:rsid w:val="000A47F7"/>
    <w:rsid w:val="000A4AD4"/>
    <w:rsid w:val="000A4BF9"/>
    <w:rsid w:val="000A4DE3"/>
    <w:rsid w:val="000A50CD"/>
    <w:rsid w:val="000A5650"/>
    <w:rsid w:val="000A5A80"/>
    <w:rsid w:val="000A60AD"/>
    <w:rsid w:val="000A6EED"/>
    <w:rsid w:val="000A7AFA"/>
    <w:rsid w:val="000A7BA7"/>
    <w:rsid w:val="000B0121"/>
    <w:rsid w:val="000B14FD"/>
    <w:rsid w:val="000B18FA"/>
    <w:rsid w:val="000B19D2"/>
    <w:rsid w:val="000B1C91"/>
    <w:rsid w:val="000B1E3E"/>
    <w:rsid w:val="000B2EEE"/>
    <w:rsid w:val="000B359F"/>
    <w:rsid w:val="000B3B72"/>
    <w:rsid w:val="000B3CD9"/>
    <w:rsid w:val="000B3D9C"/>
    <w:rsid w:val="000B3DE8"/>
    <w:rsid w:val="000B3F73"/>
    <w:rsid w:val="000B40B6"/>
    <w:rsid w:val="000B41AC"/>
    <w:rsid w:val="000B41B5"/>
    <w:rsid w:val="000B4534"/>
    <w:rsid w:val="000B480D"/>
    <w:rsid w:val="000B4FBB"/>
    <w:rsid w:val="000B55F7"/>
    <w:rsid w:val="000B59C2"/>
    <w:rsid w:val="000B5A09"/>
    <w:rsid w:val="000B5B8C"/>
    <w:rsid w:val="000B608C"/>
    <w:rsid w:val="000B6664"/>
    <w:rsid w:val="000B7320"/>
    <w:rsid w:val="000B748B"/>
    <w:rsid w:val="000B767A"/>
    <w:rsid w:val="000B77E2"/>
    <w:rsid w:val="000B78D0"/>
    <w:rsid w:val="000B7D18"/>
    <w:rsid w:val="000B7D99"/>
    <w:rsid w:val="000B7EB5"/>
    <w:rsid w:val="000B7F09"/>
    <w:rsid w:val="000C0261"/>
    <w:rsid w:val="000C0495"/>
    <w:rsid w:val="000C061D"/>
    <w:rsid w:val="000C0807"/>
    <w:rsid w:val="000C0D4F"/>
    <w:rsid w:val="000C0FCC"/>
    <w:rsid w:val="000C11A7"/>
    <w:rsid w:val="000C1369"/>
    <w:rsid w:val="000C1438"/>
    <w:rsid w:val="000C15E3"/>
    <w:rsid w:val="000C16C1"/>
    <w:rsid w:val="000C197C"/>
    <w:rsid w:val="000C1C58"/>
    <w:rsid w:val="000C2BB8"/>
    <w:rsid w:val="000C30C1"/>
    <w:rsid w:val="000C3408"/>
    <w:rsid w:val="000C35D7"/>
    <w:rsid w:val="000C3982"/>
    <w:rsid w:val="000C3DD7"/>
    <w:rsid w:val="000C3EDD"/>
    <w:rsid w:val="000C435B"/>
    <w:rsid w:val="000C4413"/>
    <w:rsid w:val="000C4524"/>
    <w:rsid w:val="000C4933"/>
    <w:rsid w:val="000C4D27"/>
    <w:rsid w:val="000C5044"/>
    <w:rsid w:val="000C51CD"/>
    <w:rsid w:val="000C5288"/>
    <w:rsid w:val="000C52B3"/>
    <w:rsid w:val="000C54D3"/>
    <w:rsid w:val="000C57CB"/>
    <w:rsid w:val="000C5830"/>
    <w:rsid w:val="000C5944"/>
    <w:rsid w:val="000C5E70"/>
    <w:rsid w:val="000C60A8"/>
    <w:rsid w:val="000C6145"/>
    <w:rsid w:val="000C61C2"/>
    <w:rsid w:val="000C63A6"/>
    <w:rsid w:val="000C651C"/>
    <w:rsid w:val="000C67E4"/>
    <w:rsid w:val="000C6C3A"/>
    <w:rsid w:val="000C7974"/>
    <w:rsid w:val="000C79C7"/>
    <w:rsid w:val="000C79D0"/>
    <w:rsid w:val="000C7B55"/>
    <w:rsid w:val="000D04F5"/>
    <w:rsid w:val="000D08D4"/>
    <w:rsid w:val="000D0AA5"/>
    <w:rsid w:val="000D0B03"/>
    <w:rsid w:val="000D0EA8"/>
    <w:rsid w:val="000D0F65"/>
    <w:rsid w:val="000D11C0"/>
    <w:rsid w:val="000D1264"/>
    <w:rsid w:val="000D1632"/>
    <w:rsid w:val="000D1A7A"/>
    <w:rsid w:val="000D1BE4"/>
    <w:rsid w:val="000D1CB4"/>
    <w:rsid w:val="000D1D8D"/>
    <w:rsid w:val="000D1FCD"/>
    <w:rsid w:val="000D2465"/>
    <w:rsid w:val="000D2CC5"/>
    <w:rsid w:val="000D2D1A"/>
    <w:rsid w:val="000D3022"/>
    <w:rsid w:val="000D315C"/>
    <w:rsid w:val="000D3C37"/>
    <w:rsid w:val="000D422D"/>
    <w:rsid w:val="000D47D4"/>
    <w:rsid w:val="000D4FB0"/>
    <w:rsid w:val="000D5167"/>
    <w:rsid w:val="000D54F1"/>
    <w:rsid w:val="000D56B8"/>
    <w:rsid w:val="000D583F"/>
    <w:rsid w:val="000D5AD9"/>
    <w:rsid w:val="000D5CC7"/>
    <w:rsid w:val="000D6284"/>
    <w:rsid w:val="000D6352"/>
    <w:rsid w:val="000D6700"/>
    <w:rsid w:val="000D67FB"/>
    <w:rsid w:val="000D6CB6"/>
    <w:rsid w:val="000D7009"/>
    <w:rsid w:val="000D701F"/>
    <w:rsid w:val="000D7380"/>
    <w:rsid w:val="000D75AD"/>
    <w:rsid w:val="000D75C2"/>
    <w:rsid w:val="000D777E"/>
    <w:rsid w:val="000D7E8A"/>
    <w:rsid w:val="000E0128"/>
    <w:rsid w:val="000E04ED"/>
    <w:rsid w:val="000E0B11"/>
    <w:rsid w:val="000E0EB5"/>
    <w:rsid w:val="000E1492"/>
    <w:rsid w:val="000E1831"/>
    <w:rsid w:val="000E2122"/>
    <w:rsid w:val="000E23E7"/>
    <w:rsid w:val="000E24A8"/>
    <w:rsid w:val="000E3351"/>
    <w:rsid w:val="000E34EB"/>
    <w:rsid w:val="000E352C"/>
    <w:rsid w:val="000E359B"/>
    <w:rsid w:val="000E3732"/>
    <w:rsid w:val="000E3FD9"/>
    <w:rsid w:val="000E4103"/>
    <w:rsid w:val="000E4134"/>
    <w:rsid w:val="000E4470"/>
    <w:rsid w:val="000E456B"/>
    <w:rsid w:val="000E4B32"/>
    <w:rsid w:val="000E4F61"/>
    <w:rsid w:val="000E530D"/>
    <w:rsid w:val="000E5472"/>
    <w:rsid w:val="000E5949"/>
    <w:rsid w:val="000E5F1E"/>
    <w:rsid w:val="000E63A8"/>
    <w:rsid w:val="000E65D2"/>
    <w:rsid w:val="000E6E08"/>
    <w:rsid w:val="000E7128"/>
    <w:rsid w:val="000E7346"/>
    <w:rsid w:val="000E79CB"/>
    <w:rsid w:val="000E7C5C"/>
    <w:rsid w:val="000F0055"/>
    <w:rsid w:val="000F0A32"/>
    <w:rsid w:val="000F0C68"/>
    <w:rsid w:val="000F142B"/>
    <w:rsid w:val="000F162F"/>
    <w:rsid w:val="000F1D17"/>
    <w:rsid w:val="000F2504"/>
    <w:rsid w:val="000F25A0"/>
    <w:rsid w:val="000F288B"/>
    <w:rsid w:val="000F2EB2"/>
    <w:rsid w:val="000F3083"/>
    <w:rsid w:val="000F3206"/>
    <w:rsid w:val="000F32ED"/>
    <w:rsid w:val="000F336F"/>
    <w:rsid w:val="000F396C"/>
    <w:rsid w:val="000F3B90"/>
    <w:rsid w:val="000F4155"/>
    <w:rsid w:val="000F4519"/>
    <w:rsid w:val="000F47AB"/>
    <w:rsid w:val="000F5068"/>
    <w:rsid w:val="000F5090"/>
    <w:rsid w:val="000F56E9"/>
    <w:rsid w:val="000F595A"/>
    <w:rsid w:val="000F5F49"/>
    <w:rsid w:val="000F6FD9"/>
    <w:rsid w:val="000F7949"/>
    <w:rsid w:val="000F7CD1"/>
    <w:rsid w:val="000F7CEB"/>
    <w:rsid w:val="001002BE"/>
    <w:rsid w:val="0010074C"/>
    <w:rsid w:val="001009C2"/>
    <w:rsid w:val="00100D92"/>
    <w:rsid w:val="0010116C"/>
    <w:rsid w:val="001012DC"/>
    <w:rsid w:val="00101543"/>
    <w:rsid w:val="00101915"/>
    <w:rsid w:val="00101FAB"/>
    <w:rsid w:val="00102BFC"/>
    <w:rsid w:val="00102E11"/>
    <w:rsid w:val="00102EE6"/>
    <w:rsid w:val="00102FE4"/>
    <w:rsid w:val="001031E9"/>
    <w:rsid w:val="00103505"/>
    <w:rsid w:val="0010375E"/>
    <w:rsid w:val="001041CA"/>
    <w:rsid w:val="00104D14"/>
    <w:rsid w:val="00105963"/>
    <w:rsid w:val="00105B7C"/>
    <w:rsid w:val="00105E23"/>
    <w:rsid w:val="00105E97"/>
    <w:rsid w:val="0010655E"/>
    <w:rsid w:val="001066C3"/>
    <w:rsid w:val="00106960"/>
    <w:rsid w:val="00106A04"/>
    <w:rsid w:val="00106A8B"/>
    <w:rsid w:val="00106C0C"/>
    <w:rsid w:val="00107063"/>
    <w:rsid w:val="00107A7B"/>
    <w:rsid w:val="00107D36"/>
    <w:rsid w:val="00107EC0"/>
    <w:rsid w:val="00110726"/>
    <w:rsid w:val="00110978"/>
    <w:rsid w:val="00110D5C"/>
    <w:rsid w:val="001113FF"/>
    <w:rsid w:val="00111909"/>
    <w:rsid w:val="00111B56"/>
    <w:rsid w:val="00111B67"/>
    <w:rsid w:val="00111F84"/>
    <w:rsid w:val="0011205E"/>
    <w:rsid w:val="001124BA"/>
    <w:rsid w:val="00112623"/>
    <w:rsid w:val="001126D7"/>
    <w:rsid w:val="00112706"/>
    <w:rsid w:val="00112DE2"/>
    <w:rsid w:val="00112E3B"/>
    <w:rsid w:val="00112E6F"/>
    <w:rsid w:val="001134A8"/>
    <w:rsid w:val="001134ED"/>
    <w:rsid w:val="001135DE"/>
    <w:rsid w:val="00113729"/>
    <w:rsid w:val="00113926"/>
    <w:rsid w:val="00113C0F"/>
    <w:rsid w:val="00113DD7"/>
    <w:rsid w:val="001144BA"/>
    <w:rsid w:val="00114D82"/>
    <w:rsid w:val="00114E14"/>
    <w:rsid w:val="00115689"/>
    <w:rsid w:val="001157EE"/>
    <w:rsid w:val="00115A50"/>
    <w:rsid w:val="00115B9C"/>
    <w:rsid w:val="00115D70"/>
    <w:rsid w:val="00115E80"/>
    <w:rsid w:val="0011612D"/>
    <w:rsid w:val="0011658D"/>
    <w:rsid w:val="0011679A"/>
    <w:rsid w:val="0011699C"/>
    <w:rsid w:val="001169B2"/>
    <w:rsid w:val="00116D16"/>
    <w:rsid w:val="00116EE7"/>
    <w:rsid w:val="0011740D"/>
    <w:rsid w:val="00117E11"/>
    <w:rsid w:val="001206C6"/>
    <w:rsid w:val="00120A10"/>
    <w:rsid w:val="00120F55"/>
    <w:rsid w:val="00120F98"/>
    <w:rsid w:val="001210D2"/>
    <w:rsid w:val="00121236"/>
    <w:rsid w:val="001217B2"/>
    <w:rsid w:val="00121E30"/>
    <w:rsid w:val="001224C1"/>
    <w:rsid w:val="00122701"/>
    <w:rsid w:val="0012351D"/>
    <w:rsid w:val="00123601"/>
    <w:rsid w:val="00123CD4"/>
    <w:rsid w:val="001243EE"/>
    <w:rsid w:val="001244EB"/>
    <w:rsid w:val="00124509"/>
    <w:rsid w:val="0012468D"/>
    <w:rsid w:val="001246CE"/>
    <w:rsid w:val="00124D49"/>
    <w:rsid w:val="00124F20"/>
    <w:rsid w:val="001250E6"/>
    <w:rsid w:val="001253C0"/>
    <w:rsid w:val="001257CB"/>
    <w:rsid w:val="00125DE4"/>
    <w:rsid w:val="001265B7"/>
    <w:rsid w:val="0012661F"/>
    <w:rsid w:val="00126AD0"/>
    <w:rsid w:val="00126CF7"/>
    <w:rsid w:val="0012790F"/>
    <w:rsid w:val="00127964"/>
    <w:rsid w:val="00127A88"/>
    <w:rsid w:val="0013013A"/>
    <w:rsid w:val="00130177"/>
    <w:rsid w:val="00131380"/>
    <w:rsid w:val="00131409"/>
    <w:rsid w:val="0013143D"/>
    <w:rsid w:val="001315C5"/>
    <w:rsid w:val="001318BD"/>
    <w:rsid w:val="00131A8F"/>
    <w:rsid w:val="00131DEF"/>
    <w:rsid w:val="00131E6E"/>
    <w:rsid w:val="001322F0"/>
    <w:rsid w:val="00132A43"/>
    <w:rsid w:val="00132B84"/>
    <w:rsid w:val="001331AF"/>
    <w:rsid w:val="001336BD"/>
    <w:rsid w:val="0013403D"/>
    <w:rsid w:val="001346F4"/>
    <w:rsid w:val="00134C17"/>
    <w:rsid w:val="00135233"/>
    <w:rsid w:val="0013572A"/>
    <w:rsid w:val="00135860"/>
    <w:rsid w:val="00135AA2"/>
    <w:rsid w:val="00135D4B"/>
    <w:rsid w:val="00136455"/>
    <w:rsid w:val="00136B83"/>
    <w:rsid w:val="00137128"/>
    <w:rsid w:val="001371CE"/>
    <w:rsid w:val="001378FF"/>
    <w:rsid w:val="00140477"/>
    <w:rsid w:val="001406C8"/>
    <w:rsid w:val="00140839"/>
    <w:rsid w:val="00140B59"/>
    <w:rsid w:val="00140B7C"/>
    <w:rsid w:val="001414AB"/>
    <w:rsid w:val="00141AA4"/>
    <w:rsid w:val="00142018"/>
    <w:rsid w:val="00142363"/>
    <w:rsid w:val="00142629"/>
    <w:rsid w:val="00142882"/>
    <w:rsid w:val="001428DD"/>
    <w:rsid w:val="00142998"/>
    <w:rsid w:val="0014309C"/>
    <w:rsid w:val="00143D7F"/>
    <w:rsid w:val="001440EE"/>
    <w:rsid w:val="0014416A"/>
    <w:rsid w:val="00144752"/>
    <w:rsid w:val="0014480E"/>
    <w:rsid w:val="00144A62"/>
    <w:rsid w:val="00145043"/>
    <w:rsid w:val="00145CBB"/>
    <w:rsid w:val="00145E12"/>
    <w:rsid w:val="00145F0D"/>
    <w:rsid w:val="001462F0"/>
    <w:rsid w:val="001463D4"/>
    <w:rsid w:val="001469E0"/>
    <w:rsid w:val="00146A76"/>
    <w:rsid w:val="00146AC3"/>
    <w:rsid w:val="00147021"/>
    <w:rsid w:val="001470F1"/>
    <w:rsid w:val="001473FA"/>
    <w:rsid w:val="00147FFB"/>
    <w:rsid w:val="001509B9"/>
    <w:rsid w:val="00150B5C"/>
    <w:rsid w:val="00150E22"/>
    <w:rsid w:val="00150FD6"/>
    <w:rsid w:val="001511A3"/>
    <w:rsid w:val="001515FF"/>
    <w:rsid w:val="00151651"/>
    <w:rsid w:val="00151C9C"/>
    <w:rsid w:val="00151D6B"/>
    <w:rsid w:val="00151FAC"/>
    <w:rsid w:val="001520E3"/>
    <w:rsid w:val="00152C73"/>
    <w:rsid w:val="001532B3"/>
    <w:rsid w:val="0015383B"/>
    <w:rsid w:val="00153B04"/>
    <w:rsid w:val="00153EAA"/>
    <w:rsid w:val="00153F08"/>
    <w:rsid w:val="00154BF2"/>
    <w:rsid w:val="00155A47"/>
    <w:rsid w:val="00155ADD"/>
    <w:rsid w:val="00155B3C"/>
    <w:rsid w:val="00155DE6"/>
    <w:rsid w:val="00155EAE"/>
    <w:rsid w:val="00156164"/>
    <w:rsid w:val="001563BF"/>
    <w:rsid w:val="00156701"/>
    <w:rsid w:val="0015680C"/>
    <w:rsid w:val="0015683B"/>
    <w:rsid w:val="00156931"/>
    <w:rsid w:val="00157197"/>
    <w:rsid w:val="0015766E"/>
    <w:rsid w:val="001604E7"/>
    <w:rsid w:val="001605D9"/>
    <w:rsid w:val="001606B8"/>
    <w:rsid w:val="00160767"/>
    <w:rsid w:val="00161428"/>
    <w:rsid w:val="00161625"/>
    <w:rsid w:val="001616C0"/>
    <w:rsid w:val="00161AB6"/>
    <w:rsid w:val="00162043"/>
    <w:rsid w:val="001620B1"/>
    <w:rsid w:val="001621C1"/>
    <w:rsid w:val="0016237F"/>
    <w:rsid w:val="00162556"/>
    <w:rsid w:val="00162648"/>
    <w:rsid w:val="00163328"/>
    <w:rsid w:val="0016334C"/>
    <w:rsid w:val="0016352F"/>
    <w:rsid w:val="001638DD"/>
    <w:rsid w:val="00163ADF"/>
    <w:rsid w:val="00163E48"/>
    <w:rsid w:val="0016409A"/>
    <w:rsid w:val="001644CE"/>
    <w:rsid w:val="001645A9"/>
    <w:rsid w:val="00164708"/>
    <w:rsid w:val="00164A54"/>
    <w:rsid w:val="00164A5C"/>
    <w:rsid w:val="001654DF"/>
    <w:rsid w:val="00165802"/>
    <w:rsid w:val="00165A74"/>
    <w:rsid w:val="00165B18"/>
    <w:rsid w:val="00165C10"/>
    <w:rsid w:val="00166848"/>
    <w:rsid w:val="00166863"/>
    <w:rsid w:val="00166A21"/>
    <w:rsid w:val="001671AD"/>
    <w:rsid w:val="00167427"/>
    <w:rsid w:val="00167524"/>
    <w:rsid w:val="001675BA"/>
    <w:rsid w:val="001676F3"/>
    <w:rsid w:val="00167796"/>
    <w:rsid w:val="00167AF2"/>
    <w:rsid w:val="001703BB"/>
    <w:rsid w:val="00170571"/>
    <w:rsid w:val="001706B3"/>
    <w:rsid w:val="00170724"/>
    <w:rsid w:val="00170BF2"/>
    <w:rsid w:val="001711FD"/>
    <w:rsid w:val="0017191F"/>
    <w:rsid w:val="00171B61"/>
    <w:rsid w:val="00171CCF"/>
    <w:rsid w:val="00171F28"/>
    <w:rsid w:val="00172949"/>
    <w:rsid w:val="0017299D"/>
    <w:rsid w:val="00172A27"/>
    <w:rsid w:val="00172A44"/>
    <w:rsid w:val="00172B49"/>
    <w:rsid w:val="00172BAF"/>
    <w:rsid w:val="00172C6E"/>
    <w:rsid w:val="00172F04"/>
    <w:rsid w:val="00173176"/>
    <w:rsid w:val="001734F7"/>
    <w:rsid w:val="001739FD"/>
    <w:rsid w:val="00173EFB"/>
    <w:rsid w:val="0017457D"/>
    <w:rsid w:val="00174B7E"/>
    <w:rsid w:val="0017510A"/>
    <w:rsid w:val="00175934"/>
    <w:rsid w:val="00175D42"/>
    <w:rsid w:val="00176646"/>
    <w:rsid w:val="00176A8F"/>
    <w:rsid w:val="00176CAF"/>
    <w:rsid w:val="00177037"/>
    <w:rsid w:val="001776AB"/>
    <w:rsid w:val="00177C48"/>
    <w:rsid w:val="00180278"/>
    <w:rsid w:val="00181947"/>
    <w:rsid w:val="00181BAB"/>
    <w:rsid w:val="00181BAC"/>
    <w:rsid w:val="001820C2"/>
    <w:rsid w:val="00182247"/>
    <w:rsid w:val="00182469"/>
    <w:rsid w:val="001827E8"/>
    <w:rsid w:val="00182D81"/>
    <w:rsid w:val="0018315C"/>
    <w:rsid w:val="00183210"/>
    <w:rsid w:val="00183294"/>
    <w:rsid w:val="00183478"/>
    <w:rsid w:val="0018360D"/>
    <w:rsid w:val="00183AA5"/>
    <w:rsid w:val="00183CAF"/>
    <w:rsid w:val="00183FAB"/>
    <w:rsid w:val="00184C0B"/>
    <w:rsid w:val="00185433"/>
    <w:rsid w:val="0018564F"/>
    <w:rsid w:val="0018597F"/>
    <w:rsid w:val="0018618C"/>
    <w:rsid w:val="001866AE"/>
    <w:rsid w:val="0018682A"/>
    <w:rsid w:val="00186ACE"/>
    <w:rsid w:val="00186C72"/>
    <w:rsid w:val="0018747C"/>
    <w:rsid w:val="00187487"/>
    <w:rsid w:val="0018787E"/>
    <w:rsid w:val="0019026B"/>
    <w:rsid w:val="001904BA"/>
    <w:rsid w:val="00190AA1"/>
    <w:rsid w:val="00190AAD"/>
    <w:rsid w:val="00191BAC"/>
    <w:rsid w:val="00191C46"/>
    <w:rsid w:val="00191D1F"/>
    <w:rsid w:val="00191F1D"/>
    <w:rsid w:val="0019219C"/>
    <w:rsid w:val="001925A3"/>
    <w:rsid w:val="001925ED"/>
    <w:rsid w:val="00192C74"/>
    <w:rsid w:val="001939D8"/>
    <w:rsid w:val="00194B9D"/>
    <w:rsid w:val="00194D17"/>
    <w:rsid w:val="001952F6"/>
    <w:rsid w:val="001954DD"/>
    <w:rsid w:val="00195BE8"/>
    <w:rsid w:val="00195E96"/>
    <w:rsid w:val="0019630D"/>
    <w:rsid w:val="0019682F"/>
    <w:rsid w:val="00196980"/>
    <w:rsid w:val="00196AF8"/>
    <w:rsid w:val="001971A8"/>
    <w:rsid w:val="00197C9A"/>
    <w:rsid w:val="001A03CB"/>
    <w:rsid w:val="001A04D5"/>
    <w:rsid w:val="001A05DF"/>
    <w:rsid w:val="001A0AC3"/>
    <w:rsid w:val="001A1193"/>
    <w:rsid w:val="001A2149"/>
    <w:rsid w:val="001A2236"/>
    <w:rsid w:val="001A2598"/>
    <w:rsid w:val="001A268E"/>
    <w:rsid w:val="001A27D4"/>
    <w:rsid w:val="001A2E9D"/>
    <w:rsid w:val="001A3432"/>
    <w:rsid w:val="001A350A"/>
    <w:rsid w:val="001A3B34"/>
    <w:rsid w:val="001A3B3E"/>
    <w:rsid w:val="001A3F3C"/>
    <w:rsid w:val="001A4505"/>
    <w:rsid w:val="001A4870"/>
    <w:rsid w:val="001A4E6D"/>
    <w:rsid w:val="001A4FD8"/>
    <w:rsid w:val="001A50EB"/>
    <w:rsid w:val="001A51E2"/>
    <w:rsid w:val="001A51F9"/>
    <w:rsid w:val="001A54D8"/>
    <w:rsid w:val="001A5607"/>
    <w:rsid w:val="001A5A20"/>
    <w:rsid w:val="001A5CAB"/>
    <w:rsid w:val="001A5FF9"/>
    <w:rsid w:val="001A633E"/>
    <w:rsid w:val="001A7078"/>
    <w:rsid w:val="001A715B"/>
    <w:rsid w:val="001A71C2"/>
    <w:rsid w:val="001A71F9"/>
    <w:rsid w:val="001A74EB"/>
    <w:rsid w:val="001A7676"/>
    <w:rsid w:val="001A7786"/>
    <w:rsid w:val="001A787F"/>
    <w:rsid w:val="001A7951"/>
    <w:rsid w:val="001A7CE2"/>
    <w:rsid w:val="001B008C"/>
    <w:rsid w:val="001B024F"/>
    <w:rsid w:val="001B02C8"/>
    <w:rsid w:val="001B07A7"/>
    <w:rsid w:val="001B0A0B"/>
    <w:rsid w:val="001B0A58"/>
    <w:rsid w:val="001B1016"/>
    <w:rsid w:val="001B1515"/>
    <w:rsid w:val="001B1CB9"/>
    <w:rsid w:val="001B1D92"/>
    <w:rsid w:val="001B1DCB"/>
    <w:rsid w:val="001B1E00"/>
    <w:rsid w:val="001B1FF1"/>
    <w:rsid w:val="001B226E"/>
    <w:rsid w:val="001B22AD"/>
    <w:rsid w:val="001B26EF"/>
    <w:rsid w:val="001B2C7E"/>
    <w:rsid w:val="001B3B48"/>
    <w:rsid w:val="001B3E0A"/>
    <w:rsid w:val="001B4108"/>
    <w:rsid w:val="001B42EE"/>
    <w:rsid w:val="001B4366"/>
    <w:rsid w:val="001B4ABD"/>
    <w:rsid w:val="001B4E3B"/>
    <w:rsid w:val="001B5086"/>
    <w:rsid w:val="001B5183"/>
    <w:rsid w:val="001B5621"/>
    <w:rsid w:val="001B6379"/>
    <w:rsid w:val="001B637B"/>
    <w:rsid w:val="001B637E"/>
    <w:rsid w:val="001B6E6C"/>
    <w:rsid w:val="001B713F"/>
    <w:rsid w:val="001B71DD"/>
    <w:rsid w:val="001B7211"/>
    <w:rsid w:val="001B73A4"/>
    <w:rsid w:val="001B743B"/>
    <w:rsid w:val="001B77BD"/>
    <w:rsid w:val="001B7CF0"/>
    <w:rsid w:val="001B7D57"/>
    <w:rsid w:val="001B7D5B"/>
    <w:rsid w:val="001B7DD1"/>
    <w:rsid w:val="001B7FE0"/>
    <w:rsid w:val="001C086C"/>
    <w:rsid w:val="001C09DC"/>
    <w:rsid w:val="001C0A67"/>
    <w:rsid w:val="001C0B23"/>
    <w:rsid w:val="001C0F9A"/>
    <w:rsid w:val="001C105A"/>
    <w:rsid w:val="001C10CF"/>
    <w:rsid w:val="001C10DD"/>
    <w:rsid w:val="001C11E7"/>
    <w:rsid w:val="001C1321"/>
    <w:rsid w:val="001C1841"/>
    <w:rsid w:val="001C1B55"/>
    <w:rsid w:val="001C1D6B"/>
    <w:rsid w:val="001C1DEC"/>
    <w:rsid w:val="001C2136"/>
    <w:rsid w:val="001C2183"/>
    <w:rsid w:val="001C2249"/>
    <w:rsid w:val="001C25DE"/>
    <w:rsid w:val="001C26FA"/>
    <w:rsid w:val="001C2850"/>
    <w:rsid w:val="001C2A7C"/>
    <w:rsid w:val="001C2BFF"/>
    <w:rsid w:val="001C2CCC"/>
    <w:rsid w:val="001C2D59"/>
    <w:rsid w:val="001C2D8E"/>
    <w:rsid w:val="001C3014"/>
    <w:rsid w:val="001C3060"/>
    <w:rsid w:val="001C3100"/>
    <w:rsid w:val="001C3B76"/>
    <w:rsid w:val="001C41BF"/>
    <w:rsid w:val="001C424C"/>
    <w:rsid w:val="001C4643"/>
    <w:rsid w:val="001C4D7D"/>
    <w:rsid w:val="001C55FB"/>
    <w:rsid w:val="001C5767"/>
    <w:rsid w:val="001C57AF"/>
    <w:rsid w:val="001C5989"/>
    <w:rsid w:val="001C5BDC"/>
    <w:rsid w:val="001C5C42"/>
    <w:rsid w:val="001C6CA0"/>
    <w:rsid w:val="001C6E8B"/>
    <w:rsid w:val="001C775D"/>
    <w:rsid w:val="001C7858"/>
    <w:rsid w:val="001D046F"/>
    <w:rsid w:val="001D0C37"/>
    <w:rsid w:val="001D1269"/>
    <w:rsid w:val="001D1553"/>
    <w:rsid w:val="001D1BBE"/>
    <w:rsid w:val="001D24B0"/>
    <w:rsid w:val="001D268F"/>
    <w:rsid w:val="001D2A0F"/>
    <w:rsid w:val="001D2E6C"/>
    <w:rsid w:val="001D3F1A"/>
    <w:rsid w:val="001D43FE"/>
    <w:rsid w:val="001D45D6"/>
    <w:rsid w:val="001D4719"/>
    <w:rsid w:val="001D496D"/>
    <w:rsid w:val="001D4CE6"/>
    <w:rsid w:val="001D5051"/>
    <w:rsid w:val="001D5189"/>
    <w:rsid w:val="001D5207"/>
    <w:rsid w:val="001D5641"/>
    <w:rsid w:val="001D5651"/>
    <w:rsid w:val="001D58E9"/>
    <w:rsid w:val="001D5990"/>
    <w:rsid w:val="001D5A9F"/>
    <w:rsid w:val="001D5ED2"/>
    <w:rsid w:val="001D5EFF"/>
    <w:rsid w:val="001D608E"/>
    <w:rsid w:val="001D6291"/>
    <w:rsid w:val="001D6668"/>
    <w:rsid w:val="001D6EFF"/>
    <w:rsid w:val="001D70C1"/>
    <w:rsid w:val="001D7843"/>
    <w:rsid w:val="001D7A3A"/>
    <w:rsid w:val="001D7CAE"/>
    <w:rsid w:val="001E02BB"/>
    <w:rsid w:val="001E0515"/>
    <w:rsid w:val="001E0947"/>
    <w:rsid w:val="001E0F00"/>
    <w:rsid w:val="001E13D1"/>
    <w:rsid w:val="001E1AB9"/>
    <w:rsid w:val="001E1BF4"/>
    <w:rsid w:val="001E20DC"/>
    <w:rsid w:val="001E2623"/>
    <w:rsid w:val="001E2BF7"/>
    <w:rsid w:val="001E403D"/>
    <w:rsid w:val="001E42BA"/>
    <w:rsid w:val="001E4710"/>
    <w:rsid w:val="001E49E5"/>
    <w:rsid w:val="001E5081"/>
    <w:rsid w:val="001E5613"/>
    <w:rsid w:val="001E5EC6"/>
    <w:rsid w:val="001E60AF"/>
    <w:rsid w:val="001E64E5"/>
    <w:rsid w:val="001E6721"/>
    <w:rsid w:val="001E6761"/>
    <w:rsid w:val="001E68E0"/>
    <w:rsid w:val="001E6C35"/>
    <w:rsid w:val="001E72DF"/>
    <w:rsid w:val="001E7367"/>
    <w:rsid w:val="001E7524"/>
    <w:rsid w:val="001E7758"/>
    <w:rsid w:val="001E781B"/>
    <w:rsid w:val="001E7CF2"/>
    <w:rsid w:val="001F02B1"/>
    <w:rsid w:val="001F0331"/>
    <w:rsid w:val="001F0409"/>
    <w:rsid w:val="001F0647"/>
    <w:rsid w:val="001F1AF9"/>
    <w:rsid w:val="001F22EE"/>
    <w:rsid w:val="001F2968"/>
    <w:rsid w:val="001F2D8A"/>
    <w:rsid w:val="001F3234"/>
    <w:rsid w:val="001F3290"/>
    <w:rsid w:val="001F36EB"/>
    <w:rsid w:val="001F3B73"/>
    <w:rsid w:val="001F3D07"/>
    <w:rsid w:val="001F3DA2"/>
    <w:rsid w:val="001F4054"/>
    <w:rsid w:val="001F4170"/>
    <w:rsid w:val="001F43C0"/>
    <w:rsid w:val="001F4466"/>
    <w:rsid w:val="001F4C68"/>
    <w:rsid w:val="001F5B41"/>
    <w:rsid w:val="001F5BB8"/>
    <w:rsid w:val="001F5D0B"/>
    <w:rsid w:val="001F5F90"/>
    <w:rsid w:val="001F60CA"/>
    <w:rsid w:val="001F6BD2"/>
    <w:rsid w:val="001F6E5D"/>
    <w:rsid w:val="001F7020"/>
    <w:rsid w:val="001F71B3"/>
    <w:rsid w:val="001F770B"/>
    <w:rsid w:val="001F78FF"/>
    <w:rsid w:val="001F7F7F"/>
    <w:rsid w:val="002001A5"/>
    <w:rsid w:val="00200A49"/>
    <w:rsid w:val="00200CC9"/>
    <w:rsid w:val="0020123F"/>
    <w:rsid w:val="002013FE"/>
    <w:rsid w:val="002014C3"/>
    <w:rsid w:val="00201A77"/>
    <w:rsid w:val="00201C07"/>
    <w:rsid w:val="00201E1A"/>
    <w:rsid w:val="002020CB"/>
    <w:rsid w:val="002022E6"/>
    <w:rsid w:val="00202573"/>
    <w:rsid w:val="00202613"/>
    <w:rsid w:val="0020263F"/>
    <w:rsid w:val="002030D9"/>
    <w:rsid w:val="002030E9"/>
    <w:rsid w:val="00203162"/>
    <w:rsid w:val="00203674"/>
    <w:rsid w:val="002037E7"/>
    <w:rsid w:val="0020381C"/>
    <w:rsid w:val="0020398E"/>
    <w:rsid w:val="00203B1E"/>
    <w:rsid w:val="002045A8"/>
    <w:rsid w:val="0020529F"/>
    <w:rsid w:val="0020565D"/>
    <w:rsid w:val="00205B41"/>
    <w:rsid w:val="00205DB7"/>
    <w:rsid w:val="00206264"/>
    <w:rsid w:val="00206444"/>
    <w:rsid w:val="0020659B"/>
    <w:rsid w:val="00206628"/>
    <w:rsid w:val="00206EF4"/>
    <w:rsid w:val="00207161"/>
    <w:rsid w:val="00207496"/>
    <w:rsid w:val="00207766"/>
    <w:rsid w:val="00207D7A"/>
    <w:rsid w:val="00207E37"/>
    <w:rsid w:val="00210200"/>
    <w:rsid w:val="00210644"/>
    <w:rsid w:val="00210CF1"/>
    <w:rsid w:val="0021113C"/>
    <w:rsid w:val="00211698"/>
    <w:rsid w:val="002117EE"/>
    <w:rsid w:val="00211B8F"/>
    <w:rsid w:val="00211E87"/>
    <w:rsid w:val="00211F1F"/>
    <w:rsid w:val="0021236C"/>
    <w:rsid w:val="00212835"/>
    <w:rsid w:val="0021294C"/>
    <w:rsid w:val="00212996"/>
    <w:rsid w:val="00213341"/>
    <w:rsid w:val="00213390"/>
    <w:rsid w:val="002134A9"/>
    <w:rsid w:val="0021366B"/>
    <w:rsid w:val="002136BB"/>
    <w:rsid w:val="002137D2"/>
    <w:rsid w:val="00213808"/>
    <w:rsid w:val="00213906"/>
    <w:rsid w:val="00213E16"/>
    <w:rsid w:val="00214447"/>
    <w:rsid w:val="00214D08"/>
    <w:rsid w:val="00214E85"/>
    <w:rsid w:val="002152A9"/>
    <w:rsid w:val="002152D0"/>
    <w:rsid w:val="00215341"/>
    <w:rsid w:val="00215750"/>
    <w:rsid w:val="002157CE"/>
    <w:rsid w:val="00215886"/>
    <w:rsid w:val="0021595D"/>
    <w:rsid w:val="00215A61"/>
    <w:rsid w:val="00215DB2"/>
    <w:rsid w:val="002162B4"/>
    <w:rsid w:val="00216328"/>
    <w:rsid w:val="00216594"/>
    <w:rsid w:val="0021666C"/>
    <w:rsid w:val="00217056"/>
    <w:rsid w:val="00217578"/>
    <w:rsid w:val="00217AD5"/>
    <w:rsid w:val="00217B7C"/>
    <w:rsid w:val="00220087"/>
    <w:rsid w:val="002203B6"/>
    <w:rsid w:val="002204B4"/>
    <w:rsid w:val="002204D1"/>
    <w:rsid w:val="00220505"/>
    <w:rsid w:val="002209C0"/>
    <w:rsid w:val="002210D6"/>
    <w:rsid w:val="00221A26"/>
    <w:rsid w:val="00222662"/>
    <w:rsid w:val="00222CB5"/>
    <w:rsid w:val="00222D4B"/>
    <w:rsid w:val="00222E2A"/>
    <w:rsid w:val="002235E8"/>
    <w:rsid w:val="00223CB6"/>
    <w:rsid w:val="0022419D"/>
    <w:rsid w:val="002245CF"/>
    <w:rsid w:val="002245DE"/>
    <w:rsid w:val="00224A2E"/>
    <w:rsid w:val="00224FFB"/>
    <w:rsid w:val="00225043"/>
    <w:rsid w:val="00225093"/>
    <w:rsid w:val="00225331"/>
    <w:rsid w:val="0022579F"/>
    <w:rsid w:val="0022590E"/>
    <w:rsid w:val="00225C2B"/>
    <w:rsid w:val="00225EDE"/>
    <w:rsid w:val="00225F98"/>
    <w:rsid w:val="00225FB7"/>
    <w:rsid w:val="00225FF5"/>
    <w:rsid w:val="00226070"/>
    <w:rsid w:val="0022655C"/>
    <w:rsid w:val="00226882"/>
    <w:rsid w:val="002271AA"/>
    <w:rsid w:val="00227284"/>
    <w:rsid w:val="00227733"/>
    <w:rsid w:val="00227A13"/>
    <w:rsid w:val="00227B40"/>
    <w:rsid w:val="00227CF4"/>
    <w:rsid w:val="00227D18"/>
    <w:rsid w:val="00227F5F"/>
    <w:rsid w:val="002303FB"/>
    <w:rsid w:val="00230463"/>
    <w:rsid w:val="00230566"/>
    <w:rsid w:val="00230B3D"/>
    <w:rsid w:val="002311DF"/>
    <w:rsid w:val="00231655"/>
    <w:rsid w:val="00231D38"/>
    <w:rsid w:val="002320AA"/>
    <w:rsid w:val="00232B1A"/>
    <w:rsid w:val="00232D99"/>
    <w:rsid w:val="00232FA2"/>
    <w:rsid w:val="002331AB"/>
    <w:rsid w:val="00233518"/>
    <w:rsid w:val="002335B1"/>
    <w:rsid w:val="002336FD"/>
    <w:rsid w:val="002338B0"/>
    <w:rsid w:val="00233C81"/>
    <w:rsid w:val="002348C6"/>
    <w:rsid w:val="00234C9F"/>
    <w:rsid w:val="00235C0D"/>
    <w:rsid w:val="00235D18"/>
    <w:rsid w:val="00235D50"/>
    <w:rsid w:val="00235F2C"/>
    <w:rsid w:val="0023620C"/>
    <w:rsid w:val="0023642C"/>
    <w:rsid w:val="002371A2"/>
    <w:rsid w:val="00237267"/>
    <w:rsid w:val="0023772C"/>
    <w:rsid w:val="0024012A"/>
    <w:rsid w:val="002406C8"/>
    <w:rsid w:val="002408AA"/>
    <w:rsid w:val="00240C23"/>
    <w:rsid w:val="00240F93"/>
    <w:rsid w:val="002411D4"/>
    <w:rsid w:val="0024144A"/>
    <w:rsid w:val="00241598"/>
    <w:rsid w:val="002418C6"/>
    <w:rsid w:val="002426FF"/>
    <w:rsid w:val="002428BF"/>
    <w:rsid w:val="00243C90"/>
    <w:rsid w:val="00244579"/>
    <w:rsid w:val="00244633"/>
    <w:rsid w:val="00244680"/>
    <w:rsid w:val="00244A68"/>
    <w:rsid w:val="00244C01"/>
    <w:rsid w:val="00244CE9"/>
    <w:rsid w:val="00244E12"/>
    <w:rsid w:val="00244E2C"/>
    <w:rsid w:val="002457CF"/>
    <w:rsid w:val="00245AA9"/>
    <w:rsid w:val="00245B13"/>
    <w:rsid w:val="002467DB"/>
    <w:rsid w:val="00246D1D"/>
    <w:rsid w:val="00246D2A"/>
    <w:rsid w:val="00247121"/>
    <w:rsid w:val="00247715"/>
    <w:rsid w:val="002478DA"/>
    <w:rsid w:val="00250552"/>
    <w:rsid w:val="002507E7"/>
    <w:rsid w:val="0025080A"/>
    <w:rsid w:val="00250882"/>
    <w:rsid w:val="002509B7"/>
    <w:rsid w:val="00250DDD"/>
    <w:rsid w:val="002510AA"/>
    <w:rsid w:val="002513CB"/>
    <w:rsid w:val="00251443"/>
    <w:rsid w:val="002515C8"/>
    <w:rsid w:val="00251676"/>
    <w:rsid w:val="002519C8"/>
    <w:rsid w:val="00251E9D"/>
    <w:rsid w:val="0025254A"/>
    <w:rsid w:val="0025299F"/>
    <w:rsid w:val="00252CAE"/>
    <w:rsid w:val="00252D55"/>
    <w:rsid w:val="002534D7"/>
    <w:rsid w:val="00253647"/>
    <w:rsid w:val="00253693"/>
    <w:rsid w:val="002538B8"/>
    <w:rsid w:val="00253A9C"/>
    <w:rsid w:val="00253CEC"/>
    <w:rsid w:val="002540A6"/>
    <w:rsid w:val="002548AD"/>
    <w:rsid w:val="00254BD0"/>
    <w:rsid w:val="00254BF8"/>
    <w:rsid w:val="00254D15"/>
    <w:rsid w:val="00254DED"/>
    <w:rsid w:val="00254F3B"/>
    <w:rsid w:val="0025507E"/>
    <w:rsid w:val="00255369"/>
    <w:rsid w:val="0025552A"/>
    <w:rsid w:val="00255DF9"/>
    <w:rsid w:val="00256651"/>
    <w:rsid w:val="00256BB6"/>
    <w:rsid w:val="002572D0"/>
    <w:rsid w:val="00257598"/>
    <w:rsid w:val="00257924"/>
    <w:rsid w:val="00257CA6"/>
    <w:rsid w:val="00257EDB"/>
    <w:rsid w:val="002600A8"/>
    <w:rsid w:val="002601A4"/>
    <w:rsid w:val="00260536"/>
    <w:rsid w:val="00260673"/>
    <w:rsid w:val="00260942"/>
    <w:rsid w:val="00260A02"/>
    <w:rsid w:val="002610D3"/>
    <w:rsid w:val="00261188"/>
    <w:rsid w:val="00261244"/>
    <w:rsid w:val="002612A2"/>
    <w:rsid w:val="0026144A"/>
    <w:rsid w:val="00261FE1"/>
    <w:rsid w:val="002620F9"/>
    <w:rsid w:val="0026210B"/>
    <w:rsid w:val="002626E9"/>
    <w:rsid w:val="002631BF"/>
    <w:rsid w:val="00263369"/>
    <w:rsid w:val="00263527"/>
    <w:rsid w:val="002639AE"/>
    <w:rsid w:val="00263BEF"/>
    <w:rsid w:val="0026402A"/>
    <w:rsid w:val="0026433E"/>
    <w:rsid w:val="00264ADA"/>
    <w:rsid w:val="002654E3"/>
    <w:rsid w:val="00265637"/>
    <w:rsid w:val="00265793"/>
    <w:rsid w:val="002660AD"/>
    <w:rsid w:val="00266BBD"/>
    <w:rsid w:val="00266F0A"/>
    <w:rsid w:val="00267225"/>
    <w:rsid w:val="0026722C"/>
    <w:rsid w:val="00267454"/>
    <w:rsid w:val="002675CD"/>
    <w:rsid w:val="0026771B"/>
    <w:rsid w:val="00267A40"/>
    <w:rsid w:val="0027019B"/>
    <w:rsid w:val="0027056C"/>
    <w:rsid w:val="00270AF3"/>
    <w:rsid w:val="00271484"/>
    <w:rsid w:val="00271A95"/>
    <w:rsid w:val="00271BAC"/>
    <w:rsid w:val="002720E2"/>
    <w:rsid w:val="00272A4E"/>
    <w:rsid w:val="0027321D"/>
    <w:rsid w:val="00273679"/>
    <w:rsid w:val="002737B7"/>
    <w:rsid w:val="00274030"/>
    <w:rsid w:val="002747F8"/>
    <w:rsid w:val="00274B45"/>
    <w:rsid w:val="00275875"/>
    <w:rsid w:val="00275D7B"/>
    <w:rsid w:val="00275E26"/>
    <w:rsid w:val="002763BB"/>
    <w:rsid w:val="00276504"/>
    <w:rsid w:val="002765A7"/>
    <w:rsid w:val="0027670E"/>
    <w:rsid w:val="00276B3E"/>
    <w:rsid w:val="00276B45"/>
    <w:rsid w:val="00276EC3"/>
    <w:rsid w:val="00277106"/>
    <w:rsid w:val="002771FC"/>
    <w:rsid w:val="002772A6"/>
    <w:rsid w:val="00277586"/>
    <w:rsid w:val="00277813"/>
    <w:rsid w:val="00277F33"/>
    <w:rsid w:val="0028013D"/>
    <w:rsid w:val="00280609"/>
    <w:rsid w:val="00280630"/>
    <w:rsid w:val="00280995"/>
    <w:rsid w:val="00280C57"/>
    <w:rsid w:val="00280E36"/>
    <w:rsid w:val="002817A8"/>
    <w:rsid w:val="00281C78"/>
    <w:rsid w:val="00282472"/>
    <w:rsid w:val="0028339B"/>
    <w:rsid w:val="0028341D"/>
    <w:rsid w:val="0028351A"/>
    <w:rsid w:val="002836F5"/>
    <w:rsid w:val="00283EF9"/>
    <w:rsid w:val="002840DE"/>
    <w:rsid w:val="00284132"/>
    <w:rsid w:val="002841E7"/>
    <w:rsid w:val="00284D84"/>
    <w:rsid w:val="00284EF4"/>
    <w:rsid w:val="002850AB"/>
    <w:rsid w:val="00285359"/>
    <w:rsid w:val="0028618F"/>
    <w:rsid w:val="002864FF"/>
    <w:rsid w:val="00286576"/>
    <w:rsid w:val="002868AF"/>
    <w:rsid w:val="00287172"/>
    <w:rsid w:val="00287274"/>
    <w:rsid w:val="002872AA"/>
    <w:rsid w:val="002873A5"/>
    <w:rsid w:val="002877E1"/>
    <w:rsid w:val="00287B0C"/>
    <w:rsid w:val="00287B35"/>
    <w:rsid w:val="00287C2F"/>
    <w:rsid w:val="00290292"/>
    <w:rsid w:val="0029062F"/>
    <w:rsid w:val="002908B4"/>
    <w:rsid w:val="00290CB2"/>
    <w:rsid w:val="00290E88"/>
    <w:rsid w:val="00291386"/>
    <w:rsid w:val="0029150E"/>
    <w:rsid w:val="0029197C"/>
    <w:rsid w:val="00291DEF"/>
    <w:rsid w:val="0029236D"/>
    <w:rsid w:val="00292FCC"/>
    <w:rsid w:val="0029320C"/>
    <w:rsid w:val="00293654"/>
    <w:rsid w:val="002939E3"/>
    <w:rsid w:val="00293B2F"/>
    <w:rsid w:val="00293CF4"/>
    <w:rsid w:val="00293DB9"/>
    <w:rsid w:val="00293FCA"/>
    <w:rsid w:val="002942AC"/>
    <w:rsid w:val="002942D0"/>
    <w:rsid w:val="00294B20"/>
    <w:rsid w:val="002953C7"/>
    <w:rsid w:val="00295480"/>
    <w:rsid w:val="002962DD"/>
    <w:rsid w:val="00296695"/>
    <w:rsid w:val="00296957"/>
    <w:rsid w:val="00296A4F"/>
    <w:rsid w:val="00296D8C"/>
    <w:rsid w:val="0029756F"/>
    <w:rsid w:val="00297A8D"/>
    <w:rsid w:val="00297CD9"/>
    <w:rsid w:val="002A003A"/>
    <w:rsid w:val="002A02CD"/>
    <w:rsid w:val="002A069F"/>
    <w:rsid w:val="002A08D0"/>
    <w:rsid w:val="002A0F96"/>
    <w:rsid w:val="002A12CE"/>
    <w:rsid w:val="002A1765"/>
    <w:rsid w:val="002A1F31"/>
    <w:rsid w:val="002A2140"/>
    <w:rsid w:val="002A265F"/>
    <w:rsid w:val="002A27B7"/>
    <w:rsid w:val="002A289A"/>
    <w:rsid w:val="002A2FA8"/>
    <w:rsid w:val="002A354B"/>
    <w:rsid w:val="002A3802"/>
    <w:rsid w:val="002A3BF7"/>
    <w:rsid w:val="002A4118"/>
    <w:rsid w:val="002A4241"/>
    <w:rsid w:val="002A431F"/>
    <w:rsid w:val="002A43FA"/>
    <w:rsid w:val="002A449D"/>
    <w:rsid w:val="002A44A7"/>
    <w:rsid w:val="002A463C"/>
    <w:rsid w:val="002A4924"/>
    <w:rsid w:val="002A4A10"/>
    <w:rsid w:val="002A4EB0"/>
    <w:rsid w:val="002A556E"/>
    <w:rsid w:val="002A5840"/>
    <w:rsid w:val="002A5D41"/>
    <w:rsid w:val="002A60AF"/>
    <w:rsid w:val="002A6672"/>
    <w:rsid w:val="002A67EF"/>
    <w:rsid w:val="002A6DBB"/>
    <w:rsid w:val="002A6E5A"/>
    <w:rsid w:val="002A7AD1"/>
    <w:rsid w:val="002A7CDA"/>
    <w:rsid w:val="002A7D60"/>
    <w:rsid w:val="002B0254"/>
    <w:rsid w:val="002B0372"/>
    <w:rsid w:val="002B090A"/>
    <w:rsid w:val="002B0C14"/>
    <w:rsid w:val="002B1294"/>
    <w:rsid w:val="002B1537"/>
    <w:rsid w:val="002B1740"/>
    <w:rsid w:val="002B17B4"/>
    <w:rsid w:val="002B1BFF"/>
    <w:rsid w:val="002B21DF"/>
    <w:rsid w:val="002B2202"/>
    <w:rsid w:val="002B237D"/>
    <w:rsid w:val="002B273F"/>
    <w:rsid w:val="002B296C"/>
    <w:rsid w:val="002B2E81"/>
    <w:rsid w:val="002B31FF"/>
    <w:rsid w:val="002B35F8"/>
    <w:rsid w:val="002B37DF"/>
    <w:rsid w:val="002B3C76"/>
    <w:rsid w:val="002B3CBA"/>
    <w:rsid w:val="002B42C6"/>
    <w:rsid w:val="002B4350"/>
    <w:rsid w:val="002B51D0"/>
    <w:rsid w:val="002B5365"/>
    <w:rsid w:val="002B5D78"/>
    <w:rsid w:val="002B60CA"/>
    <w:rsid w:val="002B6591"/>
    <w:rsid w:val="002B66D3"/>
    <w:rsid w:val="002B66DD"/>
    <w:rsid w:val="002B6E39"/>
    <w:rsid w:val="002B7AD6"/>
    <w:rsid w:val="002B7C4C"/>
    <w:rsid w:val="002C03A3"/>
    <w:rsid w:val="002C0B92"/>
    <w:rsid w:val="002C0CD2"/>
    <w:rsid w:val="002C0E50"/>
    <w:rsid w:val="002C16DF"/>
    <w:rsid w:val="002C1AAA"/>
    <w:rsid w:val="002C1BE4"/>
    <w:rsid w:val="002C29B1"/>
    <w:rsid w:val="002C2AC4"/>
    <w:rsid w:val="002C31D4"/>
    <w:rsid w:val="002C3268"/>
    <w:rsid w:val="002C32FE"/>
    <w:rsid w:val="002C3449"/>
    <w:rsid w:val="002C3536"/>
    <w:rsid w:val="002C3836"/>
    <w:rsid w:val="002C3AAA"/>
    <w:rsid w:val="002C3ED1"/>
    <w:rsid w:val="002C4133"/>
    <w:rsid w:val="002C424B"/>
    <w:rsid w:val="002C4660"/>
    <w:rsid w:val="002C4DF2"/>
    <w:rsid w:val="002C50D0"/>
    <w:rsid w:val="002C5208"/>
    <w:rsid w:val="002C58C2"/>
    <w:rsid w:val="002C59CC"/>
    <w:rsid w:val="002C5C7E"/>
    <w:rsid w:val="002C5F29"/>
    <w:rsid w:val="002C5FAF"/>
    <w:rsid w:val="002C613A"/>
    <w:rsid w:val="002C6711"/>
    <w:rsid w:val="002C6CA9"/>
    <w:rsid w:val="002C6CB6"/>
    <w:rsid w:val="002C7272"/>
    <w:rsid w:val="002C75FE"/>
    <w:rsid w:val="002C7CB4"/>
    <w:rsid w:val="002D04BE"/>
    <w:rsid w:val="002D06E8"/>
    <w:rsid w:val="002D09CC"/>
    <w:rsid w:val="002D0D58"/>
    <w:rsid w:val="002D0E51"/>
    <w:rsid w:val="002D1232"/>
    <w:rsid w:val="002D1303"/>
    <w:rsid w:val="002D17A8"/>
    <w:rsid w:val="002D1B70"/>
    <w:rsid w:val="002D1CAA"/>
    <w:rsid w:val="002D1E41"/>
    <w:rsid w:val="002D1EE0"/>
    <w:rsid w:val="002D2062"/>
    <w:rsid w:val="002D220A"/>
    <w:rsid w:val="002D25E0"/>
    <w:rsid w:val="002D3C3A"/>
    <w:rsid w:val="002D4645"/>
    <w:rsid w:val="002D4903"/>
    <w:rsid w:val="002D506B"/>
    <w:rsid w:val="002D5196"/>
    <w:rsid w:val="002D528E"/>
    <w:rsid w:val="002D52D8"/>
    <w:rsid w:val="002D5382"/>
    <w:rsid w:val="002D567B"/>
    <w:rsid w:val="002D57BA"/>
    <w:rsid w:val="002D5B96"/>
    <w:rsid w:val="002D5DE0"/>
    <w:rsid w:val="002D607D"/>
    <w:rsid w:val="002D6C75"/>
    <w:rsid w:val="002D6FA8"/>
    <w:rsid w:val="002D76E9"/>
    <w:rsid w:val="002D7992"/>
    <w:rsid w:val="002E0D46"/>
    <w:rsid w:val="002E0FEC"/>
    <w:rsid w:val="002E13DC"/>
    <w:rsid w:val="002E1C86"/>
    <w:rsid w:val="002E2079"/>
    <w:rsid w:val="002E2361"/>
    <w:rsid w:val="002E2B03"/>
    <w:rsid w:val="002E3020"/>
    <w:rsid w:val="002E413A"/>
    <w:rsid w:val="002E46C3"/>
    <w:rsid w:val="002E4C98"/>
    <w:rsid w:val="002E4CE4"/>
    <w:rsid w:val="002E515C"/>
    <w:rsid w:val="002E56EF"/>
    <w:rsid w:val="002E57B8"/>
    <w:rsid w:val="002E6058"/>
    <w:rsid w:val="002E6534"/>
    <w:rsid w:val="002E6689"/>
    <w:rsid w:val="002E6C02"/>
    <w:rsid w:val="002E6D2B"/>
    <w:rsid w:val="002E6E3E"/>
    <w:rsid w:val="002E6FBE"/>
    <w:rsid w:val="002E6FE9"/>
    <w:rsid w:val="002E7073"/>
    <w:rsid w:val="002E72AA"/>
    <w:rsid w:val="002E770D"/>
    <w:rsid w:val="002E7712"/>
    <w:rsid w:val="002E7F7D"/>
    <w:rsid w:val="002F0367"/>
    <w:rsid w:val="002F0474"/>
    <w:rsid w:val="002F0877"/>
    <w:rsid w:val="002F0BC3"/>
    <w:rsid w:val="002F1AFA"/>
    <w:rsid w:val="002F1BAE"/>
    <w:rsid w:val="002F211D"/>
    <w:rsid w:val="002F23C4"/>
    <w:rsid w:val="002F2782"/>
    <w:rsid w:val="002F2A38"/>
    <w:rsid w:val="002F2BAC"/>
    <w:rsid w:val="002F2C4F"/>
    <w:rsid w:val="002F2FD9"/>
    <w:rsid w:val="002F3031"/>
    <w:rsid w:val="002F3410"/>
    <w:rsid w:val="002F377C"/>
    <w:rsid w:val="002F380F"/>
    <w:rsid w:val="002F3B7E"/>
    <w:rsid w:val="002F424E"/>
    <w:rsid w:val="002F43B4"/>
    <w:rsid w:val="002F443F"/>
    <w:rsid w:val="002F4604"/>
    <w:rsid w:val="002F4720"/>
    <w:rsid w:val="002F4C30"/>
    <w:rsid w:val="002F4E42"/>
    <w:rsid w:val="002F557E"/>
    <w:rsid w:val="002F5FAD"/>
    <w:rsid w:val="002F5FC4"/>
    <w:rsid w:val="002F60B5"/>
    <w:rsid w:val="002F612A"/>
    <w:rsid w:val="002F62B8"/>
    <w:rsid w:val="002F6597"/>
    <w:rsid w:val="002F6D08"/>
    <w:rsid w:val="002F6EFA"/>
    <w:rsid w:val="002F710E"/>
    <w:rsid w:val="002F7F61"/>
    <w:rsid w:val="00300301"/>
    <w:rsid w:val="00300645"/>
    <w:rsid w:val="003007D7"/>
    <w:rsid w:val="00300878"/>
    <w:rsid w:val="00300AFD"/>
    <w:rsid w:val="0030174E"/>
    <w:rsid w:val="00301851"/>
    <w:rsid w:val="00301895"/>
    <w:rsid w:val="00301DB7"/>
    <w:rsid w:val="00301E2A"/>
    <w:rsid w:val="00302021"/>
    <w:rsid w:val="00302327"/>
    <w:rsid w:val="003024D2"/>
    <w:rsid w:val="00302841"/>
    <w:rsid w:val="00302914"/>
    <w:rsid w:val="00302A74"/>
    <w:rsid w:val="00302B18"/>
    <w:rsid w:val="00302E5A"/>
    <w:rsid w:val="00302F04"/>
    <w:rsid w:val="003036E7"/>
    <w:rsid w:val="003038CE"/>
    <w:rsid w:val="00303A8E"/>
    <w:rsid w:val="00303B89"/>
    <w:rsid w:val="00303D12"/>
    <w:rsid w:val="0030438F"/>
    <w:rsid w:val="00304695"/>
    <w:rsid w:val="003046CF"/>
    <w:rsid w:val="003047EB"/>
    <w:rsid w:val="00304835"/>
    <w:rsid w:val="00304DCB"/>
    <w:rsid w:val="00304EA3"/>
    <w:rsid w:val="003050D0"/>
    <w:rsid w:val="00305181"/>
    <w:rsid w:val="00305206"/>
    <w:rsid w:val="0030560F"/>
    <w:rsid w:val="003056E1"/>
    <w:rsid w:val="00305853"/>
    <w:rsid w:val="003058CC"/>
    <w:rsid w:val="00305AC8"/>
    <w:rsid w:val="00305C81"/>
    <w:rsid w:val="00306264"/>
    <w:rsid w:val="003065E0"/>
    <w:rsid w:val="00306B18"/>
    <w:rsid w:val="00306EF5"/>
    <w:rsid w:val="00307548"/>
    <w:rsid w:val="003075E8"/>
    <w:rsid w:val="003104B1"/>
    <w:rsid w:val="00310828"/>
    <w:rsid w:val="00310999"/>
    <w:rsid w:val="00310AB5"/>
    <w:rsid w:val="00310B50"/>
    <w:rsid w:val="00310BA7"/>
    <w:rsid w:val="00311926"/>
    <w:rsid w:val="00311AFD"/>
    <w:rsid w:val="00312206"/>
    <w:rsid w:val="00312298"/>
    <w:rsid w:val="00312394"/>
    <w:rsid w:val="00312873"/>
    <w:rsid w:val="00313220"/>
    <w:rsid w:val="003132AE"/>
    <w:rsid w:val="00314110"/>
    <w:rsid w:val="00314247"/>
    <w:rsid w:val="0031424A"/>
    <w:rsid w:val="00314352"/>
    <w:rsid w:val="003145BE"/>
    <w:rsid w:val="00314713"/>
    <w:rsid w:val="00314B61"/>
    <w:rsid w:val="00315830"/>
    <w:rsid w:val="00315FFD"/>
    <w:rsid w:val="00316433"/>
    <w:rsid w:val="0031655B"/>
    <w:rsid w:val="00316587"/>
    <w:rsid w:val="003166CB"/>
    <w:rsid w:val="00316D9E"/>
    <w:rsid w:val="00316F7E"/>
    <w:rsid w:val="00317335"/>
    <w:rsid w:val="00317A25"/>
    <w:rsid w:val="00317ABB"/>
    <w:rsid w:val="00317B63"/>
    <w:rsid w:val="00317CC6"/>
    <w:rsid w:val="003209CA"/>
    <w:rsid w:val="00320A9F"/>
    <w:rsid w:val="00320EE2"/>
    <w:rsid w:val="00321071"/>
    <w:rsid w:val="00321113"/>
    <w:rsid w:val="0032117D"/>
    <w:rsid w:val="00321370"/>
    <w:rsid w:val="003219FD"/>
    <w:rsid w:val="00321ABC"/>
    <w:rsid w:val="00321D13"/>
    <w:rsid w:val="00321E28"/>
    <w:rsid w:val="00321F43"/>
    <w:rsid w:val="00321FA9"/>
    <w:rsid w:val="00322218"/>
    <w:rsid w:val="0032222C"/>
    <w:rsid w:val="00322C5B"/>
    <w:rsid w:val="00323364"/>
    <w:rsid w:val="003241EF"/>
    <w:rsid w:val="0032462C"/>
    <w:rsid w:val="00324AF7"/>
    <w:rsid w:val="00324FD5"/>
    <w:rsid w:val="0032547D"/>
    <w:rsid w:val="003256A8"/>
    <w:rsid w:val="00325748"/>
    <w:rsid w:val="003261E8"/>
    <w:rsid w:val="003263A0"/>
    <w:rsid w:val="00326409"/>
    <w:rsid w:val="003265BD"/>
    <w:rsid w:val="00326C3F"/>
    <w:rsid w:val="00326D2A"/>
    <w:rsid w:val="00326EA4"/>
    <w:rsid w:val="0032716B"/>
    <w:rsid w:val="0032726D"/>
    <w:rsid w:val="00327BD8"/>
    <w:rsid w:val="00327EED"/>
    <w:rsid w:val="00330615"/>
    <w:rsid w:val="003308AA"/>
    <w:rsid w:val="003309A7"/>
    <w:rsid w:val="00330AD6"/>
    <w:rsid w:val="00330BB2"/>
    <w:rsid w:val="00330ECF"/>
    <w:rsid w:val="00331924"/>
    <w:rsid w:val="00331F1F"/>
    <w:rsid w:val="0033215C"/>
    <w:rsid w:val="003326A3"/>
    <w:rsid w:val="00332A31"/>
    <w:rsid w:val="00332DE2"/>
    <w:rsid w:val="00332E64"/>
    <w:rsid w:val="003330A5"/>
    <w:rsid w:val="00333306"/>
    <w:rsid w:val="00333BEB"/>
    <w:rsid w:val="00333E87"/>
    <w:rsid w:val="0033450A"/>
    <w:rsid w:val="0033530C"/>
    <w:rsid w:val="0033550A"/>
    <w:rsid w:val="0033589C"/>
    <w:rsid w:val="00335FD0"/>
    <w:rsid w:val="0033618A"/>
    <w:rsid w:val="003363E3"/>
    <w:rsid w:val="00336766"/>
    <w:rsid w:val="00337229"/>
    <w:rsid w:val="003373A4"/>
    <w:rsid w:val="00337930"/>
    <w:rsid w:val="00337E4D"/>
    <w:rsid w:val="00340164"/>
    <w:rsid w:val="00340A17"/>
    <w:rsid w:val="00340DFB"/>
    <w:rsid w:val="00340F3F"/>
    <w:rsid w:val="003410A5"/>
    <w:rsid w:val="00341315"/>
    <w:rsid w:val="00342348"/>
    <w:rsid w:val="00342AED"/>
    <w:rsid w:val="00342D25"/>
    <w:rsid w:val="00342D56"/>
    <w:rsid w:val="00342E3D"/>
    <w:rsid w:val="003434B6"/>
    <w:rsid w:val="003435B3"/>
    <w:rsid w:val="0034383D"/>
    <w:rsid w:val="00343E06"/>
    <w:rsid w:val="0034419B"/>
    <w:rsid w:val="003449B2"/>
    <w:rsid w:val="00344A7E"/>
    <w:rsid w:val="00344EB9"/>
    <w:rsid w:val="0034552E"/>
    <w:rsid w:val="003457C2"/>
    <w:rsid w:val="00345F6B"/>
    <w:rsid w:val="0034618C"/>
    <w:rsid w:val="003461FB"/>
    <w:rsid w:val="0034630D"/>
    <w:rsid w:val="0034641A"/>
    <w:rsid w:val="00346A43"/>
    <w:rsid w:val="00346A79"/>
    <w:rsid w:val="00347431"/>
    <w:rsid w:val="00347450"/>
    <w:rsid w:val="00347889"/>
    <w:rsid w:val="003479D2"/>
    <w:rsid w:val="00347C55"/>
    <w:rsid w:val="00347D6F"/>
    <w:rsid w:val="00347E14"/>
    <w:rsid w:val="003500EB"/>
    <w:rsid w:val="00350160"/>
    <w:rsid w:val="003506BD"/>
    <w:rsid w:val="003506F6"/>
    <w:rsid w:val="003508F9"/>
    <w:rsid w:val="00350911"/>
    <w:rsid w:val="00350C51"/>
    <w:rsid w:val="00351000"/>
    <w:rsid w:val="00351138"/>
    <w:rsid w:val="003512BA"/>
    <w:rsid w:val="003513FC"/>
    <w:rsid w:val="00351428"/>
    <w:rsid w:val="003519A0"/>
    <w:rsid w:val="003524F8"/>
    <w:rsid w:val="003529D6"/>
    <w:rsid w:val="00352DBD"/>
    <w:rsid w:val="00352EE3"/>
    <w:rsid w:val="0035300F"/>
    <w:rsid w:val="00353147"/>
    <w:rsid w:val="0035404C"/>
    <w:rsid w:val="00354671"/>
    <w:rsid w:val="00354C8D"/>
    <w:rsid w:val="00354D50"/>
    <w:rsid w:val="00354F75"/>
    <w:rsid w:val="003551DA"/>
    <w:rsid w:val="00355274"/>
    <w:rsid w:val="00355291"/>
    <w:rsid w:val="003555F2"/>
    <w:rsid w:val="00355760"/>
    <w:rsid w:val="003559CF"/>
    <w:rsid w:val="00355BE4"/>
    <w:rsid w:val="00355C7E"/>
    <w:rsid w:val="00356502"/>
    <w:rsid w:val="00356AE0"/>
    <w:rsid w:val="00356D43"/>
    <w:rsid w:val="00356FE5"/>
    <w:rsid w:val="0035790E"/>
    <w:rsid w:val="003579E0"/>
    <w:rsid w:val="00357E5F"/>
    <w:rsid w:val="0036048B"/>
    <w:rsid w:val="003606EF"/>
    <w:rsid w:val="00360973"/>
    <w:rsid w:val="0036098F"/>
    <w:rsid w:val="00360A34"/>
    <w:rsid w:val="00360BB1"/>
    <w:rsid w:val="00361156"/>
    <w:rsid w:val="00361158"/>
    <w:rsid w:val="00361237"/>
    <w:rsid w:val="0036126E"/>
    <w:rsid w:val="00361C0A"/>
    <w:rsid w:val="00361EFD"/>
    <w:rsid w:val="0036205B"/>
    <w:rsid w:val="0036211A"/>
    <w:rsid w:val="00362176"/>
    <w:rsid w:val="00362D16"/>
    <w:rsid w:val="00362EF0"/>
    <w:rsid w:val="0036306C"/>
    <w:rsid w:val="00363124"/>
    <w:rsid w:val="0036323E"/>
    <w:rsid w:val="00363525"/>
    <w:rsid w:val="003637CF"/>
    <w:rsid w:val="003637DA"/>
    <w:rsid w:val="003639D7"/>
    <w:rsid w:val="00363A7C"/>
    <w:rsid w:val="00363DD7"/>
    <w:rsid w:val="00363E24"/>
    <w:rsid w:val="00363FE0"/>
    <w:rsid w:val="00363FF9"/>
    <w:rsid w:val="00364268"/>
    <w:rsid w:val="0036467C"/>
    <w:rsid w:val="003646D0"/>
    <w:rsid w:val="00364B82"/>
    <w:rsid w:val="00364DD3"/>
    <w:rsid w:val="00364F85"/>
    <w:rsid w:val="0036551D"/>
    <w:rsid w:val="003655A0"/>
    <w:rsid w:val="00365AD1"/>
    <w:rsid w:val="00365B7B"/>
    <w:rsid w:val="00365BB5"/>
    <w:rsid w:val="00365CBF"/>
    <w:rsid w:val="00365DEC"/>
    <w:rsid w:val="0036603E"/>
    <w:rsid w:val="003666E9"/>
    <w:rsid w:val="003669AF"/>
    <w:rsid w:val="00366C23"/>
    <w:rsid w:val="0036796F"/>
    <w:rsid w:val="00367B83"/>
    <w:rsid w:val="00370FFE"/>
    <w:rsid w:val="0037141B"/>
    <w:rsid w:val="00371656"/>
    <w:rsid w:val="00371B6B"/>
    <w:rsid w:val="00371B8A"/>
    <w:rsid w:val="00371FA2"/>
    <w:rsid w:val="003726CD"/>
    <w:rsid w:val="00372CC6"/>
    <w:rsid w:val="00372F1C"/>
    <w:rsid w:val="003731BE"/>
    <w:rsid w:val="003735C6"/>
    <w:rsid w:val="003737D9"/>
    <w:rsid w:val="00373A67"/>
    <w:rsid w:val="00373E88"/>
    <w:rsid w:val="00373EE3"/>
    <w:rsid w:val="0037458F"/>
    <w:rsid w:val="00374642"/>
    <w:rsid w:val="0037486D"/>
    <w:rsid w:val="0037542C"/>
    <w:rsid w:val="0037546B"/>
    <w:rsid w:val="00375721"/>
    <w:rsid w:val="003757B4"/>
    <w:rsid w:val="0037582C"/>
    <w:rsid w:val="003759F5"/>
    <w:rsid w:val="00375E07"/>
    <w:rsid w:val="00376151"/>
    <w:rsid w:val="0037635F"/>
    <w:rsid w:val="00376736"/>
    <w:rsid w:val="00376B0D"/>
    <w:rsid w:val="00376EBE"/>
    <w:rsid w:val="003774E1"/>
    <w:rsid w:val="003776B4"/>
    <w:rsid w:val="00380381"/>
    <w:rsid w:val="00380586"/>
    <w:rsid w:val="00380D09"/>
    <w:rsid w:val="00380ECC"/>
    <w:rsid w:val="0038131A"/>
    <w:rsid w:val="00381332"/>
    <w:rsid w:val="0038155F"/>
    <w:rsid w:val="00381A89"/>
    <w:rsid w:val="003821E0"/>
    <w:rsid w:val="00382656"/>
    <w:rsid w:val="00382FE1"/>
    <w:rsid w:val="00383311"/>
    <w:rsid w:val="00383CD7"/>
    <w:rsid w:val="00384AD0"/>
    <w:rsid w:val="00384DA4"/>
    <w:rsid w:val="00384DA7"/>
    <w:rsid w:val="00385167"/>
    <w:rsid w:val="003856AC"/>
    <w:rsid w:val="00385F0A"/>
    <w:rsid w:val="00386199"/>
    <w:rsid w:val="00386604"/>
    <w:rsid w:val="0038689E"/>
    <w:rsid w:val="003868A5"/>
    <w:rsid w:val="00386E92"/>
    <w:rsid w:val="00387166"/>
    <w:rsid w:val="00387214"/>
    <w:rsid w:val="003876D0"/>
    <w:rsid w:val="003877AD"/>
    <w:rsid w:val="003879FC"/>
    <w:rsid w:val="00387A56"/>
    <w:rsid w:val="00387D75"/>
    <w:rsid w:val="003900EF"/>
    <w:rsid w:val="003902BA"/>
    <w:rsid w:val="003902DE"/>
    <w:rsid w:val="00390376"/>
    <w:rsid w:val="003909A1"/>
    <w:rsid w:val="00390A81"/>
    <w:rsid w:val="00390BF9"/>
    <w:rsid w:val="0039101B"/>
    <w:rsid w:val="0039184D"/>
    <w:rsid w:val="003918D1"/>
    <w:rsid w:val="00391BF5"/>
    <w:rsid w:val="00391DCE"/>
    <w:rsid w:val="00391E16"/>
    <w:rsid w:val="00391F0A"/>
    <w:rsid w:val="00392372"/>
    <w:rsid w:val="00392A7E"/>
    <w:rsid w:val="00392D20"/>
    <w:rsid w:val="00393344"/>
    <w:rsid w:val="0039393B"/>
    <w:rsid w:val="00393C9A"/>
    <w:rsid w:val="0039438B"/>
    <w:rsid w:val="003944E1"/>
    <w:rsid w:val="00394A50"/>
    <w:rsid w:val="00394E0D"/>
    <w:rsid w:val="00395B10"/>
    <w:rsid w:val="00395F04"/>
    <w:rsid w:val="003960DF"/>
    <w:rsid w:val="0039636A"/>
    <w:rsid w:val="0039699C"/>
    <w:rsid w:val="00396C63"/>
    <w:rsid w:val="00396DAD"/>
    <w:rsid w:val="00397510"/>
    <w:rsid w:val="00397685"/>
    <w:rsid w:val="003976D6"/>
    <w:rsid w:val="0039776D"/>
    <w:rsid w:val="00397C4D"/>
    <w:rsid w:val="00397DB9"/>
    <w:rsid w:val="00397E75"/>
    <w:rsid w:val="003A00D6"/>
    <w:rsid w:val="003A024C"/>
    <w:rsid w:val="003A030C"/>
    <w:rsid w:val="003A032C"/>
    <w:rsid w:val="003A050A"/>
    <w:rsid w:val="003A0F20"/>
    <w:rsid w:val="003A0F9D"/>
    <w:rsid w:val="003A168C"/>
    <w:rsid w:val="003A188A"/>
    <w:rsid w:val="003A196C"/>
    <w:rsid w:val="003A19BE"/>
    <w:rsid w:val="003A1FDF"/>
    <w:rsid w:val="003A25B9"/>
    <w:rsid w:val="003A2656"/>
    <w:rsid w:val="003A29EC"/>
    <w:rsid w:val="003A2AC0"/>
    <w:rsid w:val="003A2AF7"/>
    <w:rsid w:val="003A2FB1"/>
    <w:rsid w:val="003A305D"/>
    <w:rsid w:val="003A3674"/>
    <w:rsid w:val="003A383A"/>
    <w:rsid w:val="003A38FE"/>
    <w:rsid w:val="003A3BA0"/>
    <w:rsid w:val="003A3E6E"/>
    <w:rsid w:val="003A3F36"/>
    <w:rsid w:val="003A40A0"/>
    <w:rsid w:val="003A453C"/>
    <w:rsid w:val="003A47A1"/>
    <w:rsid w:val="003A483B"/>
    <w:rsid w:val="003A4C5D"/>
    <w:rsid w:val="003A5074"/>
    <w:rsid w:val="003A560B"/>
    <w:rsid w:val="003A5B9A"/>
    <w:rsid w:val="003A5E0C"/>
    <w:rsid w:val="003A62B1"/>
    <w:rsid w:val="003A6473"/>
    <w:rsid w:val="003A64D2"/>
    <w:rsid w:val="003A6547"/>
    <w:rsid w:val="003A68ED"/>
    <w:rsid w:val="003A6B16"/>
    <w:rsid w:val="003A7073"/>
    <w:rsid w:val="003A7905"/>
    <w:rsid w:val="003A7DE7"/>
    <w:rsid w:val="003B00D6"/>
    <w:rsid w:val="003B05A6"/>
    <w:rsid w:val="003B05C8"/>
    <w:rsid w:val="003B0625"/>
    <w:rsid w:val="003B0945"/>
    <w:rsid w:val="003B0E35"/>
    <w:rsid w:val="003B0E6F"/>
    <w:rsid w:val="003B1866"/>
    <w:rsid w:val="003B19D1"/>
    <w:rsid w:val="003B1C31"/>
    <w:rsid w:val="003B1FA2"/>
    <w:rsid w:val="003B21C0"/>
    <w:rsid w:val="003B27D7"/>
    <w:rsid w:val="003B2815"/>
    <w:rsid w:val="003B28BC"/>
    <w:rsid w:val="003B2A5F"/>
    <w:rsid w:val="003B313E"/>
    <w:rsid w:val="003B3489"/>
    <w:rsid w:val="003B374B"/>
    <w:rsid w:val="003B42F5"/>
    <w:rsid w:val="003B438E"/>
    <w:rsid w:val="003B4478"/>
    <w:rsid w:val="003B4C69"/>
    <w:rsid w:val="003B52F7"/>
    <w:rsid w:val="003B5F45"/>
    <w:rsid w:val="003B6097"/>
    <w:rsid w:val="003B63AC"/>
    <w:rsid w:val="003B6828"/>
    <w:rsid w:val="003B6955"/>
    <w:rsid w:val="003B72DC"/>
    <w:rsid w:val="003B7421"/>
    <w:rsid w:val="003B7736"/>
    <w:rsid w:val="003B7BA4"/>
    <w:rsid w:val="003C0442"/>
    <w:rsid w:val="003C0BFD"/>
    <w:rsid w:val="003C105C"/>
    <w:rsid w:val="003C1248"/>
    <w:rsid w:val="003C14B6"/>
    <w:rsid w:val="003C18DD"/>
    <w:rsid w:val="003C1A73"/>
    <w:rsid w:val="003C22F9"/>
    <w:rsid w:val="003C26D0"/>
    <w:rsid w:val="003C28C3"/>
    <w:rsid w:val="003C2B72"/>
    <w:rsid w:val="003C2C73"/>
    <w:rsid w:val="003C2CE4"/>
    <w:rsid w:val="003C2D32"/>
    <w:rsid w:val="003C2FC8"/>
    <w:rsid w:val="003C356F"/>
    <w:rsid w:val="003C3C0D"/>
    <w:rsid w:val="003C3F7F"/>
    <w:rsid w:val="003C49D0"/>
    <w:rsid w:val="003C4CDE"/>
    <w:rsid w:val="003C4FC8"/>
    <w:rsid w:val="003C555E"/>
    <w:rsid w:val="003C5B2A"/>
    <w:rsid w:val="003C5CA7"/>
    <w:rsid w:val="003C5EA5"/>
    <w:rsid w:val="003C6051"/>
    <w:rsid w:val="003C614A"/>
    <w:rsid w:val="003C6153"/>
    <w:rsid w:val="003C644E"/>
    <w:rsid w:val="003C645C"/>
    <w:rsid w:val="003C697A"/>
    <w:rsid w:val="003C795B"/>
    <w:rsid w:val="003C7B42"/>
    <w:rsid w:val="003C7E3E"/>
    <w:rsid w:val="003C7E7F"/>
    <w:rsid w:val="003C7F7B"/>
    <w:rsid w:val="003D050E"/>
    <w:rsid w:val="003D05A2"/>
    <w:rsid w:val="003D0604"/>
    <w:rsid w:val="003D0C15"/>
    <w:rsid w:val="003D0D68"/>
    <w:rsid w:val="003D1558"/>
    <w:rsid w:val="003D1B3A"/>
    <w:rsid w:val="003D1DCF"/>
    <w:rsid w:val="003D1E6A"/>
    <w:rsid w:val="003D1EF0"/>
    <w:rsid w:val="003D2125"/>
    <w:rsid w:val="003D24B0"/>
    <w:rsid w:val="003D24E1"/>
    <w:rsid w:val="003D2DC2"/>
    <w:rsid w:val="003D308E"/>
    <w:rsid w:val="003D31C7"/>
    <w:rsid w:val="003D40A8"/>
    <w:rsid w:val="003D423A"/>
    <w:rsid w:val="003D4832"/>
    <w:rsid w:val="003D4864"/>
    <w:rsid w:val="003D4A99"/>
    <w:rsid w:val="003D513A"/>
    <w:rsid w:val="003D5176"/>
    <w:rsid w:val="003D51FC"/>
    <w:rsid w:val="003D56A6"/>
    <w:rsid w:val="003D56C2"/>
    <w:rsid w:val="003D65EF"/>
    <w:rsid w:val="003D676B"/>
    <w:rsid w:val="003D6FE7"/>
    <w:rsid w:val="003D70A5"/>
    <w:rsid w:val="003D72D4"/>
    <w:rsid w:val="003D7356"/>
    <w:rsid w:val="003D73A3"/>
    <w:rsid w:val="003D74CB"/>
    <w:rsid w:val="003D77E1"/>
    <w:rsid w:val="003D7B0E"/>
    <w:rsid w:val="003D7F85"/>
    <w:rsid w:val="003E02B3"/>
    <w:rsid w:val="003E0695"/>
    <w:rsid w:val="003E0CB4"/>
    <w:rsid w:val="003E129D"/>
    <w:rsid w:val="003E15D2"/>
    <w:rsid w:val="003E16AB"/>
    <w:rsid w:val="003E1A15"/>
    <w:rsid w:val="003E1B1D"/>
    <w:rsid w:val="003E1C30"/>
    <w:rsid w:val="003E1CCD"/>
    <w:rsid w:val="003E2399"/>
    <w:rsid w:val="003E2F6B"/>
    <w:rsid w:val="003E3CB9"/>
    <w:rsid w:val="003E3FC9"/>
    <w:rsid w:val="003E4792"/>
    <w:rsid w:val="003E4E6D"/>
    <w:rsid w:val="003E4F12"/>
    <w:rsid w:val="003E525A"/>
    <w:rsid w:val="003E53B6"/>
    <w:rsid w:val="003E546F"/>
    <w:rsid w:val="003E55D2"/>
    <w:rsid w:val="003E5967"/>
    <w:rsid w:val="003E5C29"/>
    <w:rsid w:val="003E6894"/>
    <w:rsid w:val="003E6A32"/>
    <w:rsid w:val="003E7290"/>
    <w:rsid w:val="003E77B5"/>
    <w:rsid w:val="003E7F5B"/>
    <w:rsid w:val="003F00C1"/>
    <w:rsid w:val="003F029A"/>
    <w:rsid w:val="003F0993"/>
    <w:rsid w:val="003F0A71"/>
    <w:rsid w:val="003F12A8"/>
    <w:rsid w:val="003F12DA"/>
    <w:rsid w:val="003F131F"/>
    <w:rsid w:val="003F13AB"/>
    <w:rsid w:val="003F1C3A"/>
    <w:rsid w:val="003F20F6"/>
    <w:rsid w:val="003F21F1"/>
    <w:rsid w:val="003F230C"/>
    <w:rsid w:val="003F25A2"/>
    <w:rsid w:val="003F2804"/>
    <w:rsid w:val="003F298A"/>
    <w:rsid w:val="003F31AC"/>
    <w:rsid w:val="003F3771"/>
    <w:rsid w:val="003F37C5"/>
    <w:rsid w:val="003F3A7D"/>
    <w:rsid w:val="003F3AD5"/>
    <w:rsid w:val="003F3B37"/>
    <w:rsid w:val="003F3DAD"/>
    <w:rsid w:val="003F4B01"/>
    <w:rsid w:val="003F4D2C"/>
    <w:rsid w:val="003F5C7C"/>
    <w:rsid w:val="003F686B"/>
    <w:rsid w:val="003F6B83"/>
    <w:rsid w:val="003F6C4D"/>
    <w:rsid w:val="003F6CB2"/>
    <w:rsid w:val="003F75E6"/>
    <w:rsid w:val="003F7713"/>
    <w:rsid w:val="003F7BDF"/>
    <w:rsid w:val="00400019"/>
    <w:rsid w:val="004002DD"/>
    <w:rsid w:val="00400A5B"/>
    <w:rsid w:val="00400E1C"/>
    <w:rsid w:val="00401232"/>
    <w:rsid w:val="00401399"/>
    <w:rsid w:val="004016C9"/>
    <w:rsid w:val="00401B79"/>
    <w:rsid w:val="00401E21"/>
    <w:rsid w:val="00401E55"/>
    <w:rsid w:val="00402037"/>
    <w:rsid w:val="004023F6"/>
    <w:rsid w:val="00402616"/>
    <w:rsid w:val="00402776"/>
    <w:rsid w:val="00402AC4"/>
    <w:rsid w:val="004030E9"/>
    <w:rsid w:val="004036F9"/>
    <w:rsid w:val="00403897"/>
    <w:rsid w:val="00403E78"/>
    <w:rsid w:val="00404B4D"/>
    <w:rsid w:val="00404BCD"/>
    <w:rsid w:val="00404CAB"/>
    <w:rsid w:val="00404D67"/>
    <w:rsid w:val="0040505D"/>
    <w:rsid w:val="00405152"/>
    <w:rsid w:val="00405507"/>
    <w:rsid w:val="004055A9"/>
    <w:rsid w:val="00406495"/>
    <w:rsid w:val="00406ADF"/>
    <w:rsid w:val="00406CC9"/>
    <w:rsid w:val="00406DEC"/>
    <w:rsid w:val="00406F13"/>
    <w:rsid w:val="00407058"/>
    <w:rsid w:val="004074A6"/>
    <w:rsid w:val="004078D0"/>
    <w:rsid w:val="00407B03"/>
    <w:rsid w:val="00407EB7"/>
    <w:rsid w:val="00407FCB"/>
    <w:rsid w:val="00407FDF"/>
    <w:rsid w:val="004100B3"/>
    <w:rsid w:val="00410328"/>
    <w:rsid w:val="0041047A"/>
    <w:rsid w:val="00410D8B"/>
    <w:rsid w:val="00410DB2"/>
    <w:rsid w:val="00410F88"/>
    <w:rsid w:val="00411014"/>
    <w:rsid w:val="004111D8"/>
    <w:rsid w:val="004117DB"/>
    <w:rsid w:val="004117DE"/>
    <w:rsid w:val="00411BDA"/>
    <w:rsid w:val="00411EEA"/>
    <w:rsid w:val="0041216B"/>
    <w:rsid w:val="004126B9"/>
    <w:rsid w:val="00413F50"/>
    <w:rsid w:val="004148BF"/>
    <w:rsid w:val="00415333"/>
    <w:rsid w:val="004163A6"/>
    <w:rsid w:val="00416446"/>
    <w:rsid w:val="004166BF"/>
    <w:rsid w:val="00416AC6"/>
    <w:rsid w:val="00416F1A"/>
    <w:rsid w:val="004179E9"/>
    <w:rsid w:val="00417DF7"/>
    <w:rsid w:val="00420082"/>
    <w:rsid w:val="0042043F"/>
    <w:rsid w:val="0042092A"/>
    <w:rsid w:val="00421213"/>
    <w:rsid w:val="004215A9"/>
    <w:rsid w:val="00421955"/>
    <w:rsid w:val="00421E36"/>
    <w:rsid w:val="004223E7"/>
    <w:rsid w:val="00422A9B"/>
    <w:rsid w:val="00422D12"/>
    <w:rsid w:val="0042316E"/>
    <w:rsid w:val="004237FB"/>
    <w:rsid w:val="0042429F"/>
    <w:rsid w:val="004242FF"/>
    <w:rsid w:val="004244C8"/>
    <w:rsid w:val="004246C7"/>
    <w:rsid w:val="00424ABF"/>
    <w:rsid w:val="00424B50"/>
    <w:rsid w:val="00424EBC"/>
    <w:rsid w:val="00425764"/>
    <w:rsid w:val="00425A76"/>
    <w:rsid w:val="00426009"/>
    <w:rsid w:val="004263AC"/>
    <w:rsid w:val="004264FB"/>
    <w:rsid w:val="00426694"/>
    <w:rsid w:val="00426902"/>
    <w:rsid w:val="00426DB4"/>
    <w:rsid w:val="00427037"/>
    <w:rsid w:val="004270AE"/>
    <w:rsid w:val="004274B6"/>
    <w:rsid w:val="00427C6A"/>
    <w:rsid w:val="00427DBD"/>
    <w:rsid w:val="004301A9"/>
    <w:rsid w:val="00430626"/>
    <w:rsid w:val="004306D6"/>
    <w:rsid w:val="0043076F"/>
    <w:rsid w:val="00431037"/>
    <w:rsid w:val="00431788"/>
    <w:rsid w:val="004319D0"/>
    <w:rsid w:val="00432500"/>
    <w:rsid w:val="0043252E"/>
    <w:rsid w:val="0043254C"/>
    <w:rsid w:val="00432ECF"/>
    <w:rsid w:val="0043309E"/>
    <w:rsid w:val="004336D7"/>
    <w:rsid w:val="00433949"/>
    <w:rsid w:val="00433ABB"/>
    <w:rsid w:val="00434153"/>
    <w:rsid w:val="004348D2"/>
    <w:rsid w:val="00434DD0"/>
    <w:rsid w:val="00435732"/>
    <w:rsid w:val="00436577"/>
    <w:rsid w:val="004372BC"/>
    <w:rsid w:val="00437591"/>
    <w:rsid w:val="004375CC"/>
    <w:rsid w:val="004376E5"/>
    <w:rsid w:val="00437D76"/>
    <w:rsid w:val="0044053D"/>
    <w:rsid w:val="00440AD2"/>
    <w:rsid w:val="00440D81"/>
    <w:rsid w:val="00441357"/>
    <w:rsid w:val="00441545"/>
    <w:rsid w:val="0044158E"/>
    <w:rsid w:val="00441E9D"/>
    <w:rsid w:val="00442DB7"/>
    <w:rsid w:val="00442E34"/>
    <w:rsid w:val="00443036"/>
    <w:rsid w:val="0044382B"/>
    <w:rsid w:val="00443BC5"/>
    <w:rsid w:val="004448E3"/>
    <w:rsid w:val="00444E57"/>
    <w:rsid w:val="004451C8"/>
    <w:rsid w:val="004454A1"/>
    <w:rsid w:val="00445729"/>
    <w:rsid w:val="00445858"/>
    <w:rsid w:val="00445980"/>
    <w:rsid w:val="00445A17"/>
    <w:rsid w:val="00445AF6"/>
    <w:rsid w:val="00445BE4"/>
    <w:rsid w:val="00445C10"/>
    <w:rsid w:val="00445CD8"/>
    <w:rsid w:val="004466DE"/>
    <w:rsid w:val="0044681B"/>
    <w:rsid w:val="004468CF"/>
    <w:rsid w:val="00446B96"/>
    <w:rsid w:val="00446C65"/>
    <w:rsid w:val="00447456"/>
    <w:rsid w:val="00447749"/>
    <w:rsid w:val="004479A7"/>
    <w:rsid w:val="00447A19"/>
    <w:rsid w:val="004502B4"/>
    <w:rsid w:val="004509A1"/>
    <w:rsid w:val="00450E72"/>
    <w:rsid w:val="00450F1F"/>
    <w:rsid w:val="0045102F"/>
    <w:rsid w:val="004515F7"/>
    <w:rsid w:val="00451D28"/>
    <w:rsid w:val="00452D49"/>
    <w:rsid w:val="00452DC1"/>
    <w:rsid w:val="0045377E"/>
    <w:rsid w:val="004538DC"/>
    <w:rsid w:val="00453925"/>
    <w:rsid w:val="00453B88"/>
    <w:rsid w:val="00453BE4"/>
    <w:rsid w:val="00453D05"/>
    <w:rsid w:val="004544EA"/>
    <w:rsid w:val="004549AA"/>
    <w:rsid w:val="004560C4"/>
    <w:rsid w:val="0045641D"/>
    <w:rsid w:val="00456F6D"/>
    <w:rsid w:val="00457C90"/>
    <w:rsid w:val="00457ECC"/>
    <w:rsid w:val="00461308"/>
    <w:rsid w:val="00461334"/>
    <w:rsid w:val="00461DA8"/>
    <w:rsid w:val="004623AC"/>
    <w:rsid w:val="0046252B"/>
    <w:rsid w:val="00462A3E"/>
    <w:rsid w:val="00462D00"/>
    <w:rsid w:val="00462ECE"/>
    <w:rsid w:val="00462F3B"/>
    <w:rsid w:val="00462FE7"/>
    <w:rsid w:val="00463091"/>
    <w:rsid w:val="00463137"/>
    <w:rsid w:val="0046346E"/>
    <w:rsid w:val="00463D09"/>
    <w:rsid w:val="00463DE3"/>
    <w:rsid w:val="00464016"/>
    <w:rsid w:val="00464299"/>
    <w:rsid w:val="00464397"/>
    <w:rsid w:val="004643CC"/>
    <w:rsid w:val="00464491"/>
    <w:rsid w:val="00464A92"/>
    <w:rsid w:val="004650EE"/>
    <w:rsid w:val="00465C6E"/>
    <w:rsid w:val="0046635A"/>
    <w:rsid w:val="00466397"/>
    <w:rsid w:val="00466609"/>
    <w:rsid w:val="0046676B"/>
    <w:rsid w:val="00466941"/>
    <w:rsid w:val="00467344"/>
    <w:rsid w:val="0046771B"/>
    <w:rsid w:val="00467B18"/>
    <w:rsid w:val="00467B8D"/>
    <w:rsid w:val="00467D2A"/>
    <w:rsid w:val="004702D2"/>
    <w:rsid w:val="004706F0"/>
    <w:rsid w:val="004708B6"/>
    <w:rsid w:val="00471626"/>
    <w:rsid w:val="00471782"/>
    <w:rsid w:val="004718A5"/>
    <w:rsid w:val="004722BF"/>
    <w:rsid w:val="0047250D"/>
    <w:rsid w:val="00472D59"/>
    <w:rsid w:val="00472ED0"/>
    <w:rsid w:val="00473497"/>
    <w:rsid w:val="004738EE"/>
    <w:rsid w:val="00473DB2"/>
    <w:rsid w:val="004743A6"/>
    <w:rsid w:val="004747F4"/>
    <w:rsid w:val="00474EB8"/>
    <w:rsid w:val="0047535A"/>
    <w:rsid w:val="00475866"/>
    <w:rsid w:val="00475AD4"/>
    <w:rsid w:val="0047622D"/>
    <w:rsid w:val="00476819"/>
    <w:rsid w:val="0047692A"/>
    <w:rsid w:val="00476DA8"/>
    <w:rsid w:val="00476EEF"/>
    <w:rsid w:val="004778C0"/>
    <w:rsid w:val="00480095"/>
    <w:rsid w:val="0048031D"/>
    <w:rsid w:val="00480979"/>
    <w:rsid w:val="00480C91"/>
    <w:rsid w:val="00480F2E"/>
    <w:rsid w:val="00480FD2"/>
    <w:rsid w:val="00481258"/>
    <w:rsid w:val="0048139D"/>
    <w:rsid w:val="004814CF"/>
    <w:rsid w:val="0048163B"/>
    <w:rsid w:val="004819C2"/>
    <w:rsid w:val="004819D3"/>
    <w:rsid w:val="004823EA"/>
    <w:rsid w:val="00483171"/>
    <w:rsid w:val="004831BB"/>
    <w:rsid w:val="004831EE"/>
    <w:rsid w:val="004836D0"/>
    <w:rsid w:val="00483753"/>
    <w:rsid w:val="00483826"/>
    <w:rsid w:val="00483B0D"/>
    <w:rsid w:val="00483D3F"/>
    <w:rsid w:val="00484137"/>
    <w:rsid w:val="00484806"/>
    <w:rsid w:val="00484F1A"/>
    <w:rsid w:val="00485096"/>
    <w:rsid w:val="00485455"/>
    <w:rsid w:val="00485C9F"/>
    <w:rsid w:val="00485E40"/>
    <w:rsid w:val="00485F27"/>
    <w:rsid w:val="00485FF5"/>
    <w:rsid w:val="004860B3"/>
    <w:rsid w:val="004862BD"/>
    <w:rsid w:val="00486C04"/>
    <w:rsid w:val="0048707B"/>
    <w:rsid w:val="004870BE"/>
    <w:rsid w:val="004873FF"/>
    <w:rsid w:val="004878AA"/>
    <w:rsid w:val="004879FA"/>
    <w:rsid w:val="004901FF"/>
    <w:rsid w:val="0049028B"/>
    <w:rsid w:val="00490449"/>
    <w:rsid w:val="00490703"/>
    <w:rsid w:val="00490ADE"/>
    <w:rsid w:val="00490B31"/>
    <w:rsid w:val="00491381"/>
    <w:rsid w:val="004913F9"/>
    <w:rsid w:val="00491564"/>
    <w:rsid w:val="0049164C"/>
    <w:rsid w:val="0049179D"/>
    <w:rsid w:val="00491B3E"/>
    <w:rsid w:val="00492042"/>
    <w:rsid w:val="004921C2"/>
    <w:rsid w:val="004926D2"/>
    <w:rsid w:val="004926E9"/>
    <w:rsid w:val="00492950"/>
    <w:rsid w:val="00492F01"/>
    <w:rsid w:val="00493EB0"/>
    <w:rsid w:val="004941F7"/>
    <w:rsid w:val="00494A1F"/>
    <w:rsid w:val="00494D3D"/>
    <w:rsid w:val="00495469"/>
    <w:rsid w:val="004954FD"/>
    <w:rsid w:val="00495BD1"/>
    <w:rsid w:val="00495C02"/>
    <w:rsid w:val="00495E49"/>
    <w:rsid w:val="00495EAB"/>
    <w:rsid w:val="00495F66"/>
    <w:rsid w:val="00496755"/>
    <w:rsid w:val="0049684B"/>
    <w:rsid w:val="00496A00"/>
    <w:rsid w:val="00496A4D"/>
    <w:rsid w:val="00496B1B"/>
    <w:rsid w:val="00496CF9"/>
    <w:rsid w:val="00496E99"/>
    <w:rsid w:val="004973AA"/>
    <w:rsid w:val="004974EE"/>
    <w:rsid w:val="00497551"/>
    <w:rsid w:val="00497B15"/>
    <w:rsid w:val="004A059B"/>
    <w:rsid w:val="004A0BF2"/>
    <w:rsid w:val="004A1397"/>
    <w:rsid w:val="004A1AF8"/>
    <w:rsid w:val="004A1DE0"/>
    <w:rsid w:val="004A1EBA"/>
    <w:rsid w:val="004A21E1"/>
    <w:rsid w:val="004A2ACF"/>
    <w:rsid w:val="004A3006"/>
    <w:rsid w:val="004A36D5"/>
    <w:rsid w:val="004A3885"/>
    <w:rsid w:val="004A3BF1"/>
    <w:rsid w:val="004A3C64"/>
    <w:rsid w:val="004A3ED5"/>
    <w:rsid w:val="004A405C"/>
    <w:rsid w:val="004A40CB"/>
    <w:rsid w:val="004A4201"/>
    <w:rsid w:val="004A4454"/>
    <w:rsid w:val="004A561E"/>
    <w:rsid w:val="004A5769"/>
    <w:rsid w:val="004A5E0B"/>
    <w:rsid w:val="004A6098"/>
    <w:rsid w:val="004A6165"/>
    <w:rsid w:val="004A6386"/>
    <w:rsid w:val="004A67D0"/>
    <w:rsid w:val="004A6B69"/>
    <w:rsid w:val="004A6FDC"/>
    <w:rsid w:val="004A7016"/>
    <w:rsid w:val="004A74A9"/>
    <w:rsid w:val="004B0472"/>
    <w:rsid w:val="004B0B09"/>
    <w:rsid w:val="004B0EEA"/>
    <w:rsid w:val="004B0FA8"/>
    <w:rsid w:val="004B10BE"/>
    <w:rsid w:val="004B10ED"/>
    <w:rsid w:val="004B1F87"/>
    <w:rsid w:val="004B219F"/>
    <w:rsid w:val="004B286B"/>
    <w:rsid w:val="004B3346"/>
    <w:rsid w:val="004B3BA6"/>
    <w:rsid w:val="004B41D4"/>
    <w:rsid w:val="004B41DD"/>
    <w:rsid w:val="004B4256"/>
    <w:rsid w:val="004B466A"/>
    <w:rsid w:val="004B49F0"/>
    <w:rsid w:val="004B4A0F"/>
    <w:rsid w:val="004B4B16"/>
    <w:rsid w:val="004B4D72"/>
    <w:rsid w:val="004B50EA"/>
    <w:rsid w:val="004B5A08"/>
    <w:rsid w:val="004B5AD8"/>
    <w:rsid w:val="004B5AFC"/>
    <w:rsid w:val="004B5D46"/>
    <w:rsid w:val="004B64C8"/>
    <w:rsid w:val="004B652F"/>
    <w:rsid w:val="004B6624"/>
    <w:rsid w:val="004B71BC"/>
    <w:rsid w:val="004B7DCC"/>
    <w:rsid w:val="004C01F9"/>
    <w:rsid w:val="004C02C0"/>
    <w:rsid w:val="004C0538"/>
    <w:rsid w:val="004C0663"/>
    <w:rsid w:val="004C0B4E"/>
    <w:rsid w:val="004C0D13"/>
    <w:rsid w:val="004C222A"/>
    <w:rsid w:val="004C222B"/>
    <w:rsid w:val="004C2B66"/>
    <w:rsid w:val="004C2BEB"/>
    <w:rsid w:val="004C33C6"/>
    <w:rsid w:val="004C33EF"/>
    <w:rsid w:val="004C350F"/>
    <w:rsid w:val="004C38AD"/>
    <w:rsid w:val="004C3D5F"/>
    <w:rsid w:val="004C3F11"/>
    <w:rsid w:val="004C444A"/>
    <w:rsid w:val="004C4597"/>
    <w:rsid w:val="004C4888"/>
    <w:rsid w:val="004C48C2"/>
    <w:rsid w:val="004C4D49"/>
    <w:rsid w:val="004C4D89"/>
    <w:rsid w:val="004C4D96"/>
    <w:rsid w:val="004C4EAF"/>
    <w:rsid w:val="004C520A"/>
    <w:rsid w:val="004C529D"/>
    <w:rsid w:val="004C5AD8"/>
    <w:rsid w:val="004C5F34"/>
    <w:rsid w:val="004C6035"/>
    <w:rsid w:val="004C6257"/>
    <w:rsid w:val="004C62EB"/>
    <w:rsid w:val="004C634B"/>
    <w:rsid w:val="004C67B9"/>
    <w:rsid w:val="004C68DC"/>
    <w:rsid w:val="004C6B45"/>
    <w:rsid w:val="004C6C3D"/>
    <w:rsid w:val="004C7235"/>
    <w:rsid w:val="004C7411"/>
    <w:rsid w:val="004C769C"/>
    <w:rsid w:val="004C7733"/>
    <w:rsid w:val="004C7939"/>
    <w:rsid w:val="004C7D4B"/>
    <w:rsid w:val="004C7DA3"/>
    <w:rsid w:val="004D0853"/>
    <w:rsid w:val="004D0EB4"/>
    <w:rsid w:val="004D15AF"/>
    <w:rsid w:val="004D1DA5"/>
    <w:rsid w:val="004D228A"/>
    <w:rsid w:val="004D2761"/>
    <w:rsid w:val="004D28F1"/>
    <w:rsid w:val="004D321D"/>
    <w:rsid w:val="004D34C9"/>
    <w:rsid w:val="004D3C38"/>
    <w:rsid w:val="004D4293"/>
    <w:rsid w:val="004D4C72"/>
    <w:rsid w:val="004D4FB2"/>
    <w:rsid w:val="004D5003"/>
    <w:rsid w:val="004D51C0"/>
    <w:rsid w:val="004D5DE4"/>
    <w:rsid w:val="004D5F07"/>
    <w:rsid w:val="004D5F80"/>
    <w:rsid w:val="004D6069"/>
    <w:rsid w:val="004D649D"/>
    <w:rsid w:val="004D69E6"/>
    <w:rsid w:val="004D6D76"/>
    <w:rsid w:val="004D6E35"/>
    <w:rsid w:val="004D7312"/>
    <w:rsid w:val="004D7749"/>
    <w:rsid w:val="004D79A5"/>
    <w:rsid w:val="004E0142"/>
    <w:rsid w:val="004E0300"/>
    <w:rsid w:val="004E0B25"/>
    <w:rsid w:val="004E0DA7"/>
    <w:rsid w:val="004E1310"/>
    <w:rsid w:val="004E1501"/>
    <w:rsid w:val="004E1512"/>
    <w:rsid w:val="004E2C4A"/>
    <w:rsid w:val="004E2C6A"/>
    <w:rsid w:val="004E2CBF"/>
    <w:rsid w:val="004E2EEA"/>
    <w:rsid w:val="004E2F03"/>
    <w:rsid w:val="004E30B1"/>
    <w:rsid w:val="004E311D"/>
    <w:rsid w:val="004E33BB"/>
    <w:rsid w:val="004E3D98"/>
    <w:rsid w:val="004E461C"/>
    <w:rsid w:val="004E48E9"/>
    <w:rsid w:val="004E4E69"/>
    <w:rsid w:val="004E52E4"/>
    <w:rsid w:val="004E53D3"/>
    <w:rsid w:val="004E565D"/>
    <w:rsid w:val="004E56F1"/>
    <w:rsid w:val="004E5E81"/>
    <w:rsid w:val="004E5F09"/>
    <w:rsid w:val="004E65E0"/>
    <w:rsid w:val="004E694A"/>
    <w:rsid w:val="004E6EBE"/>
    <w:rsid w:val="004E71B5"/>
    <w:rsid w:val="004E7839"/>
    <w:rsid w:val="004E7A41"/>
    <w:rsid w:val="004E7DA6"/>
    <w:rsid w:val="004E7EE5"/>
    <w:rsid w:val="004E7EFB"/>
    <w:rsid w:val="004E7FD9"/>
    <w:rsid w:val="004F016E"/>
    <w:rsid w:val="004F06F7"/>
    <w:rsid w:val="004F0E7F"/>
    <w:rsid w:val="004F15AC"/>
    <w:rsid w:val="004F24A4"/>
    <w:rsid w:val="004F2550"/>
    <w:rsid w:val="004F28F5"/>
    <w:rsid w:val="004F2929"/>
    <w:rsid w:val="004F2D38"/>
    <w:rsid w:val="004F3126"/>
    <w:rsid w:val="004F320C"/>
    <w:rsid w:val="004F3229"/>
    <w:rsid w:val="004F3352"/>
    <w:rsid w:val="004F34AE"/>
    <w:rsid w:val="004F3619"/>
    <w:rsid w:val="004F3656"/>
    <w:rsid w:val="004F38EF"/>
    <w:rsid w:val="004F395C"/>
    <w:rsid w:val="004F3B3C"/>
    <w:rsid w:val="004F3CFD"/>
    <w:rsid w:val="004F4043"/>
    <w:rsid w:val="004F43E3"/>
    <w:rsid w:val="004F4641"/>
    <w:rsid w:val="004F4DE3"/>
    <w:rsid w:val="004F4F12"/>
    <w:rsid w:val="004F5012"/>
    <w:rsid w:val="004F51DB"/>
    <w:rsid w:val="004F52DB"/>
    <w:rsid w:val="004F5D9F"/>
    <w:rsid w:val="004F655F"/>
    <w:rsid w:val="004F68E1"/>
    <w:rsid w:val="004F6940"/>
    <w:rsid w:val="004F6C10"/>
    <w:rsid w:val="004F6EE8"/>
    <w:rsid w:val="004F6EED"/>
    <w:rsid w:val="004F7386"/>
    <w:rsid w:val="004F7462"/>
    <w:rsid w:val="004F759A"/>
    <w:rsid w:val="004F7913"/>
    <w:rsid w:val="004F7B33"/>
    <w:rsid w:val="004F7C4F"/>
    <w:rsid w:val="004F7E92"/>
    <w:rsid w:val="00500B10"/>
    <w:rsid w:val="00500F55"/>
    <w:rsid w:val="00500FC4"/>
    <w:rsid w:val="005013B9"/>
    <w:rsid w:val="00501613"/>
    <w:rsid w:val="00501ACA"/>
    <w:rsid w:val="00501AEB"/>
    <w:rsid w:val="00501AFE"/>
    <w:rsid w:val="00501BBC"/>
    <w:rsid w:val="00501D84"/>
    <w:rsid w:val="00501E0F"/>
    <w:rsid w:val="00501FDC"/>
    <w:rsid w:val="00502061"/>
    <w:rsid w:val="00502234"/>
    <w:rsid w:val="0050245D"/>
    <w:rsid w:val="005024A3"/>
    <w:rsid w:val="005027A1"/>
    <w:rsid w:val="00502873"/>
    <w:rsid w:val="00502EC7"/>
    <w:rsid w:val="00503254"/>
    <w:rsid w:val="005033D2"/>
    <w:rsid w:val="0050469B"/>
    <w:rsid w:val="00504941"/>
    <w:rsid w:val="00504C60"/>
    <w:rsid w:val="0050501F"/>
    <w:rsid w:val="00505358"/>
    <w:rsid w:val="0050538E"/>
    <w:rsid w:val="005058B3"/>
    <w:rsid w:val="00505A1F"/>
    <w:rsid w:val="00505B0D"/>
    <w:rsid w:val="0050652C"/>
    <w:rsid w:val="0050661E"/>
    <w:rsid w:val="00506CBA"/>
    <w:rsid w:val="00506CC3"/>
    <w:rsid w:val="00506D16"/>
    <w:rsid w:val="005071DA"/>
    <w:rsid w:val="0050752B"/>
    <w:rsid w:val="005079EA"/>
    <w:rsid w:val="00507AC2"/>
    <w:rsid w:val="00507DEE"/>
    <w:rsid w:val="0051063C"/>
    <w:rsid w:val="00510752"/>
    <w:rsid w:val="00510900"/>
    <w:rsid w:val="00510A93"/>
    <w:rsid w:val="00510AAE"/>
    <w:rsid w:val="00510C41"/>
    <w:rsid w:val="00510C6D"/>
    <w:rsid w:val="0051100A"/>
    <w:rsid w:val="00511123"/>
    <w:rsid w:val="005113A2"/>
    <w:rsid w:val="005116F6"/>
    <w:rsid w:val="005117F9"/>
    <w:rsid w:val="00511A29"/>
    <w:rsid w:val="00511A59"/>
    <w:rsid w:val="00511C00"/>
    <w:rsid w:val="00511E95"/>
    <w:rsid w:val="00512641"/>
    <w:rsid w:val="00512808"/>
    <w:rsid w:val="005129E3"/>
    <w:rsid w:val="005129F5"/>
    <w:rsid w:val="00513B91"/>
    <w:rsid w:val="005142EA"/>
    <w:rsid w:val="005144CA"/>
    <w:rsid w:val="00514C4E"/>
    <w:rsid w:val="00514F82"/>
    <w:rsid w:val="00515470"/>
    <w:rsid w:val="005156FE"/>
    <w:rsid w:val="00515836"/>
    <w:rsid w:val="0051599C"/>
    <w:rsid w:val="00515A38"/>
    <w:rsid w:val="00515B46"/>
    <w:rsid w:val="0051606A"/>
    <w:rsid w:val="005163A9"/>
    <w:rsid w:val="00516454"/>
    <w:rsid w:val="00516632"/>
    <w:rsid w:val="00516928"/>
    <w:rsid w:val="00516FFA"/>
    <w:rsid w:val="00517919"/>
    <w:rsid w:val="005179D9"/>
    <w:rsid w:val="00517A07"/>
    <w:rsid w:val="00517C0F"/>
    <w:rsid w:val="00517C54"/>
    <w:rsid w:val="0052017D"/>
    <w:rsid w:val="005204A0"/>
    <w:rsid w:val="005209BE"/>
    <w:rsid w:val="00520C0F"/>
    <w:rsid w:val="00520E6F"/>
    <w:rsid w:val="00520F40"/>
    <w:rsid w:val="0052160C"/>
    <w:rsid w:val="005217B6"/>
    <w:rsid w:val="00521C1F"/>
    <w:rsid w:val="00521EA2"/>
    <w:rsid w:val="00522025"/>
    <w:rsid w:val="00522F98"/>
    <w:rsid w:val="00523170"/>
    <w:rsid w:val="00523AF1"/>
    <w:rsid w:val="0052465B"/>
    <w:rsid w:val="005247E8"/>
    <w:rsid w:val="00524AE6"/>
    <w:rsid w:val="00524F54"/>
    <w:rsid w:val="00525A05"/>
    <w:rsid w:val="00525AF8"/>
    <w:rsid w:val="00525BC3"/>
    <w:rsid w:val="00525C5A"/>
    <w:rsid w:val="00525E89"/>
    <w:rsid w:val="00526100"/>
    <w:rsid w:val="005263E5"/>
    <w:rsid w:val="005264BF"/>
    <w:rsid w:val="005269B6"/>
    <w:rsid w:val="00526EC6"/>
    <w:rsid w:val="00527125"/>
    <w:rsid w:val="0052721F"/>
    <w:rsid w:val="00527251"/>
    <w:rsid w:val="00527C29"/>
    <w:rsid w:val="00527FF1"/>
    <w:rsid w:val="005301B7"/>
    <w:rsid w:val="00530D61"/>
    <w:rsid w:val="00530E91"/>
    <w:rsid w:val="00530ECD"/>
    <w:rsid w:val="00531343"/>
    <w:rsid w:val="0053143D"/>
    <w:rsid w:val="00531461"/>
    <w:rsid w:val="00531DD6"/>
    <w:rsid w:val="005320A9"/>
    <w:rsid w:val="0053234C"/>
    <w:rsid w:val="005325A6"/>
    <w:rsid w:val="0053262E"/>
    <w:rsid w:val="00532785"/>
    <w:rsid w:val="0053280B"/>
    <w:rsid w:val="00532B2B"/>
    <w:rsid w:val="005330C3"/>
    <w:rsid w:val="005330D3"/>
    <w:rsid w:val="005330DF"/>
    <w:rsid w:val="00533197"/>
    <w:rsid w:val="0053354D"/>
    <w:rsid w:val="005336E6"/>
    <w:rsid w:val="00533A2A"/>
    <w:rsid w:val="00533D91"/>
    <w:rsid w:val="00533FAD"/>
    <w:rsid w:val="005343E2"/>
    <w:rsid w:val="005344A7"/>
    <w:rsid w:val="00534515"/>
    <w:rsid w:val="00534691"/>
    <w:rsid w:val="0053494A"/>
    <w:rsid w:val="00534AFA"/>
    <w:rsid w:val="00534F4B"/>
    <w:rsid w:val="005359A9"/>
    <w:rsid w:val="00535B4D"/>
    <w:rsid w:val="0053629A"/>
    <w:rsid w:val="005365E7"/>
    <w:rsid w:val="00536821"/>
    <w:rsid w:val="00537440"/>
    <w:rsid w:val="005374A2"/>
    <w:rsid w:val="00537593"/>
    <w:rsid w:val="0053770C"/>
    <w:rsid w:val="0053777B"/>
    <w:rsid w:val="005377E2"/>
    <w:rsid w:val="00537CAC"/>
    <w:rsid w:val="00540088"/>
    <w:rsid w:val="00540367"/>
    <w:rsid w:val="0054041D"/>
    <w:rsid w:val="00540C2C"/>
    <w:rsid w:val="00541025"/>
    <w:rsid w:val="00541936"/>
    <w:rsid w:val="00541938"/>
    <w:rsid w:val="00541B99"/>
    <w:rsid w:val="00542297"/>
    <w:rsid w:val="0054239B"/>
    <w:rsid w:val="0054251F"/>
    <w:rsid w:val="005428F0"/>
    <w:rsid w:val="00542A00"/>
    <w:rsid w:val="00542FD4"/>
    <w:rsid w:val="00543053"/>
    <w:rsid w:val="005432CD"/>
    <w:rsid w:val="00543A3E"/>
    <w:rsid w:val="00543DD4"/>
    <w:rsid w:val="00543E56"/>
    <w:rsid w:val="00543FFA"/>
    <w:rsid w:val="005443DD"/>
    <w:rsid w:val="005443F2"/>
    <w:rsid w:val="00544410"/>
    <w:rsid w:val="00544A01"/>
    <w:rsid w:val="00544B94"/>
    <w:rsid w:val="00544CD8"/>
    <w:rsid w:val="00544EA5"/>
    <w:rsid w:val="00545052"/>
    <w:rsid w:val="005455C8"/>
    <w:rsid w:val="00545861"/>
    <w:rsid w:val="00545F74"/>
    <w:rsid w:val="00545FB3"/>
    <w:rsid w:val="0054667A"/>
    <w:rsid w:val="0054698E"/>
    <w:rsid w:val="00546D93"/>
    <w:rsid w:val="00547196"/>
    <w:rsid w:val="005478AC"/>
    <w:rsid w:val="00547B80"/>
    <w:rsid w:val="00550026"/>
    <w:rsid w:val="00550923"/>
    <w:rsid w:val="00550E2D"/>
    <w:rsid w:val="00551496"/>
    <w:rsid w:val="00551C6F"/>
    <w:rsid w:val="00551E6C"/>
    <w:rsid w:val="00551FF9"/>
    <w:rsid w:val="00552D86"/>
    <w:rsid w:val="0055313D"/>
    <w:rsid w:val="005531EC"/>
    <w:rsid w:val="005534E3"/>
    <w:rsid w:val="00553646"/>
    <w:rsid w:val="005539FB"/>
    <w:rsid w:val="00553E9B"/>
    <w:rsid w:val="005541B0"/>
    <w:rsid w:val="00554243"/>
    <w:rsid w:val="005549B3"/>
    <w:rsid w:val="00554AD7"/>
    <w:rsid w:val="00554D21"/>
    <w:rsid w:val="00554DEE"/>
    <w:rsid w:val="00554E59"/>
    <w:rsid w:val="0055501A"/>
    <w:rsid w:val="0055506A"/>
    <w:rsid w:val="005567C9"/>
    <w:rsid w:val="00556A7C"/>
    <w:rsid w:val="00556F09"/>
    <w:rsid w:val="00557205"/>
    <w:rsid w:val="005572C1"/>
    <w:rsid w:val="00557303"/>
    <w:rsid w:val="005576C5"/>
    <w:rsid w:val="005577AA"/>
    <w:rsid w:val="00557B62"/>
    <w:rsid w:val="00557C40"/>
    <w:rsid w:val="00560299"/>
    <w:rsid w:val="005602D1"/>
    <w:rsid w:val="00560BA9"/>
    <w:rsid w:val="00560BE8"/>
    <w:rsid w:val="00560D69"/>
    <w:rsid w:val="00560EEB"/>
    <w:rsid w:val="0056105F"/>
    <w:rsid w:val="0056109C"/>
    <w:rsid w:val="00561272"/>
    <w:rsid w:val="005612DC"/>
    <w:rsid w:val="005614C9"/>
    <w:rsid w:val="00561DBD"/>
    <w:rsid w:val="005620A1"/>
    <w:rsid w:val="0056259A"/>
    <w:rsid w:val="005627B9"/>
    <w:rsid w:val="00563326"/>
    <w:rsid w:val="005635F3"/>
    <w:rsid w:val="00564516"/>
    <w:rsid w:val="005649BD"/>
    <w:rsid w:val="00564A9F"/>
    <w:rsid w:val="00564B5B"/>
    <w:rsid w:val="00564EB3"/>
    <w:rsid w:val="00564ED3"/>
    <w:rsid w:val="00565326"/>
    <w:rsid w:val="00565EDF"/>
    <w:rsid w:val="00565F78"/>
    <w:rsid w:val="0056617C"/>
    <w:rsid w:val="00566521"/>
    <w:rsid w:val="005669B9"/>
    <w:rsid w:val="00566B78"/>
    <w:rsid w:val="0056711F"/>
    <w:rsid w:val="005671A7"/>
    <w:rsid w:val="00567A1B"/>
    <w:rsid w:val="00570633"/>
    <w:rsid w:val="00570A4E"/>
    <w:rsid w:val="00570D54"/>
    <w:rsid w:val="0057188E"/>
    <w:rsid w:val="00571998"/>
    <w:rsid w:val="00571DD9"/>
    <w:rsid w:val="0057255D"/>
    <w:rsid w:val="005728E5"/>
    <w:rsid w:val="00572B17"/>
    <w:rsid w:val="00573342"/>
    <w:rsid w:val="005733F2"/>
    <w:rsid w:val="005736FC"/>
    <w:rsid w:val="00573782"/>
    <w:rsid w:val="00573B8C"/>
    <w:rsid w:val="00573C26"/>
    <w:rsid w:val="00573DA6"/>
    <w:rsid w:val="00573DB2"/>
    <w:rsid w:val="005741E1"/>
    <w:rsid w:val="00574237"/>
    <w:rsid w:val="005742C9"/>
    <w:rsid w:val="00574834"/>
    <w:rsid w:val="00574A99"/>
    <w:rsid w:val="00574B20"/>
    <w:rsid w:val="00574CBF"/>
    <w:rsid w:val="00574EC2"/>
    <w:rsid w:val="00575009"/>
    <w:rsid w:val="00575426"/>
    <w:rsid w:val="0057587B"/>
    <w:rsid w:val="00575A3E"/>
    <w:rsid w:val="0057607D"/>
    <w:rsid w:val="005760D6"/>
    <w:rsid w:val="00576308"/>
    <w:rsid w:val="00576577"/>
    <w:rsid w:val="005767B2"/>
    <w:rsid w:val="00576A53"/>
    <w:rsid w:val="00576E76"/>
    <w:rsid w:val="00576F46"/>
    <w:rsid w:val="005770E3"/>
    <w:rsid w:val="00577201"/>
    <w:rsid w:val="0057744C"/>
    <w:rsid w:val="0057747F"/>
    <w:rsid w:val="005778CD"/>
    <w:rsid w:val="005800CC"/>
    <w:rsid w:val="00580196"/>
    <w:rsid w:val="005806BC"/>
    <w:rsid w:val="0058085D"/>
    <w:rsid w:val="005812CD"/>
    <w:rsid w:val="00581EBE"/>
    <w:rsid w:val="0058237E"/>
    <w:rsid w:val="0058251A"/>
    <w:rsid w:val="00582575"/>
    <w:rsid w:val="00582831"/>
    <w:rsid w:val="00582BAA"/>
    <w:rsid w:val="00583F6F"/>
    <w:rsid w:val="00584162"/>
    <w:rsid w:val="00584255"/>
    <w:rsid w:val="00584503"/>
    <w:rsid w:val="0058450E"/>
    <w:rsid w:val="005845C2"/>
    <w:rsid w:val="005849B8"/>
    <w:rsid w:val="00584D34"/>
    <w:rsid w:val="00584FCE"/>
    <w:rsid w:val="00585200"/>
    <w:rsid w:val="00585379"/>
    <w:rsid w:val="00585507"/>
    <w:rsid w:val="005857AA"/>
    <w:rsid w:val="00585B25"/>
    <w:rsid w:val="00585C6A"/>
    <w:rsid w:val="00585C71"/>
    <w:rsid w:val="00585D41"/>
    <w:rsid w:val="00585EE1"/>
    <w:rsid w:val="005860AC"/>
    <w:rsid w:val="005863E6"/>
    <w:rsid w:val="0058658D"/>
    <w:rsid w:val="005869FF"/>
    <w:rsid w:val="00586E21"/>
    <w:rsid w:val="00586E25"/>
    <w:rsid w:val="00587F40"/>
    <w:rsid w:val="00590609"/>
    <w:rsid w:val="00590702"/>
    <w:rsid w:val="005908EE"/>
    <w:rsid w:val="00590A2C"/>
    <w:rsid w:val="00590A7F"/>
    <w:rsid w:val="00590DA1"/>
    <w:rsid w:val="0059109B"/>
    <w:rsid w:val="00591119"/>
    <w:rsid w:val="00591514"/>
    <w:rsid w:val="00591CC3"/>
    <w:rsid w:val="00591F6F"/>
    <w:rsid w:val="005924A6"/>
    <w:rsid w:val="0059276A"/>
    <w:rsid w:val="00593159"/>
    <w:rsid w:val="0059338A"/>
    <w:rsid w:val="00593F50"/>
    <w:rsid w:val="00594F34"/>
    <w:rsid w:val="005954E8"/>
    <w:rsid w:val="005955C5"/>
    <w:rsid w:val="005955DA"/>
    <w:rsid w:val="005957E8"/>
    <w:rsid w:val="0059585A"/>
    <w:rsid w:val="00595F60"/>
    <w:rsid w:val="00596312"/>
    <w:rsid w:val="0059632E"/>
    <w:rsid w:val="005964ED"/>
    <w:rsid w:val="00596996"/>
    <w:rsid w:val="00596A0A"/>
    <w:rsid w:val="00596C02"/>
    <w:rsid w:val="00597401"/>
    <w:rsid w:val="005977C0"/>
    <w:rsid w:val="005979D3"/>
    <w:rsid w:val="005979F8"/>
    <w:rsid w:val="005A0148"/>
    <w:rsid w:val="005A0901"/>
    <w:rsid w:val="005A1AD2"/>
    <w:rsid w:val="005A1C8B"/>
    <w:rsid w:val="005A1F85"/>
    <w:rsid w:val="005A2128"/>
    <w:rsid w:val="005A23D4"/>
    <w:rsid w:val="005A23E4"/>
    <w:rsid w:val="005A271A"/>
    <w:rsid w:val="005A317C"/>
    <w:rsid w:val="005A3565"/>
    <w:rsid w:val="005A36B8"/>
    <w:rsid w:val="005A395E"/>
    <w:rsid w:val="005A3F76"/>
    <w:rsid w:val="005A405C"/>
    <w:rsid w:val="005A4816"/>
    <w:rsid w:val="005A4DE0"/>
    <w:rsid w:val="005A4FEC"/>
    <w:rsid w:val="005A534E"/>
    <w:rsid w:val="005A553B"/>
    <w:rsid w:val="005A55FF"/>
    <w:rsid w:val="005A5985"/>
    <w:rsid w:val="005A5D61"/>
    <w:rsid w:val="005A5ECF"/>
    <w:rsid w:val="005A656B"/>
    <w:rsid w:val="005A676B"/>
    <w:rsid w:val="005A6E2F"/>
    <w:rsid w:val="005A71C0"/>
    <w:rsid w:val="005A76F2"/>
    <w:rsid w:val="005A7A27"/>
    <w:rsid w:val="005A7A31"/>
    <w:rsid w:val="005A7B69"/>
    <w:rsid w:val="005A7B9B"/>
    <w:rsid w:val="005A7E8C"/>
    <w:rsid w:val="005B0474"/>
    <w:rsid w:val="005B04B0"/>
    <w:rsid w:val="005B0FC6"/>
    <w:rsid w:val="005B0FED"/>
    <w:rsid w:val="005B10CA"/>
    <w:rsid w:val="005B1790"/>
    <w:rsid w:val="005B1CD2"/>
    <w:rsid w:val="005B1DAE"/>
    <w:rsid w:val="005B234F"/>
    <w:rsid w:val="005B25B0"/>
    <w:rsid w:val="005B2C31"/>
    <w:rsid w:val="005B2D85"/>
    <w:rsid w:val="005B31E8"/>
    <w:rsid w:val="005B3228"/>
    <w:rsid w:val="005B32C1"/>
    <w:rsid w:val="005B3439"/>
    <w:rsid w:val="005B3F44"/>
    <w:rsid w:val="005B44BE"/>
    <w:rsid w:val="005B48F2"/>
    <w:rsid w:val="005B4BD9"/>
    <w:rsid w:val="005B4C05"/>
    <w:rsid w:val="005B513A"/>
    <w:rsid w:val="005B5C2D"/>
    <w:rsid w:val="005B5D12"/>
    <w:rsid w:val="005B6047"/>
    <w:rsid w:val="005B6101"/>
    <w:rsid w:val="005B644B"/>
    <w:rsid w:val="005B6653"/>
    <w:rsid w:val="005B717C"/>
    <w:rsid w:val="005B723F"/>
    <w:rsid w:val="005B7302"/>
    <w:rsid w:val="005B7801"/>
    <w:rsid w:val="005B7A84"/>
    <w:rsid w:val="005B7D34"/>
    <w:rsid w:val="005C001A"/>
    <w:rsid w:val="005C06B4"/>
    <w:rsid w:val="005C0AA0"/>
    <w:rsid w:val="005C1047"/>
    <w:rsid w:val="005C138F"/>
    <w:rsid w:val="005C1E6C"/>
    <w:rsid w:val="005C1F91"/>
    <w:rsid w:val="005C20CF"/>
    <w:rsid w:val="005C2135"/>
    <w:rsid w:val="005C2205"/>
    <w:rsid w:val="005C26DA"/>
    <w:rsid w:val="005C2C48"/>
    <w:rsid w:val="005C3519"/>
    <w:rsid w:val="005C36EF"/>
    <w:rsid w:val="005C495D"/>
    <w:rsid w:val="005C4A06"/>
    <w:rsid w:val="005C4C28"/>
    <w:rsid w:val="005C4F64"/>
    <w:rsid w:val="005C4F7A"/>
    <w:rsid w:val="005C5552"/>
    <w:rsid w:val="005C5556"/>
    <w:rsid w:val="005C56A4"/>
    <w:rsid w:val="005C5837"/>
    <w:rsid w:val="005C5AE5"/>
    <w:rsid w:val="005C5B34"/>
    <w:rsid w:val="005C5C2A"/>
    <w:rsid w:val="005C5E32"/>
    <w:rsid w:val="005C5F05"/>
    <w:rsid w:val="005C63CD"/>
    <w:rsid w:val="005C65D4"/>
    <w:rsid w:val="005C66D2"/>
    <w:rsid w:val="005C6756"/>
    <w:rsid w:val="005C69AF"/>
    <w:rsid w:val="005C6BE9"/>
    <w:rsid w:val="005C6D64"/>
    <w:rsid w:val="005C6FB0"/>
    <w:rsid w:val="005C73EC"/>
    <w:rsid w:val="005C7518"/>
    <w:rsid w:val="005C782A"/>
    <w:rsid w:val="005C790F"/>
    <w:rsid w:val="005C7A7F"/>
    <w:rsid w:val="005C7BAD"/>
    <w:rsid w:val="005D0519"/>
    <w:rsid w:val="005D0535"/>
    <w:rsid w:val="005D071E"/>
    <w:rsid w:val="005D0E07"/>
    <w:rsid w:val="005D163E"/>
    <w:rsid w:val="005D17A2"/>
    <w:rsid w:val="005D19D0"/>
    <w:rsid w:val="005D1D8E"/>
    <w:rsid w:val="005D223F"/>
    <w:rsid w:val="005D3278"/>
    <w:rsid w:val="005D37F0"/>
    <w:rsid w:val="005D3AB9"/>
    <w:rsid w:val="005D3C14"/>
    <w:rsid w:val="005D3D68"/>
    <w:rsid w:val="005D3E52"/>
    <w:rsid w:val="005D41D7"/>
    <w:rsid w:val="005D441E"/>
    <w:rsid w:val="005D4B29"/>
    <w:rsid w:val="005D5000"/>
    <w:rsid w:val="005D51EF"/>
    <w:rsid w:val="005D53F7"/>
    <w:rsid w:val="005D5505"/>
    <w:rsid w:val="005D5596"/>
    <w:rsid w:val="005D5A63"/>
    <w:rsid w:val="005D6171"/>
    <w:rsid w:val="005D61AC"/>
    <w:rsid w:val="005D61EE"/>
    <w:rsid w:val="005D7291"/>
    <w:rsid w:val="005D72EA"/>
    <w:rsid w:val="005D7420"/>
    <w:rsid w:val="005D7471"/>
    <w:rsid w:val="005D7A1E"/>
    <w:rsid w:val="005D7F1A"/>
    <w:rsid w:val="005E028A"/>
    <w:rsid w:val="005E072B"/>
    <w:rsid w:val="005E0CE1"/>
    <w:rsid w:val="005E0D40"/>
    <w:rsid w:val="005E117E"/>
    <w:rsid w:val="005E13CC"/>
    <w:rsid w:val="005E13E6"/>
    <w:rsid w:val="005E14C4"/>
    <w:rsid w:val="005E16EC"/>
    <w:rsid w:val="005E2284"/>
    <w:rsid w:val="005E3603"/>
    <w:rsid w:val="005E3A45"/>
    <w:rsid w:val="005E3E1D"/>
    <w:rsid w:val="005E4802"/>
    <w:rsid w:val="005E48B5"/>
    <w:rsid w:val="005E5340"/>
    <w:rsid w:val="005E53A9"/>
    <w:rsid w:val="005E5F3F"/>
    <w:rsid w:val="005E6828"/>
    <w:rsid w:val="005E6B24"/>
    <w:rsid w:val="005E6E3C"/>
    <w:rsid w:val="005E7445"/>
    <w:rsid w:val="005E757E"/>
    <w:rsid w:val="005E7725"/>
    <w:rsid w:val="005E7965"/>
    <w:rsid w:val="005E7D2F"/>
    <w:rsid w:val="005E7F30"/>
    <w:rsid w:val="005F0B6C"/>
    <w:rsid w:val="005F139B"/>
    <w:rsid w:val="005F19C0"/>
    <w:rsid w:val="005F1DB1"/>
    <w:rsid w:val="005F1DD7"/>
    <w:rsid w:val="005F1FBD"/>
    <w:rsid w:val="005F20F7"/>
    <w:rsid w:val="005F249D"/>
    <w:rsid w:val="005F2FC8"/>
    <w:rsid w:val="005F339E"/>
    <w:rsid w:val="005F373C"/>
    <w:rsid w:val="005F3C53"/>
    <w:rsid w:val="005F3CA7"/>
    <w:rsid w:val="005F459F"/>
    <w:rsid w:val="005F50B6"/>
    <w:rsid w:val="005F56C9"/>
    <w:rsid w:val="005F5BE9"/>
    <w:rsid w:val="005F5D83"/>
    <w:rsid w:val="005F5DE9"/>
    <w:rsid w:val="005F5F20"/>
    <w:rsid w:val="005F63A0"/>
    <w:rsid w:val="005F6BC4"/>
    <w:rsid w:val="005F7143"/>
    <w:rsid w:val="005F7758"/>
    <w:rsid w:val="005F7C8A"/>
    <w:rsid w:val="005F7EAA"/>
    <w:rsid w:val="006007DB"/>
    <w:rsid w:val="006015B1"/>
    <w:rsid w:val="00601633"/>
    <w:rsid w:val="00601CCE"/>
    <w:rsid w:val="006020DB"/>
    <w:rsid w:val="006022C7"/>
    <w:rsid w:val="0060251D"/>
    <w:rsid w:val="00602946"/>
    <w:rsid w:val="00602BF3"/>
    <w:rsid w:val="006034AD"/>
    <w:rsid w:val="006035D9"/>
    <w:rsid w:val="006036E9"/>
    <w:rsid w:val="0060386D"/>
    <w:rsid w:val="00604538"/>
    <w:rsid w:val="00604A01"/>
    <w:rsid w:val="006052B8"/>
    <w:rsid w:val="006057E4"/>
    <w:rsid w:val="006059BC"/>
    <w:rsid w:val="0060614B"/>
    <w:rsid w:val="00606268"/>
    <w:rsid w:val="00606D84"/>
    <w:rsid w:val="00607325"/>
    <w:rsid w:val="006077CD"/>
    <w:rsid w:val="00607AD8"/>
    <w:rsid w:val="00607C99"/>
    <w:rsid w:val="00607EEA"/>
    <w:rsid w:val="0061000C"/>
    <w:rsid w:val="00610044"/>
    <w:rsid w:val="00610127"/>
    <w:rsid w:val="00610B20"/>
    <w:rsid w:val="00610D00"/>
    <w:rsid w:val="006111B6"/>
    <w:rsid w:val="00612012"/>
    <w:rsid w:val="0061226E"/>
    <w:rsid w:val="00612495"/>
    <w:rsid w:val="00612F30"/>
    <w:rsid w:val="0061390A"/>
    <w:rsid w:val="006139A3"/>
    <w:rsid w:val="00613E10"/>
    <w:rsid w:val="00613F63"/>
    <w:rsid w:val="0061407A"/>
    <w:rsid w:val="006145E8"/>
    <w:rsid w:val="00614B9A"/>
    <w:rsid w:val="00614F60"/>
    <w:rsid w:val="0061591C"/>
    <w:rsid w:val="006168F9"/>
    <w:rsid w:val="00616D46"/>
    <w:rsid w:val="00616DEB"/>
    <w:rsid w:val="00617853"/>
    <w:rsid w:val="006178F4"/>
    <w:rsid w:val="00617A6D"/>
    <w:rsid w:val="00617CB8"/>
    <w:rsid w:val="00617D7A"/>
    <w:rsid w:val="006202C9"/>
    <w:rsid w:val="0062039E"/>
    <w:rsid w:val="006204D8"/>
    <w:rsid w:val="006206F2"/>
    <w:rsid w:val="0062073E"/>
    <w:rsid w:val="00620C23"/>
    <w:rsid w:val="00620C47"/>
    <w:rsid w:val="00620D91"/>
    <w:rsid w:val="00620EB6"/>
    <w:rsid w:val="00620EEA"/>
    <w:rsid w:val="00621464"/>
    <w:rsid w:val="006217DB"/>
    <w:rsid w:val="00621BC2"/>
    <w:rsid w:val="00621F62"/>
    <w:rsid w:val="00622338"/>
    <w:rsid w:val="006224FE"/>
    <w:rsid w:val="006230AF"/>
    <w:rsid w:val="006234B2"/>
    <w:rsid w:val="0062350C"/>
    <w:rsid w:val="00623876"/>
    <w:rsid w:val="006238B5"/>
    <w:rsid w:val="00623B7A"/>
    <w:rsid w:val="00623EA5"/>
    <w:rsid w:val="00623FD7"/>
    <w:rsid w:val="00624140"/>
    <w:rsid w:val="006242F8"/>
    <w:rsid w:val="0062431B"/>
    <w:rsid w:val="00624326"/>
    <w:rsid w:val="006250C5"/>
    <w:rsid w:val="00625180"/>
    <w:rsid w:val="006254EC"/>
    <w:rsid w:val="006257EB"/>
    <w:rsid w:val="00625963"/>
    <w:rsid w:val="00625A2E"/>
    <w:rsid w:val="00625AF2"/>
    <w:rsid w:val="00625EF6"/>
    <w:rsid w:val="00625F29"/>
    <w:rsid w:val="00625FAF"/>
    <w:rsid w:val="006260BE"/>
    <w:rsid w:val="00626DBD"/>
    <w:rsid w:val="0062708C"/>
    <w:rsid w:val="00627C83"/>
    <w:rsid w:val="00627FF1"/>
    <w:rsid w:val="00630039"/>
    <w:rsid w:val="0063007A"/>
    <w:rsid w:val="006302B9"/>
    <w:rsid w:val="00630F7A"/>
    <w:rsid w:val="00631096"/>
    <w:rsid w:val="00631AEC"/>
    <w:rsid w:val="00631C02"/>
    <w:rsid w:val="00632348"/>
    <w:rsid w:val="0063262B"/>
    <w:rsid w:val="00632906"/>
    <w:rsid w:val="00632AE5"/>
    <w:rsid w:val="00632B27"/>
    <w:rsid w:val="006333F4"/>
    <w:rsid w:val="00633541"/>
    <w:rsid w:val="006339D6"/>
    <w:rsid w:val="00633A94"/>
    <w:rsid w:val="00633DBD"/>
    <w:rsid w:val="0063478C"/>
    <w:rsid w:val="0063482A"/>
    <w:rsid w:val="00634A92"/>
    <w:rsid w:val="00634F23"/>
    <w:rsid w:val="00635287"/>
    <w:rsid w:val="0063574B"/>
    <w:rsid w:val="00635A93"/>
    <w:rsid w:val="00635B5C"/>
    <w:rsid w:val="00635DD2"/>
    <w:rsid w:val="00635EC8"/>
    <w:rsid w:val="00635F1F"/>
    <w:rsid w:val="006362A7"/>
    <w:rsid w:val="00636762"/>
    <w:rsid w:val="00636A0C"/>
    <w:rsid w:val="00636AD9"/>
    <w:rsid w:val="006372E9"/>
    <w:rsid w:val="00640424"/>
    <w:rsid w:val="006406D9"/>
    <w:rsid w:val="00640917"/>
    <w:rsid w:val="00640939"/>
    <w:rsid w:val="00640EBC"/>
    <w:rsid w:val="006414F5"/>
    <w:rsid w:val="0064150F"/>
    <w:rsid w:val="00641778"/>
    <w:rsid w:val="006417FF"/>
    <w:rsid w:val="006418F6"/>
    <w:rsid w:val="00641AD1"/>
    <w:rsid w:val="00641E4F"/>
    <w:rsid w:val="006423D0"/>
    <w:rsid w:val="0064303D"/>
    <w:rsid w:val="00643350"/>
    <w:rsid w:val="006437BD"/>
    <w:rsid w:val="0064458A"/>
    <w:rsid w:val="00644F32"/>
    <w:rsid w:val="006459B9"/>
    <w:rsid w:val="00645ECE"/>
    <w:rsid w:val="00646017"/>
    <w:rsid w:val="00646412"/>
    <w:rsid w:val="006464C2"/>
    <w:rsid w:val="00646705"/>
    <w:rsid w:val="0064673B"/>
    <w:rsid w:val="00646883"/>
    <w:rsid w:val="00646959"/>
    <w:rsid w:val="00646BE3"/>
    <w:rsid w:val="00646C31"/>
    <w:rsid w:val="00646F10"/>
    <w:rsid w:val="00646F6B"/>
    <w:rsid w:val="0064723D"/>
    <w:rsid w:val="006476B7"/>
    <w:rsid w:val="006477FD"/>
    <w:rsid w:val="00647A88"/>
    <w:rsid w:val="006501EF"/>
    <w:rsid w:val="00650658"/>
    <w:rsid w:val="006507BB"/>
    <w:rsid w:val="00650C37"/>
    <w:rsid w:val="00651FD5"/>
    <w:rsid w:val="00652125"/>
    <w:rsid w:val="006524E3"/>
    <w:rsid w:val="00652524"/>
    <w:rsid w:val="00652A42"/>
    <w:rsid w:val="00652CCC"/>
    <w:rsid w:val="00652ED0"/>
    <w:rsid w:val="006533EF"/>
    <w:rsid w:val="0065358C"/>
    <w:rsid w:val="006535E3"/>
    <w:rsid w:val="00653A3D"/>
    <w:rsid w:val="00653B2A"/>
    <w:rsid w:val="006542FC"/>
    <w:rsid w:val="0065437F"/>
    <w:rsid w:val="006547DB"/>
    <w:rsid w:val="00654E05"/>
    <w:rsid w:val="00655196"/>
    <w:rsid w:val="0065564F"/>
    <w:rsid w:val="00655B1B"/>
    <w:rsid w:val="00655D4F"/>
    <w:rsid w:val="00655D65"/>
    <w:rsid w:val="00655F07"/>
    <w:rsid w:val="006564B5"/>
    <w:rsid w:val="00656536"/>
    <w:rsid w:val="00656586"/>
    <w:rsid w:val="00656886"/>
    <w:rsid w:val="00656ABC"/>
    <w:rsid w:val="00656E42"/>
    <w:rsid w:val="00656FEE"/>
    <w:rsid w:val="0065718F"/>
    <w:rsid w:val="006572E5"/>
    <w:rsid w:val="006572E9"/>
    <w:rsid w:val="00657469"/>
    <w:rsid w:val="0065750C"/>
    <w:rsid w:val="00657726"/>
    <w:rsid w:val="006578B5"/>
    <w:rsid w:val="00657B44"/>
    <w:rsid w:val="00657FD9"/>
    <w:rsid w:val="0066044A"/>
    <w:rsid w:val="00660998"/>
    <w:rsid w:val="00660AE4"/>
    <w:rsid w:val="006615B9"/>
    <w:rsid w:val="00661813"/>
    <w:rsid w:val="0066227C"/>
    <w:rsid w:val="0066229B"/>
    <w:rsid w:val="00662686"/>
    <w:rsid w:val="00662931"/>
    <w:rsid w:val="00662B70"/>
    <w:rsid w:val="00662FE7"/>
    <w:rsid w:val="00663347"/>
    <w:rsid w:val="006634D6"/>
    <w:rsid w:val="00663720"/>
    <w:rsid w:val="006638B2"/>
    <w:rsid w:val="00664095"/>
    <w:rsid w:val="0066421C"/>
    <w:rsid w:val="0066422F"/>
    <w:rsid w:val="006642BE"/>
    <w:rsid w:val="00664BCA"/>
    <w:rsid w:val="006653DA"/>
    <w:rsid w:val="006653FA"/>
    <w:rsid w:val="00665C3C"/>
    <w:rsid w:val="00665E6D"/>
    <w:rsid w:val="0066606F"/>
    <w:rsid w:val="006664E8"/>
    <w:rsid w:val="00666FA5"/>
    <w:rsid w:val="0066766A"/>
    <w:rsid w:val="006679E4"/>
    <w:rsid w:val="00667B83"/>
    <w:rsid w:val="00667D1B"/>
    <w:rsid w:val="00667E7C"/>
    <w:rsid w:val="00667E9B"/>
    <w:rsid w:val="006707F0"/>
    <w:rsid w:val="00670884"/>
    <w:rsid w:val="00670ABA"/>
    <w:rsid w:val="00670C07"/>
    <w:rsid w:val="00671488"/>
    <w:rsid w:val="00671969"/>
    <w:rsid w:val="00671A78"/>
    <w:rsid w:val="00671A80"/>
    <w:rsid w:val="00671A95"/>
    <w:rsid w:val="00671AD0"/>
    <w:rsid w:val="00671E45"/>
    <w:rsid w:val="00672B60"/>
    <w:rsid w:val="00673153"/>
    <w:rsid w:val="006733AA"/>
    <w:rsid w:val="00673698"/>
    <w:rsid w:val="006736C1"/>
    <w:rsid w:val="00673ADA"/>
    <w:rsid w:val="00673D37"/>
    <w:rsid w:val="00674045"/>
    <w:rsid w:val="0067408F"/>
    <w:rsid w:val="006748EA"/>
    <w:rsid w:val="00674D97"/>
    <w:rsid w:val="00675564"/>
    <w:rsid w:val="006757F7"/>
    <w:rsid w:val="00675A8B"/>
    <w:rsid w:val="00675B6E"/>
    <w:rsid w:val="006760FB"/>
    <w:rsid w:val="00676134"/>
    <w:rsid w:val="006763C9"/>
    <w:rsid w:val="0067689B"/>
    <w:rsid w:val="00676DCE"/>
    <w:rsid w:val="006776C8"/>
    <w:rsid w:val="00677732"/>
    <w:rsid w:val="00677BA6"/>
    <w:rsid w:val="00677C43"/>
    <w:rsid w:val="0068006D"/>
    <w:rsid w:val="00680142"/>
    <w:rsid w:val="0068031F"/>
    <w:rsid w:val="00680696"/>
    <w:rsid w:val="0068076E"/>
    <w:rsid w:val="00680F83"/>
    <w:rsid w:val="00681E82"/>
    <w:rsid w:val="00681EE8"/>
    <w:rsid w:val="00681F1C"/>
    <w:rsid w:val="00681F8F"/>
    <w:rsid w:val="00682C19"/>
    <w:rsid w:val="00682FCC"/>
    <w:rsid w:val="0068313A"/>
    <w:rsid w:val="00683290"/>
    <w:rsid w:val="0068368E"/>
    <w:rsid w:val="0068392D"/>
    <w:rsid w:val="006839EE"/>
    <w:rsid w:val="00684068"/>
    <w:rsid w:val="00684643"/>
    <w:rsid w:val="00684A9B"/>
    <w:rsid w:val="006851D7"/>
    <w:rsid w:val="006852E5"/>
    <w:rsid w:val="0068602C"/>
    <w:rsid w:val="00686145"/>
    <w:rsid w:val="0068621A"/>
    <w:rsid w:val="006864CD"/>
    <w:rsid w:val="00686E4F"/>
    <w:rsid w:val="00686F56"/>
    <w:rsid w:val="00687671"/>
    <w:rsid w:val="0068785D"/>
    <w:rsid w:val="00687AC0"/>
    <w:rsid w:val="00690531"/>
    <w:rsid w:val="00690577"/>
    <w:rsid w:val="0069069E"/>
    <w:rsid w:val="006906B4"/>
    <w:rsid w:val="0069093D"/>
    <w:rsid w:val="00690AC4"/>
    <w:rsid w:val="00690BCA"/>
    <w:rsid w:val="00691506"/>
    <w:rsid w:val="006916BD"/>
    <w:rsid w:val="00691B9E"/>
    <w:rsid w:val="00691ED5"/>
    <w:rsid w:val="00692073"/>
    <w:rsid w:val="0069207B"/>
    <w:rsid w:val="00692BA8"/>
    <w:rsid w:val="00692E34"/>
    <w:rsid w:val="006930A9"/>
    <w:rsid w:val="006931E6"/>
    <w:rsid w:val="0069354E"/>
    <w:rsid w:val="0069370A"/>
    <w:rsid w:val="006939A9"/>
    <w:rsid w:val="00693A15"/>
    <w:rsid w:val="00693D44"/>
    <w:rsid w:val="00693EFB"/>
    <w:rsid w:val="00693FE3"/>
    <w:rsid w:val="00694053"/>
    <w:rsid w:val="00694393"/>
    <w:rsid w:val="00694F92"/>
    <w:rsid w:val="00695077"/>
    <w:rsid w:val="00695161"/>
    <w:rsid w:val="0069527C"/>
    <w:rsid w:val="00695753"/>
    <w:rsid w:val="0069576F"/>
    <w:rsid w:val="00695917"/>
    <w:rsid w:val="00695BA8"/>
    <w:rsid w:val="0069619F"/>
    <w:rsid w:val="00696546"/>
    <w:rsid w:val="00696E72"/>
    <w:rsid w:val="006971EF"/>
    <w:rsid w:val="0069737F"/>
    <w:rsid w:val="006978AC"/>
    <w:rsid w:val="006978D6"/>
    <w:rsid w:val="00697DED"/>
    <w:rsid w:val="006A040B"/>
    <w:rsid w:val="006A091B"/>
    <w:rsid w:val="006A0A87"/>
    <w:rsid w:val="006A0B22"/>
    <w:rsid w:val="006A0B30"/>
    <w:rsid w:val="006A0E4F"/>
    <w:rsid w:val="006A0EE3"/>
    <w:rsid w:val="006A13F3"/>
    <w:rsid w:val="006A189C"/>
    <w:rsid w:val="006A1AB9"/>
    <w:rsid w:val="006A1AC1"/>
    <w:rsid w:val="006A21BF"/>
    <w:rsid w:val="006A2345"/>
    <w:rsid w:val="006A257F"/>
    <w:rsid w:val="006A2779"/>
    <w:rsid w:val="006A2822"/>
    <w:rsid w:val="006A2C38"/>
    <w:rsid w:val="006A335A"/>
    <w:rsid w:val="006A343D"/>
    <w:rsid w:val="006A3938"/>
    <w:rsid w:val="006A3B45"/>
    <w:rsid w:val="006A408E"/>
    <w:rsid w:val="006A425E"/>
    <w:rsid w:val="006A433B"/>
    <w:rsid w:val="006A457E"/>
    <w:rsid w:val="006A47FF"/>
    <w:rsid w:val="006A49E9"/>
    <w:rsid w:val="006A5C6D"/>
    <w:rsid w:val="006A5E65"/>
    <w:rsid w:val="006A5E7B"/>
    <w:rsid w:val="006A5F94"/>
    <w:rsid w:val="006A607B"/>
    <w:rsid w:val="006A626E"/>
    <w:rsid w:val="006A6280"/>
    <w:rsid w:val="006A6A55"/>
    <w:rsid w:val="006A6ED1"/>
    <w:rsid w:val="006A6F61"/>
    <w:rsid w:val="006A6FB5"/>
    <w:rsid w:val="006A7024"/>
    <w:rsid w:val="006A70B3"/>
    <w:rsid w:val="006A7113"/>
    <w:rsid w:val="006A7C24"/>
    <w:rsid w:val="006A7DE1"/>
    <w:rsid w:val="006B042C"/>
    <w:rsid w:val="006B0857"/>
    <w:rsid w:val="006B0A80"/>
    <w:rsid w:val="006B0C73"/>
    <w:rsid w:val="006B0CAC"/>
    <w:rsid w:val="006B109B"/>
    <w:rsid w:val="006B133E"/>
    <w:rsid w:val="006B141B"/>
    <w:rsid w:val="006B15A4"/>
    <w:rsid w:val="006B18E9"/>
    <w:rsid w:val="006B19EF"/>
    <w:rsid w:val="006B2332"/>
    <w:rsid w:val="006B2F4B"/>
    <w:rsid w:val="006B31A3"/>
    <w:rsid w:val="006B330D"/>
    <w:rsid w:val="006B357D"/>
    <w:rsid w:val="006B3A87"/>
    <w:rsid w:val="006B3DEC"/>
    <w:rsid w:val="006B49E8"/>
    <w:rsid w:val="006B4A0E"/>
    <w:rsid w:val="006B4B14"/>
    <w:rsid w:val="006B4B1B"/>
    <w:rsid w:val="006B4B62"/>
    <w:rsid w:val="006B4CC5"/>
    <w:rsid w:val="006B512B"/>
    <w:rsid w:val="006B571D"/>
    <w:rsid w:val="006B5BF7"/>
    <w:rsid w:val="006B5CE5"/>
    <w:rsid w:val="006B5DB9"/>
    <w:rsid w:val="006B6276"/>
    <w:rsid w:val="006B6703"/>
    <w:rsid w:val="006B679B"/>
    <w:rsid w:val="006B67AA"/>
    <w:rsid w:val="006B72B0"/>
    <w:rsid w:val="006B73DA"/>
    <w:rsid w:val="006C02AA"/>
    <w:rsid w:val="006C0607"/>
    <w:rsid w:val="006C0997"/>
    <w:rsid w:val="006C0A0D"/>
    <w:rsid w:val="006C185E"/>
    <w:rsid w:val="006C1C0D"/>
    <w:rsid w:val="006C1C51"/>
    <w:rsid w:val="006C2815"/>
    <w:rsid w:val="006C2C77"/>
    <w:rsid w:val="006C2FED"/>
    <w:rsid w:val="006C3128"/>
    <w:rsid w:val="006C325A"/>
    <w:rsid w:val="006C36EE"/>
    <w:rsid w:val="006C3720"/>
    <w:rsid w:val="006C37AD"/>
    <w:rsid w:val="006C3C8A"/>
    <w:rsid w:val="006C3CE6"/>
    <w:rsid w:val="006C4BE3"/>
    <w:rsid w:val="006C4CB2"/>
    <w:rsid w:val="006C4D56"/>
    <w:rsid w:val="006C4F33"/>
    <w:rsid w:val="006C56F8"/>
    <w:rsid w:val="006C60A4"/>
    <w:rsid w:val="006C60AB"/>
    <w:rsid w:val="006C62F5"/>
    <w:rsid w:val="006C6415"/>
    <w:rsid w:val="006C6587"/>
    <w:rsid w:val="006C6D12"/>
    <w:rsid w:val="006C6E8D"/>
    <w:rsid w:val="006C71C7"/>
    <w:rsid w:val="006C7B7D"/>
    <w:rsid w:val="006D0139"/>
    <w:rsid w:val="006D021E"/>
    <w:rsid w:val="006D02A0"/>
    <w:rsid w:val="006D085A"/>
    <w:rsid w:val="006D0930"/>
    <w:rsid w:val="006D0D90"/>
    <w:rsid w:val="006D1060"/>
    <w:rsid w:val="006D1731"/>
    <w:rsid w:val="006D1940"/>
    <w:rsid w:val="006D1A7C"/>
    <w:rsid w:val="006D1B1B"/>
    <w:rsid w:val="006D1EFF"/>
    <w:rsid w:val="006D2823"/>
    <w:rsid w:val="006D3120"/>
    <w:rsid w:val="006D345F"/>
    <w:rsid w:val="006D3CDA"/>
    <w:rsid w:val="006D4D35"/>
    <w:rsid w:val="006D5686"/>
    <w:rsid w:val="006D5795"/>
    <w:rsid w:val="006D57C1"/>
    <w:rsid w:val="006D5C64"/>
    <w:rsid w:val="006D5CAB"/>
    <w:rsid w:val="006D5E05"/>
    <w:rsid w:val="006D5E32"/>
    <w:rsid w:val="006D6288"/>
    <w:rsid w:val="006D649E"/>
    <w:rsid w:val="006D68E2"/>
    <w:rsid w:val="006D6B54"/>
    <w:rsid w:val="006D6B72"/>
    <w:rsid w:val="006D732C"/>
    <w:rsid w:val="006D73B2"/>
    <w:rsid w:val="006D7B5B"/>
    <w:rsid w:val="006E00F8"/>
    <w:rsid w:val="006E01DE"/>
    <w:rsid w:val="006E01E2"/>
    <w:rsid w:val="006E0412"/>
    <w:rsid w:val="006E0780"/>
    <w:rsid w:val="006E0D37"/>
    <w:rsid w:val="006E10C1"/>
    <w:rsid w:val="006E1233"/>
    <w:rsid w:val="006E198E"/>
    <w:rsid w:val="006E1F6C"/>
    <w:rsid w:val="006E2B08"/>
    <w:rsid w:val="006E2C40"/>
    <w:rsid w:val="006E2C82"/>
    <w:rsid w:val="006E302D"/>
    <w:rsid w:val="006E3A70"/>
    <w:rsid w:val="006E3B24"/>
    <w:rsid w:val="006E3DF1"/>
    <w:rsid w:val="006E42AB"/>
    <w:rsid w:val="006E4730"/>
    <w:rsid w:val="006E4B6C"/>
    <w:rsid w:val="006E4E42"/>
    <w:rsid w:val="006E4FE4"/>
    <w:rsid w:val="006E5237"/>
    <w:rsid w:val="006E5850"/>
    <w:rsid w:val="006E5880"/>
    <w:rsid w:val="006E6EFB"/>
    <w:rsid w:val="006E76DF"/>
    <w:rsid w:val="006E794D"/>
    <w:rsid w:val="006F0603"/>
    <w:rsid w:val="006F07AE"/>
    <w:rsid w:val="006F1154"/>
    <w:rsid w:val="006F1689"/>
    <w:rsid w:val="006F1F50"/>
    <w:rsid w:val="006F2344"/>
    <w:rsid w:val="006F252F"/>
    <w:rsid w:val="006F2DE9"/>
    <w:rsid w:val="006F30D8"/>
    <w:rsid w:val="006F366C"/>
    <w:rsid w:val="006F37B8"/>
    <w:rsid w:val="006F3B92"/>
    <w:rsid w:val="006F3F4A"/>
    <w:rsid w:val="006F440C"/>
    <w:rsid w:val="006F5607"/>
    <w:rsid w:val="006F58E5"/>
    <w:rsid w:val="006F5989"/>
    <w:rsid w:val="006F68CB"/>
    <w:rsid w:val="006F6B38"/>
    <w:rsid w:val="006F6CF4"/>
    <w:rsid w:val="006F6FAE"/>
    <w:rsid w:val="006F764F"/>
    <w:rsid w:val="006F7B20"/>
    <w:rsid w:val="006F7C82"/>
    <w:rsid w:val="006F7EE6"/>
    <w:rsid w:val="007002D6"/>
    <w:rsid w:val="007006EE"/>
    <w:rsid w:val="00700BB6"/>
    <w:rsid w:val="00700CD7"/>
    <w:rsid w:val="0070137C"/>
    <w:rsid w:val="007016B8"/>
    <w:rsid w:val="0070193B"/>
    <w:rsid w:val="00701B66"/>
    <w:rsid w:val="0070318D"/>
    <w:rsid w:val="00703484"/>
    <w:rsid w:val="0070372C"/>
    <w:rsid w:val="007037A2"/>
    <w:rsid w:val="0070434F"/>
    <w:rsid w:val="007046CF"/>
    <w:rsid w:val="00704893"/>
    <w:rsid w:val="00704E12"/>
    <w:rsid w:val="00704EDC"/>
    <w:rsid w:val="00704F31"/>
    <w:rsid w:val="00705029"/>
    <w:rsid w:val="007050B2"/>
    <w:rsid w:val="007050DB"/>
    <w:rsid w:val="00705387"/>
    <w:rsid w:val="0070585C"/>
    <w:rsid w:val="00705DB7"/>
    <w:rsid w:val="00705EB4"/>
    <w:rsid w:val="0070605C"/>
    <w:rsid w:val="0070614F"/>
    <w:rsid w:val="00706B32"/>
    <w:rsid w:val="00707003"/>
    <w:rsid w:val="007070FD"/>
    <w:rsid w:val="00707446"/>
    <w:rsid w:val="007074BC"/>
    <w:rsid w:val="00710065"/>
    <w:rsid w:val="00710246"/>
    <w:rsid w:val="00710530"/>
    <w:rsid w:val="007105E7"/>
    <w:rsid w:val="0071067B"/>
    <w:rsid w:val="00710E3E"/>
    <w:rsid w:val="00710F07"/>
    <w:rsid w:val="00710FFA"/>
    <w:rsid w:val="00711324"/>
    <w:rsid w:val="0071150D"/>
    <w:rsid w:val="0071190C"/>
    <w:rsid w:val="00711A18"/>
    <w:rsid w:val="00711C2D"/>
    <w:rsid w:val="007121C4"/>
    <w:rsid w:val="00712413"/>
    <w:rsid w:val="00712479"/>
    <w:rsid w:val="00712588"/>
    <w:rsid w:val="00712DB6"/>
    <w:rsid w:val="00712E44"/>
    <w:rsid w:val="00712F94"/>
    <w:rsid w:val="00713154"/>
    <w:rsid w:val="00713595"/>
    <w:rsid w:val="007135CC"/>
    <w:rsid w:val="00713617"/>
    <w:rsid w:val="007138EE"/>
    <w:rsid w:val="00713ACF"/>
    <w:rsid w:val="00714C2C"/>
    <w:rsid w:val="007153B9"/>
    <w:rsid w:val="00715B62"/>
    <w:rsid w:val="00715DBE"/>
    <w:rsid w:val="00715FBD"/>
    <w:rsid w:val="0071620E"/>
    <w:rsid w:val="00716C7D"/>
    <w:rsid w:val="00716F3D"/>
    <w:rsid w:val="0071727C"/>
    <w:rsid w:val="00717559"/>
    <w:rsid w:val="00717CB6"/>
    <w:rsid w:val="007204F3"/>
    <w:rsid w:val="0072095C"/>
    <w:rsid w:val="00720CD2"/>
    <w:rsid w:val="00720EAF"/>
    <w:rsid w:val="00721189"/>
    <w:rsid w:val="0072126C"/>
    <w:rsid w:val="007212AA"/>
    <w:rsid w:val="00721574"/>
    <w:rsid w:val="0072164C"/>
    <w:rsid w:val="00721984"/>
    <w:rsid w:val="00721F03"/>
    <w:rsid w:val="00722024"/>
    <w:rsid w:val="007221EA"/>
    <w:rsid w:val="00722C41"/>
    <w:rsid w:val="0072321A"/>
    <w:rsid w:val="00723A0F"/>
    <w:rsid w:val="00724522"/>
    <w:rsid w:val="007248FE"/>
    <w:rsid w:val="00724A78"/>
    <w:rsid w:val="007250CA"/>
    <w:rsid w:val="00725122"/>
    <w:rsid w:val="007252FD"/>
    <w:rsid w:val="007258F8"/>
    <w:rsid w:val="00725A22"/>
    <w:rsid w:val="00725AE6"/>
    <w:rsid w:val="00725C25"/>
    <w:rsid w:val="00726872"/>
    <w:rsid w:val="00726FDC"/>
    <w:rsid w:val="007275C3"/>
    <w:rsid w:val="0072766C"/>
    <w:rsid w:val="00727854"/>
    <w:rsid w:val="00727B27"/>
    <w:rsid w:val="00727BEE"/>
    <w:rsid w:val="00727D1C"/>
    <w:rsid w:val="00727EC9"/>
    <w:rsid w:val="00730535"/>
    <w:rsid w:val="00730790"/>
    <w:rsid w:val="007308B8"/>
    <w:rsid w:val="0073092E"/>
    <w:rsid w:val="00730A5A"/>
    <w:rsid w:val="00730B18"/>
    <w:rsid w:val="0073122C"/>
    <w:rsid w:val="0073168A"/>
    <w:rsid w:val="00731C6B"/>
    <w:rsid w:val="00731DCD"/>
    <w:rsid w:val="00731DD0"/>
    <w:rsid w:val="007325E5"/>
    <w:rsid w:val="00732B0E"/>
    <w:rsid w:val="00732C5A"/>
    <w:rsid w:val="00733281"/>
    <w:rsid w:val="00733784"/>
    <w:rsid w:val="00733C77"/>
    <w:rsid w:val="00734217"/>
    <w:rsid w:val="00734541"/>
    <w:rsid w:val="007345D6"/>
    <w:rsid w:val="00734BFC"/>
    <w:rsid w:val="00735178"/>
    <w:rsid w:val="0073576D"/>
    <w:rsid w:val="00735AD3"/>
    <w:rsid w:val="00735B05"/>
    <w:rsid w:val="00735B3B"/>
    <w:rsid w:val="00735CEB"/>
    <w:rsid w:val="00735CFF"/>
    <w:rsid w:val="00735E15"/>
    <w:rsid w:val="007362DE"/>
    <w:rsid w:val="00736870"/>
    <w:rsid w:val="00737AAD"/>
    <w:rsid w:val="00737D82"/>
    <w:rsid w:val="007402E9"/>
    <w:rsid w:val="00740356"/>
    <w:rsid w:val="007407A0"/>
    <w:rsid w:val="00740BA6"/>
    <w:rsid w:val="00740CE7"/>
    <w:rsid w:val="00741467"/>
    <w:rsid w:val="007416DD"/>
    <w:rsid w:val="00741869"/>
    <w:rsid w:val="00741944"/>
    <w:rsid w:val="007419BB"/>
    <w:rsid w:val="00741DBD"/>
    <w:rsid w:val="00741DF2"/>
    <w:rsid w:val="00741E2B"/>
    <w:rsid w:val="007421CA"/>
    <w:rsid w:val="00742A27"/>
    <w:rsid w:val="00742BA6"/>
    <w:rsid w:val="00742E6F"/>
    <w:rsid w:val="007430A3"/>
    <w:rsid w:val="00743924"/>
    <w:rsid w:val="00743D9E"/>
    <w:rsid w:val="00744096"/>
    <w:rsid w:val="00744451"/>
    <w:rsid w:val="00744852"/>
    <w:rsid w:val="00744A50"/>
    <w:rsid w:val="00744B10"/>
    <w:rsid w:val="00744D59"/>
    <w:rsid w:val="007451BE"/>
    <w:rsid w:val="00745C22"/>
    <w:rsid w:val="00746BAC"/>
    <w:rsid w:val="00746DF5"/>
    <w:rsid w:val="00747A1F"/>
    <w:rsid w:val="007502EF"/>
    <w:rsid w:val="00750341"/>
    <w:rsid w:val="007515EB"/>
    <w:rsid w:val="007519F8"/>
    <w:rsid w:val="00751D63"/>
    <w:rsid w:val="007525A1"/>
    <w:rsid w:val="007526DF"/>
    <w:rsid w:val="00752BAB"/>
    <w:rsid w:val="00752D52"/>
    <w:rsid w:val="00753060"/>
    <w:rsid w:val="007534AB"/>
    <w:rsid w:val="007534EC"/>
    <w:rsid w:val="007535AE"/>
    <w:rsid w:val="007536F1"/>
    <w:rsid w:val="007538F6"/>
    <w:rsid w:val="007539FE"/>
    <w:rsid w:val="00753EF6"/>
    <w:rsid w:val="00754BAC"/>
    <w:rsid w:val="00754D94"/>
    <w:rsid w:val="00754E43"/>
    <w:rsid w:val="00754EBB"/>
    <w:rsid w:val="00754F58"/>
    <w:rsid w:val="00755276"/>
    <w:rsid w:val="007554A2"/>
    <w:rsid w:val="007554F8"/>
    <w:rsid w:val="00755725"/>
    <w:rsid w:val="007559A8"/>
    <w:rsid w:val="00755A8F"/>
    <w:rsid w:val="00755DA0"/>
    <w:rsid w:val="007560DC"/>
    <w:rsid w:val="007565EC"/>
    <w:rsid w:val="00756A69"/>
    <w:rsid w:val="00756E3B"/>
    <w:rsid w:val="00757339"/>
    <w:rsid w:val="0075750E"/>
    <w:rsid w:val="00757824"/>
    <w:rsid w:val="007601C5"/>
    <w:rsid w:val="00760E75"/>
    <w:rsid w:val="00760FE3"/>
    <w:rsid w:val="00761E2F"/>
    <w:rsid w:val="0076220B"/>
    <w:rsid w:val="0076224D"/>
    <w:rsid w:val="007623E1"/>
    <w:rsid w:val="00762CC7"/>
    <w:rsid w:val="00762CC9"/>
    <w:rsid w:val="007631D9"/>
    <w:rsid w:val="0076339C"/>
    <w:rsid w:val="00763727"/>
    <w:rsid w:val="007637D7"/>
    <w:rsid w:val="00763D49"/>
    <w:rsid w:val="00763D5E"/>
    <w:rsid w:val="0076426F"/>
    <w:rsid w:val="00764793"/>
    <w:rsid w:val="00764C09"/>
    <w:rsid w:val="00764E0F"/>
    <w:rsid w:val="007654EC"/>
    <w:rsid w:val="00765DC7"/>
    <w:rsid w:val="00765EF8"/>
    <w:rsid w:val="00766CA8"/>
    <w:rsid w:val="00766D31"/>
    <w:rsid w:val="00766FBF"/>
    <w:rsid w:val="00767181"/>
    <w:rsid w:val="00767221"/>
    <w:rsid w:val="00767629"/>
    <w:rsid w:val="007679E4"/>
    <w:rsid w:val="0077018B"/>
    <w:rsid w:val="00770367"/>
    <w:rsid w:val="007709B1"/>
    <w:rsid w:val="00770C46"/>
    <w:rsid w:val="00771035"/>
    <w:rsid w:val="007714E7"/>
    <w:rsid w:val="00771574"/>
    <w:rsid w:val="007715BB"/>
    <w:rsid w:val="00772793"/>
    <w:rsid w:val="007727BB"/>
    <w:rsid w:val="00772859"/>
    <w:rsid w:val="00773171"/>
    <w:rsid w:val="007738A6"/>
    <w:rsid w:val="00773D49"/>
    <w:rsid w:val="007745FD"/>
    <w:rsid w:val="007746B2"/>
    <w:rsid w:val="00774A0A"/>
    <w:rsid w:val="00774A75"/>
    <w:rsid w:val="00774DCA"/>
    <w:rsid w:val="00775316"/>
    <w:rsid w:val="00775A59"/>
    <w:rsid w:val="00775EE8"/>
    <w:rsid w:val="00776264"/>
    <w:rsid w:val="007763E7"/>
    <w:rsid w:val="0077688F"/>
    <w:rsid w:val="007768D0"/>
    <w:rsid w:val="00776B1B"/>
    <w:rsid w:val="00776B8F"/>
    <w:rsid w:val="00776CEE"/>
    <w:rsid w:val="00777C8E"/>
    <w:rsid w:val="00780329"/>
    <w:rsid w:val="00781242"/>
    <w:rsid w:val="00781288"/>
    <w:rsid w:val="00781391"/>
    <w:rsid w:val="00781B27"/>
    <w:rsid w:val="0078281A"/>
    <w:rsid w:val="007836B1"/>
    <w:rsid w:val="007836CB"/>
    <w:rsid w:val="00783EAC"/>
    <w:rsid w:val="007842A3"/>
    <w:rsid w:val="007843B9"/>
    <w:rsid w:val="007843E3"/>
    <w:rsid w:val="007846B2"/>
    <w:rsid w:val="00784732"/>
    <w:rsid w:val="00784768"/>
    <w:rsid w:val="00784E71"/>
    <w:rsid w:val="0078582F"/>
    <w:rsid w:val="00785A31"/>
    <w:rsid w:val="0078667C"/>
    <w:rsid w:val="00786705"/>
    <w:rsid w:val="00786D31"/>
    <w:rsid w:val="00786DD2"/>
    <w:rsid w:val="00786DFB"/>
    <w:rsid w:val="00787250"/>
    <w:rsid w:val="00787279"/>
    <w:rsid w:val="007872CB"/>
    <w:rsid w:val="0079005C"/>
    <w:rsid w:val="007900D1"/>
    <w:rsid w:val="007908D2"/>
    <w:rsid w:val="007909F7"/>
    <w:rsid w:val="00790AB9"/>
    <w:rsid w:val="00790B1B"/>
    <w:rsid w:val="00790E3A"/>
    <w:rsid w:val="00791243"/>
    <w:rsid w:val="00791893"/>
    <w:rsid w:val="00791A1F"/>
    <w:rsid w:val="00791B34"/>
    <w:rsid w:val="00791CD5"/>
    <w:rsid w:val="00791DA0"/>
    <w:rsid w:val="00792BD3"/>
    <w:rsid w:val="00793030"/>
    <w:rsid w:val="007935D2"/>
    <w:rsid w:val="007938B2"/>
    <w:rsid w:val="00793D62"/>
    <w:rsid w:val="0079421C"/>
    <w:rsid w:val="007946C9"/>
    <w:rsid w:val="00794A0F"/>
    <w:rsid w:val="00794B87"/>
    <w:rsid w:val="00794D42"/>
    <w:rsid w:val="007950D6"/>
    <w:rsid w:val="0079572A"/>
    <w:rsid w:val="00796387"/>
    <w:rsid w:val="00796556"/>
    <w:rsid w:val="00797765"/>
    <w:rsid w:val="00797C0A"/>
    <w:rsid w:val="00797CCE"/>
    <w:rsid w:val="00797E00"/>
    <w:rsid w:val="00797F51"/>
    <w:rsid w:val="007A0484"/>
    <w:rsid w:val="007A05A1"/>
    <w:rsid w:val="007A06E9"/>
    <w:rsid w:val="007A0A25"/>
    <w:rsid w:val="007A0E14"/>
    <w:rsid w:val="007A1592"/>
    <w:rsid w:val="007A1B6C"/>
    <w:rsid w:val="007A1DEB"/>
    <w:rsid w:val="007A227E"/>
    <w:rsid w:val="007A23DF"/>
    <w:rsid w:val="007A2693"/>
    <w:rsid w:val="007A2769"/>
    <w:rsid w:val="007A2960"/>
    <w:rsid w:val="007A2CA0"/>
    <w:rsid w:val="007A2E9B"/>
    <w:rsid w:val="007A31D7"/>
    <w:rsid w:val="007A34B3"/>
    <w:rsid w:val="007A3505"/>
    <w:rsid w:val="007A3517"/>
    <w:rsid w:val="007A367F"/>
    <w:rsid w:val="007A383D"/>
    <w:rsid w:val="007A3853"/>
    <w:rsid w:val="007A39A8"/>
    <w:rsid w:val="007A3AE5"/>
    <w:rsid w:val="007A3C96"/>
    <w:rsid w:val="007A41D8"/>
    <w:rsid w:val="007A445A"/>
    <w:rsid w:val="007A5050"/>
    <w:rsid w:val="007A5158"/>
    <w:rsid w:val="007A54F1"/>
    <w:rsid w:val="007A5760"/>
    <w:rsid w:val="007A5B1C"/>
    <w:rsid w:val="007A5EEB"/>
    <w:rsid w:val="007A662E"/>
    <w:rsid w:val="007A68B8"/>
    <w:rsid w:val="007A6AFD"/>
    <w:rsid w:val="007A7620"/>
    <w:rsid w:val="007A7784"/>
    <w:rsid w:val="007A7CF4"/>
    <w:rsid w:val="007B04E6"/>
    <w:rsid w:val="007B07C0"/>
    <w:rsid w:val="007B0A99"/>
    <w:rsid w:val="007B0AE9"/>
    <w:rsid w:val="007B0D3B"/>
    <w:rsid w:val="007B14DD"/>
    <w:rsid w:val="007B1805"/>
    <w:rsid w:val="007B1AC5"/>
    <w:rsid w:val="007B1B3D"/>
    <w:rsid w:val="007B1FA5"/>
    <w:rsid w:val="007B24E7"/>
    <w:rsid w:val="007B296F"/>
    <w:rsid w:val="007B3727"/>
    <w:rsid w:val="007B39D4"/>
    <w:rsid w:val="007B3A0A"/>
    <w:rsid w:val="007B3BA9"/>
    <w:rsid w:val="007B3D28"/>
    <w:rsid w:val="007B40C5"/>
    <w:rsid w:val="007B471F"/>
    <w:rsid w:val="007B48FC"/>
    <w:rsid w:val="007B4C57"/>
    <w:rsid w:val="007B5169"/>
    <w:rsid w:val="007B51B4"/>
    <w:rsid w:val="007B5400"/>
    <w:rsid w:val="007B5642"/>
    <w:rsid w:val="007B57F7"/>
    <w:rsid w:val="007B5C15"/>
    <w:rsid w:val="007B5CCE"/>
    <w:rsid w:val="007B5FB1"/>
    <w:rsid w:val="007B628A"/>
    <w:rsid w:val="007B7822"/>
    <w:rsid w:val="007C0174"/>
    <w:rsid w:val="007C0353"/>
    <w:rsid w:val="007C08AF"/>
    <w:rsid w:val="007C0980"/>
    <w:rsid w:val="007C0CCA"/>
    <w:rsid w:val="007C0F1F"/>
    <w:rsid w:val="007C14F3"/>
    <w:rsid w:val="007C1927"/>
    <w:rsid w:val="007C1E73"/>
    <w:rsid w:val="007C2090"/>
    <w:rsid w:val="007C20C8"/>
    <w:rsid w:val="007C21BD"/>
    <w:rsid w:val="007C254C"/>
    <w:rsid w:val="007C27D7"/>
    <w:rsid w:val="007C2883"/>
    <w:rsid w:val="007C2CF4"/>
    <w:rsid w:val="007C32CA"/>
    <w:rsid w:val="007C33D5"/>
    <w:rsid w:val="007C3783"/>
    <w:rsid w:val="007C387F"/>
    <w:rsid w:val="007C3C4A"/>
    <w:rsid w:val="007C3E45"/>
    <w:rsid w:val="007C417A"/>
    <w:rsid w:val="007C427C"/>
    <w:rsid w:val="007C48D0"/>
    <w:rsid w:val="007C49BA"/>
    <w:rsid w:val="007C5217"/>
    <w:rsid w:val="007C6078"/>
    <w:rsid w:val="007C6458"/>
    <w:rsid w:val="007C649E"/>
    <w:rsid w:val="007C66D5"/>
    <w:rsid w:val="007C6751"/>
    <w:rsid w:val="007C6BAC"/>
    <w:rsid w:val="007C6C41"/>
    <w:rsid w:val="007C6CE4"/>
    <w:rsid w:val="007C70FA"/>
    <w:rsid w:val="007C7163"/>
    <w:rsid w:val="007C7198"/>
    <w:rsid w:val="007C734D"/>
    <w:rsid w:val="007C7489"/>
    <w:rsid w:val="007C7DB8"/>
    <w:rsid w:val="007C7F0C"/>
    <w:rsid w:val="007D0482"/>
    <w:rsid w:val="007D04DF"/>
    <w:rsid w:val="007D0CF4"/>
    <w:rsid w:val="007D0D7D"/>
    <w:rsid w:val="007D0F37"/>
    <w:rsid w:val="007D10F5"/>
    <w:rsid w:val="007D1600"/>
    <w:rsid w:val="007D1B67"/>
    <w:rsid w:val="007D1F0C"/>
    <w:rsid w:val="007D1FC3"/>
    <w:rsid w:val="007D2142"/>
    <w:rsid w:val="007D2312"/>
    <w:rsid w:val="007D2E61"/>
    <w:rsid w:val="007D2F1D"/>
    <w:rsid w:val="007D34FB"/>
    <w:rsid w:val="007D382A"/>
    <w:rsid w:val="007D41FC"/>
    <w:rsid w:val="007D4212"/>
    <w:rsid w:val="007D43E2"/>
    <w:rsid w:val="007D44BF"/>
    <w:rsid w:val="007D482A"/>
    <w:rsid w:val="007D54BD"/>
    <w:rsid w:val="007D560E"/>
    <w:rsid w:val="007D571E"/>
    <w:rsid w:val="007D5CAF"/>
    <w:rsid w:val="007D63F9"/>
    <w:rsid w:val="007D6449"/>
    <w:rsid w:val="007D6455"/>
    <w:rsid w:val="007D6759"/>
    <w:rsid w:val="007D6975"/>
    <w:rsid w:val="007D6A6E"/>
    <w:rsid w:val="007D6DE5"/>
    <w:rsid w:val="007D72E2"/>
    <w:rsid w:val="007D73A3"/>
    <w:rsid w:val="007D7437"/>
    <w:rsid w:val="007D7492"/>
    <w:rsid w:val="007D774B"/>
    <w:rsid w:val="007D7CB0"/>
    <w:rsid w:val="007E0D1F"/>
    <w:rsid w:val="007E117D"/>
    <w:rsid w:val="007E1849"/>
    <w:rsid w:val="007E23B3"/>
    <w:rsid w:val="007E2458"/>
    <w:rsid w:val="007E2464"/>
    <w:rsid w:val="007E2B5C"/>
    <w:rsid w:val="007E30C1"/>
    <w:rsid w:val="007E32A9"/>
    <w:rsid w:val="007E34E0"/>
    <w:rsid w:val="007E3506"/>
    <w:rsid w:val="007E37E5"/>
    <w:rsid w:val="007E3D01"/>
    <w:rsid w:val="007E426F"/>
    <w:rsid w:val="007E444C"/>
    <w:rsid w:val="007E44E6"/>
    <w:rsid w:val="007E4862"/>
    <w:rsid w:val="007E4894"/>
    <w:rsid w:val="007E49B9"/>
    <w:rsid w:val="007E50ED"/>
    <w:rsid w:val="007E52D6"/>
    <w:rsid w:val="007E5428"/>
    <w:rsid w:val="007E58EA"/>
    <w:rsid w:val="007E5985"/>
    <w:rsid w:val="007E5B90"/>
    <w:rsid w:val="007E635F"/>
    <w:rsid w:val="007E64FD"/>
    <w:rsid w:val="007E6873"/>
    <w:rsid w:val="007E7160"/>
    <w:rsid w:val="007E74CB"/>
    <w:rsid w:val="007E7A23"/>
    <w:rsid w:val="007E7C82"/>
    <w:rsid w:val="007E7CD6"/>
    <w:rsid w:val="007E7DED"/>
    <w:rsid w:val="007F0004"/>
    <w:rsid w:val="007F0266"/>
    <w:rsid w:val="007F089F"/>
    <w:rsid w:val="007F09DA"/>
    <w:rsid w:val="007F0BB3"/>
    <w:rsid w:val="007F0C53"/>
    <w:rsid w:val="007F0D2D"/>
    <w:rsid w:val="007F107D"/>
    <w:rsid w:val="007F142C"/>
    <w:rsid w:val="007F16A8"/>
    <w:rsid w:val="007F2067"/>
    <w:rsid w:val="007F245E"/>
    <w:rsid w:val="007F2464"/>
    <w:rsid w:val="007F2986"/>
    <w:rsid w:val="007F2B0C"/>
    <w:rsid w:val="007F3131"/>
    <w:rsid w:val="007F326C"/>
    <w:rsid w:val="007F32C0"/>
    <w:rsid w:val="007F341F"/>
    <w:rsid w:val="007F369C"/>
    <w:rsid w:val="007F39A8"/>
    <w:rsid w:val="007F3B1D"/>
    <w:rsid w:val="007F3CB7"/>
    <w:rsid w:val="007F3DBC"/>
    <w:rsid w:val="007F455D"/>
    <w:rsid w:val="007F4773"/>
    <w:rsid w:val="007F4E8C"/>
    <w:rsid w:val="007F53CC"/>
    <w:rsid w:val="007F53D6"/>
    <w:rsid w:val="007F5AFD"/>
    <w:rsid w:val="007F684A"/>
    <w:rsid w:val="007F6DF3"/>
    <w:rsid w:val="007F6FCE"/>
    <w:rsid w:val="007F722B"/>
    <w:rsid w:val="007F7424"/>
    <w:rsid w:val="007F79ED"/>
    <w:rsid w:val="007F7D03"/>
    <w:rsid w:val="0080033E"/>
    <w:rsid w:val="008008CB"/>
    <w:rsid w:val="008009B5"/>
    <w:rsid w:val="008016DE"/>
    <w:rsid w:val="00801E05"/>
    <w:rsid w:val="00802726"/>
    <w:rsid w:val="00802888"/>
    <w:rsid w:val="00802921"/>
    <w:rsid w:val="00803192"/>
    <w:rsid w:val="00803499"/>
    <w:rsid w:val="008038A8"/>
    <w:rsid w:val="00803B23"/>
    <w:rsid w:val="00804043"/>
    <w:rsid w:val="008053EA"/>
    <w:rsid w:val="0080597B"/>
    <w:rsid w:val="0080651F"/>
    <w:rsid w:val="0080680D"/>
    <w:rsid w:val="00806C5F"/>
    <w:rsid w:val="00807567"/>
    <w:rsid w:val="00807772"/>
    <w:rsid w:val="008079E7"/>
    <w:rsid w:val="00807A4E"/>
    <w:rsid w:val="00807C17"/>
    <w:rsid w:val="00807E7C"/>
    <w:rsid w:val="00810049"/>
    <w:rsid w:val="00810092"/>
    <w:rsid w:val="008101E3"/>
    <w:rsid w:val="00810300"/>
    <w:rsid w:val="00810412"/>
    <w:rsid w:val="008104B7"/>
    <w:rsid w:val="008104E7"/>
    <w:rsid w:val="008107D5"/>
    <w:rsid w:val="00810CA9"/>
    <w:rsid w:val="00810D23"/>
    <w:rsid w:val="00810D63"/>
    <w:rsid w:val="00811388"/>
    <w:rsid w:val="00811848"/>
    <w:rsid w:val="00811AEF"/>
    <w:rsid w:val="00811EAA"/>
    <w:rsid w:val="00812076"/>
    <w:rsid w:val="0081262C"/>
    <w:rsid w:val="00812CC9"/>
    <w:rsid w:val="00812F20"/>
    <w:rsid w:val="0081321B"/>
    <w:rsid w:val="00813B5E"/>
    <w:rsid w:val="008145DF"/>
    <w:rsid w:val="008146B8"/>
    <w:rsid w:val="008148EC"/>
    <w:rsid w:val="00814D9C"/>
    <w:rsid w:val="00814EC4"/>
    <w:rsid w:val="00815646"/>
    <w:rsid w:val="00815B67"/>
    <w:rsid w:val="00815D46"/>
    <w:rsid w:val="00816557"/>
    <w:rsid w:val="00816B7C"/>
    <w:rsid w:val="008176C4"/>
    <w:rsid w:val="00817CF3"/>
    <w:rsid w:val="00817E7E"/>
    <w:rsid w:val="008200AD"/>
    <w:rsid w:val="0082086E"/>
    <w:rsid w:val="00820962"/>
    <w:rsid w:val="008209FA"/>
    <w:rsid w:val="00820E63"/>
    <w:rsid w:val="00820EDC"/>
    <w:rsid w:val="00820FCC"/>
    <w:rsid w:val="00821297"/>
    <w:rsid w:val="008212AB"/>
    <w:rsid w:val="008215C8"/>
    <w:rsid w:val="0082161D"/>
    <w:rsid w:val="00821752"/>
    <w:rsid w:val="00822987"/>
    <w:rsid w:val="00822C3C"/>
    <w:rsid w:val="00823138"/>
    <w:rsid w:val="00823175"/>
    <w:rsid w:val="0082352F"/>
    <w:rsid w:val="008236A0"/>
    <w:rsid w:val="00823A5C"/>
    <w:rsid w:val="00823BC6"/>
    <w:rsid w:val="00823F96"/>
    <w:rsid w:val="00823FD6"/>
    <w:rsid w:val="008241CC"/>
    <w:rsid w:val="00824374"/>
    <w:rsid w:val="0082466A"/>
    <w:rsid w:val="00824919"/>
    <w:rsid w:val="0082568D"/>
    <w:rsid w:val="008256BA"/>
    <w:rsid w:val="00825C8E"/>
    <w:rsid w:val="00826659"/>
    <w:rsid w:val="00826B2D"/>
    <w:rsid w:val="00826B36"/>
    <w:rsid w:val="00826C56"/>
    <w:rsid w:val="00826C74"/>
    <w:rsid w:val="00826F6E"/>
    <w:rsid w:val="008279FF"/>
    <w:rsid w:val="00827CE1"/>
    <w:rsid w:val="008300B9"/>
    <w:rsid w:val="0083079D"/>
    <w:rsid w:val="0083083E"/>
    <w:rsid w:val="00831084"/>
    <w:rsid w:val="008318B2"/>
    <w:rsid w:val="00831D7A"/>
    <w:rsid w:val="00831E41"/>
    <w:rsid w:val="008323DD"/>
    <w:rsid w:val="00832A76"/>
    <w:rsid w:val="00833215"/>
    <w:rsid w:val="008344BD"/>
    <w:rsid w:val="00835AEC"/>
    <w:rsid w:val="00835C6E"/>
    <w:rsid w:val="00836C6D"/>
    <w:rsid w:val="008374ED"/>
    <w:rsid w:val="008378AF"/>
    <w:rsid w:val="00837CC9"/>
    <w:rsid w:val="008400D0"/>
    <w:rsid w:val="0084020C"/>
    <w:rsid w:val="00840299"/>
    <w:rsid w:val="00840433"/>
    <w:rsid w:val="00840519"/>
    <w:rsid w:val="00840784"/>
    <w:rsid w:val="0084082D"/>
    <w:rsid w:val="0084097D"/>
    <w:rsid w:val="008421A2"/>
    <w:rsid w:val="00842460"/>
    <w:rsid w:val="00842C55"/>
    <w:rsid w:val="00842EEF"/>
    <w:rsid w:val="00843633"/>
    <w:rsid w:val="0084373F"/>
    <w:rsid w:val="0084379A"/>
    <w:rsid w:val="0084385B"/>
    <w:rsid w:val="00843BB3"/>
    <w:rsid w:val="00844270"/>
    <w:rsid w:val="00844352"/>
    <w:rsid w:val="0084545B"/>
    <w:rsid w:val="008457BA"/>
    <w:rsid w:val="0084584F"/>
    <w:rsid w:val="00845C46"/>
    <w:rsid w:val="00845FB2"/>
    <w:rsid w:val="008466D5"/>
    <w:rsid w:val="00846F9C"/>
    <w:rsid w:val="008471E2"/>
    <w:rsid w:val="008471E3"/>
    <w:rsid w:val="00847985"/>
    <w:rsid w:val="00847BD6"/>
    <w:rsid w:val="00847ED2"/>
    <w:rsid w:val="00847FEB"/>
    <w:rsid w:val="00850291"/>
    <w:rsid w:val="00850350"/>
    <w:rsid w:val="00850497"/>
    <w:rsid w:val="00850972"/>
    <w:rsid w:val="00850B07"/>
    <w:rsid w:val="00850D30"/>
    <w:rsid w:val="00850DDF"/>
    <w:rsid w:val="00850F19"/>
    <w:rsid w:val="008515CD"/>
    <w:rsid w:val="00851681"/>
    <w:rsid w:val="008517E1"/>
    <w:rsid w:val="008517F9"/>
    <w:rsid w:val="0085188C"/>
    <w:rsid w:val="00851993"/>
    <w:rsid w:val="00851A29"/>
    <w:rsid w:val="00851C92"/>
    <w:rsid w:val="00852039"/>
    <w:rsid w:val="008527DF"/>
    <w:rsid w:val="008528AB"/>
    <w:rsid w:val="00852B0D"/>
    <w:rsid w:val="008531FF"/>
    <w:rsid w:val="0085396E"/>
    <w:rsid w:val="00853EE5"/>
    <w:rsid w:val="008541F3"/>
    <w:rsid w:val="00854A2B"/>
    <w:rsid w:val="00854A55"/>
    <w:rsid w:val="00854A68"/>
    <w:rsid w:val="008554D8"/>
    <w:rsid w:val="008558D6"/>
    <w:rsid w:val="00855BDB"/>
    <w:rsid w:val="00855C65"/>
    <w:rsid w:val="00855C7B"/>
    <w:rsid w:val="00855D7D"/>
    <w:rsid w:val="00856273"/>
    <w:rsid w:val="0085657E"/>
    <w:rsid w:val="008565C6"/>
    <w:rsid w:val="008566AB"/>
    <w:rsid w:val="008567B4"/>
    <w:rsid w:val="00856B4D"/>
    <w:rsid w:val="00856BDF"/>
    <w:rsid w:val="0085790B"/>
    <w:rsid w:val="0085799A"/>
    <w:rsid w:val="00857A61"/>
    <w:rsid w:val="008601CB"/>
    <w:rsid w:val="0086040E"/>
    <w:rsid w:val="008607D8"/>
    <w:rsid w:val="008608EB"/>
    <w:rsid w:val="0086099D"/>
    <w:rsid w:val="00860DFB"/>
    <w:rsid w:val="00861192"/>
    <w:rsid w:val="008613C1"/>
    <w:rsid w:val="008622DE"/>
    <w:rsid w:val="0086247C"/>
    <w:rsid w:val="0086289C"/>
    <w:rsid w:val="008629FE"/>
    <w:rsid w:val="0086335E"/>
    <w:rsid w:val="00863415"/>
    <w:rsid w:val="008636DB"/>
    <w:rsid w:val="008637A5"/>
    <w:rsid w:val="00863D8D"/>
    <w:rsid w:val="00863E22"/>
    <w:rsid w:val="008640CA"/>
    <w:rsid w:val="00864156"/>
    <w:rsid w:val="008644FA"/>
    <w:rsid w:val="00864A13"/>
    <w:rsid w:val="00864BD1"/>
    <w:rsid w:val="00865085"/>
    <w:rsid w:val="008650E5"/>
    <w:rsid w:val="008652BE"/>
    <w:rsid w:val="00865C82"/>
    <w:rsid w:val="00865EEA"/>
    <w:rsid w:val="00866235"/>
    <w:rsid w:val="008668BD"/>
    <w:rsid w:val="00866944"/>
    <w:rsid w:val="00866968"/>
    <w:rsid w:val="00866B71"/>
    <w:rsid w:val="00867074"/>
    <w:rsid w:val="00867930"/>
    <w:rsid w:val="00870202"/>
    <w:rsid w:val="008702D5"/>
    <w:rsid w:val="008711DB"/>
    <w:rsid w:val="008717CE"/>
    <w:rsid w:val="0087199F"/>
    <w:rsid w:val="00871FD2"/>
    <w:rsid w:val="008727EF"/>
    <w:rsid w:val="008737F1"/>
    <w:rsid w:val="008738CC"/>
    <w:rsid w:val="00873D09"/>
    <w:rsid w:val="00873E9E"/>
    <w:rsid w:val="008743C4"/>
    <w:rsid w:val="00874B9C"/>
    <w:rsid w:val="00874D19"/>
    <w:rsid w:val="00875420"/>
    <w:rsid w:val="008758C7"/>
    <w:rsid w:val="00875AD0"/>
    <w:rsid w:val="00875B8A"/>
    <w:rsid w:val="00875F06"/>
    <w:rsid w:val="00876319"/>
    <w:rsid w:val="0087656E"/>
    <w:rsid w:val="008765D2"/>
    <w:rsid w:val="0087681D"/>
    <w:rsid w:val="00876D5F"/>
    <w:rsid w:val="00877763"/>
    <w:rsid w:val="00877C0A"/>
    <w:rsid w:val="00880074"/>
    <w:rsid w:val="008800CC"/>
    <w:rsid w:val="00880222"/>
    <w:rsid w:val="008809B1"/>
    <w:rsid w:val="00880B91"/>
    <w:rsid w:val="00880D2E"/>
    <w:rsid w:val="0088152D"/>
    <w:rsid w:val="00881798"/>
    <w:rsid w:val="0088181A"/>
    <w:rsid w:val="0088184B"/>
    <w:rsid w:val="00881C2F"/>
    <w:rsid w:val="00882377"/>
    <w:rsid w:val="00882D98"/>
    <w:rsid w:val="00882E64"/>
    <w:rsid w:val="00883751"/>
    <w:rsid w:val="00883F92"/>
    <w:rsid w:val="008841D6"/>
    <w:rsid w:val="008848DC"/>
    <w:rsid w:val="00884C82"/>
    <w:rsid w:val="008850AE"/>
    <w:rsid w:val="00885CEF"/>
    <w:rsid w:val="008860F4"/>
    <w:rsid w:val="008863D7"/>
    <w:rsid w:val="008867A3"/>
    <w:rsid w:val="00886A38"/>
    <w:rsid w:val="00886C8F"/>
    <w:rsid w:val="00886E64"/>
    <w:rsid w:val="00886ED2"/>
    <w:rsid w:val="00887FF4"/>
    <w:rsid w:val="00890098"/>
    <w:rsid w:val="008901F1"/>
    <w:rsid w:val="0089029C"/>
    <w:rsid w:val="008905F3"/>
    <w:rsid w:val="008913B5"/>
    <w:rsid w:val="00891474"/>
    <w:rsid w:val="00891620"/>
    <w:rsid w:val="00891C4C"/>
    <w:rsid w:val="0089229B"/>
    <w:rsid w:val="00892CE0"/>
    <w:rsid w:val="008934E5"/>
    <w:rsid w:val="00893D64"/>
    <w:rsid w:val="00893F0B"/>
    <w:rsid w:val="00894031"/>
    <w:rsid w:val="00894581"/>
    <w:rsid w:val="008946BE"/>
    <w:rsid w:val="008947CC"/>
    <w:rsid w:val="00895107"/>
    <w:rsid w:val="00895207"/>
    <w:rsid w:val="00896117"/>
    <w:rsid w:val="00896618"/>
    <w:rsid w:val="008966DC"/>
    <w:rsid w:val="00896905"/>
    <w:rsid w:val="00896A50"/>
    <w:rsid w:val="008976A8"/>
    <w:rsid w:val="00897741"/>
    <w:rsid w:val="00897E7F"/>
    <w:rsid w:val="008A09B4"/>
    <w:rsid w:val="008A09F0"/>
    <w:rsid w:val="008A1CB9"/>
    <w:rsid w:val="008A225E"/>
    <w:rsid w:val="008A2412"/>
    <w:rsid w:val="008A2592"/>
    <w:rsid w:val="008A28C3"/>
    <w:rsid w:val="008A2E54"/>
    <w:rsid w:val="008A3272"/>
    <w:rsid w:val="008A358F"/>
    <w:rsid w:val="008A3833"/>
    <w:rsid w:val="008A38CE"/>
    <w:rsid w:val="008A39BE"/>
    <w:rsid w:val="008A4393"/>
    <w:rsid w:val="008A4647"/>
    <w:rsid w:val="008A4C7C"/>
    <w:rsid w:val="008A4CB4"/>
    <w:rsid w:val="008A5F15"/>
    <w:rsid w:val="008A64C0"/>
    <w:rsid w:val="008A65A1"/>
    <w:rsid w:val="008A65F0"/>
    <w:rsid w:val="008A6B60"/>
    <w:rsid w:val="008A6C56"/>
    <w:rsid w:val="008A7815"/>
    <w:rsid w:val="008A7832"/>
    <w:rsid w:val="008B0075"/>
    <w:rsid w:val="008B0158"/>
    <w:rsid w:val="008B04C5"/>
    <w:rsid w:val="008B0F7C"/>
    <w:rsid w:val="008B11AC"/>
    <w:rsid w:val="008B14E9"/>
    <w:rsid w:val="008B1658"/>
    <w:rsid w:val="008B1803"/>
    <w:rsid w:val="008B1C41"/>
    <w:rsid w:val="008B1D0B"/>
    <w:rsid w:val="008B240E"/>
    <w:rsid w:val="008B24E4"/>
    <w:rsid w:val="008B2C89"/>
    <w:rsid w:val="008B2D19"/>
    <w:rsid w:val="008B2D88"/>
    <w:rsid w:val="008B326E"/>
    <w:rsid w:val="008B3366"/>
    <w:rsid w:val="008B34A7"/>
    <w:rsid w:val="008B3814"/>
    <w:rsid w:val="008B3B77"/>
    <w:rsid w:val="008B3E37"/>
    <w:rsid w:val="008B4179"/>
    <w:rsid w:val="008B4564"/>
    <w:rsid w:val="008B461B"/>
    <w:rsid w:val="008B479B"/>
    <w:rsid w:val="008B47FA"/>
    <w:rsid w:val="008B4AC3"/>
    <w:rsid w:val="008B4D13"/>
    <w:rsid w:val="008B505C"/>
    <w:rsid w:val="008B5148"/>
    <w:rsid w:val="008B58B7"/>
    <w:rsid w:val="008B5D77"/>
    <w:rsid w:val="008B658C"/>
    <w:rsid w:val="008B733B"/>
    <w:rsid w:val="008B7835"/>
    <w:rsid w:val="008C049E"/>
    <w:rsid w:val="008C06BA"/>
    <w:rsid w:val="008C0994"/>
    <w:rsid w:val="008C12C6"/>
    <w:rsid w:val="008C1653"/>
    <w:rsid w:val="008C176A"/>
    <w:rsid w:val="008C1F6D"/>
    <w:rsid w:val="008C2531"/>
    <w:rsid w:val="008C25C9"/>
    <w:rsid w:val="008C26C6"/>
    <w:rsid w:val="008C34C6"/>
    <w:rsid w:val="008C3594"/>
    <w:rsid w:val="008C3772"/>
    <w:rsid w:val="008C39C0"/>
    <w:rsid w:val="008C3BB3"/>
    <w:rsid w:val="008C4399"/>
    <w:rsid w:val="008C4BA5"/>
    <w:rsid w:val="008C4CC4"/>
    <w:rsid w:val="008C524E"/>
    <w:rsid w:val="008C5512"/>
    <w:rsid w:val="008C60CB"/>
    <w:rsid w:val="008C61F2"/>
    <w:rsid w:val="008C62CE"/>
    <w:rsid w:val="008C6771"/>
    <w:rsid w:val="008C6869"/>
    <w:rsid w:val="008C69C0"/>
    <w:rsid w:val="008C6D39"/>
    <w:rsid w:val="008C70D0"/>
    <w:rsid w:val="008C765A"/>
    <w:rsid w:val="008C77BD"/>
    <w:rsid w:val="008C7E78"/>
    <w:rsid w:val="008D13F3"/>
    <w:rsid w:val="008D19AD"/>
    <w:rsid w:val="008D1F83"/>
    <w:rsid w:val="008D2371"/>
    <w:rsid w:val="008D2800"/>
    <w:rsid w:val="008D2B56"/>
    <w:rsid w:val="008D3490"/>
    <w:rsid w:val="008D34AD"/>
    <w:rsid w:val="008D3AF6"/>
    <w:rsid w:val="008D3D53"/>
    <w:rsid w:val="008D3EB7"/>
    <w:rsid w:val="008D4887"/>
    <w:rsid w:val="008D48E0"/>
    <w:rsid w:val="008D4BFE"/>
    <w:rsid w:val="008D4EC8"/>
    <w:rsid w:val="008D4F94"/>
    <w:rsid w:val="008D51CE"/>
    <w:rsid w:val="008D51E6"/>
    <w:rsid w:val="008D54D6"/>
    <w:rsid w:val="008D5C82"/>
    <w:rsid w:val="008D5E24"/>
    <w:rsid w:val="008D6F27"/>
    <w:rsid w:val="008D6FBD"/>
    <w:rsid w:val="008D70AC"/>
    <w:rsid w:val="008D72A5"/>
    <w:rsid w:val="008D7789"/>
    <w:rsid w:val="008D7D25"/>
    <w:rsid w:val="008E0139"/>
    <w:rsid w:val="008E0180"/>
    <w:rsid w:val="008E01C4"/>
    <w:rsid w:val="008E0773"/>
    <w:rsid w:val="008E0ED5"/>
    <w:rsid w:val="008E14D7"/>
    <w:rsid w:val="008E1800"/>
    <w:rsid w:val="008E18A3"/>
    <w:rsid w:val="008E37EA"/>
    <w:rsid w:val="008E3884"/>
    <w:rsid w:val="008E38AC"/>
    <w:rsid w:val="008E3CD4"/>
    <w:rsid w:val="008E3EE8"/>
    <w:rsid w:val="008E4032"/>
    <w:rsid w:val="008E451F"/>
    <w:rsid w:val="008E476F"/>
    <w:rsid w:val="008E484E"/>
    <w:rsid w:val="008E4864"/>
    <w:rsid w:val="008E4CA4"/>
    <w:rsid w:val="008E5695"/>
    <w:rsid w:val="008E5728"/>
    <w:rsid w:val="008E5E8A"/>
    <w:rsid w:val="008E6174"/>
    <w:rsid w:val="008E6219"/>
    <w:rsid w:val="008E67C0"/>
    <w:rsid w:val="008E6809"/>
    <w:rsid w:val="008F0BC0"/>
    <w:rsid w:val="008F1281"/>
    <w:rsid w:val="008F1DFC"/>
    <w:rsid w:val="008F24CA"/>
    <w:rsid w:val="008F2977"/>
    <w:rsid w:val="008F2F4B"/>
    <w:rsid w:val="008F3636"/>
    <w:rsid w:val="008F3F3E"/>
    <w:rsid w:val="008F3F6E"/>
    <w:rsid w:val="008F45A9"/>
    <w:rsid w:val="008F45CF"/>
    <w:rsid w:val="008F4697"/>
    <w:rsid w:val="008F495B"/>
    <w:rsid w:val="008F4A8B"/>
    <w:rsid w:val="008F4A9F"/>
    <w:rsid w:val="008F4DFC"/>
    <w:rsid w:val="008F4E1B"/>
    <w:rsid w:val="008F5526"/>
    <w:rsid w:val="008F583A"/>
    <w:rsid w:val="008F5898"/>
    <w:rsid w:val="008F5E1F"/>
    <w:rsid w:val="008F5FA1"/>
    <w:rsid w:val="008F5FAC"/>
    <w:rsid w:val="008F6237"/>
    <w:rsid w:val="008F6416"/>
    <w:rsid w:val="008F6962"/>
    <w:rsid w:val="008F73F4"/>
    <w:rsid w:val="008F7561"/>
    <w:rsid w:val="008F75C8"/>
    <w:rsid w:val="008F79C9"/>
    <w:rsid w:val="008F7A56"/>
    <w:rsid w:val="00900692"/>
    <w:rsid w:val="00900D7C"/>
    <w:rsid w:val="00900EAD"/>
    <w:rsid w:val="00901631"/>
    <w:rsid w:val="009016BF"/>
    <w:rsid w:val="009017BE"/>
    <w:rsid w:val="009019D5"/>
    <w:rsid w:val="00901BB9"/>
    <w:rsid w:val="00901D48"/>
    <w:rsid w:val="00902CC2"/>
    <w:rsid w:val="009031FF"/>
    <w:rsid w:val="00903A4F"/>
    <w:rsid w:val="00903AC0"/>
    <w:rsid w:val="00903C72"/>
    <w:rsid w:val="009042A1"/>
    <w:rsid w:val="00904584"/>
    <w:rsid w:val="00905203"/>
    <w:rsid w:val="009053F2"/>
    <w:rsid w:val="009054BF"/>
    <w:rsid w:val="00905910"/>
    <w:rsid w:val="009063FB"/>
    <w:rsid w:val="00906AAE"/>
    <w:rsid w:val="00906BFB"/>
    <w:rsid w:val="0090705C"/>
    <w:rsid w:val="009070F8"/>
    <w:rsid w:val="00907592"/>
    <w:rsid w:val="00907BDD"/>
    <w:rsid w:val="00910287"/>
    <w:rsid w:val="00910C44"/>
    <w:rsid w:val="00910D1F"/>
    <w:rsid w:val="009112C6"/>
    <w:rsid w:val="009113A9"/>
    <w:rsid w:val="0091143F"/>
    <w:rsid w:val="009122EB"/>
    <w:rsid w:val="009124D9"/>
    <w:rsid w:val="00912BC1"/>
    <w:rsid w:val="00912C0A"/>
    <w:rsid w:val="00912E1C"/>
    <w:rsid w:val="009134D0"/>
    <w:rsid w:val="009144C0"/>
    <w:rsid w:val="0091473B"/>
    <w:rsid w:val="00914B87"/>
    <w:rsid w:val="00914ED0"/>
    <w:rsid w:val="00915127"/>
    <w:rsid w:val="00915385"/>
    <w:rsid w:val="009155B9"/>
    <w:rsid w:val="00915664"/>
    <w:rsid w:val="009159AE"/>
    <w:rsid w:val="0091606A"/>
    <w:rsid w:val="0091667B"/>
    <w:rsid w:val="009168A2"/>
    <w:rsid w:val="00916C12"/>
    <w:rsid w:val="00917153"/>
    <w:rsid w:val="00917394"/>
    <w:rsid w:val="009176FC"/>
    <w:rsid w:val="00917EAD"/>
    <w:rsid w:val="00917FA8"/>
    <w:rsid w:val="00920275"/>
    <w:rsid w:val="0092041F"/>
    <w:rsid w:val="009206B5"/>
    <w:rsid w:val="00920C1A"/>
    <w:rsid w:val="009211C9"/>
    <w:rsid w:val="00921392"/>
    <w:rsid w:val="00921931"/>
    <w:rsid w:val="0092295C"/>
    <w:rsid w:val="00922A16"/>
    <w:rsid w:val="00922A7F"/>
    <w:rsid w:val="00922D48"/>
    <w:rsid w:val="009234F0"/>
    <w:rsid w:val="009239B3"/>
    <w:rsid w:val="0092433C"/>
    <w:rsid w:val="009248F8"/>
    <w:rsid w:val="00924A1F"/>
    <w:rsid w:val="00924A6C"/>
    <w:rsid w:val="00924F2B"/>
    <w:rsid w:val="00924F83"/>
    <w:rsid w:val="009252CC"/>
    <w:rsid w:val="0092562E"/>
    <w:rsid w:val="0092570E"/>
    <w:rsid w:val="009257E3"/>
    <w:rsid w:val="009259A6"/>
    <w:rsid w:val="00926436"/>
    <w:rsid w:val="009269F7"/>
    <w:rsid w:val="00926C3C"/>
    <w:rsid w:val="00926CBE"/>
    <w:rsid w:val="00927624"/>
    <w:rsid w:val="009277BD"/>
    <w:rsid w:val="00927B5B"/>
    <w:rsid w:val="00927F24"/>
    <w:rsid w:val="009303FB"/>
    <w:rsid w:val="009305F8"/>
    <w:rsid w:val="00930A85"/>
    <w:rsid w:val="00930FF4"/>
    <w:rsid w:val="0093162F"/>
    <w:rsid w:val="00931CAF"/>
    <w:rsid w:val="00932435"/>
    <w:rsid w:val="00932679"/>
    <w:rsid w:val="00932904"/>
    <w:rsid w:val="009332CA"/>
    <w:rsid w:val="00933304"/>
    <w:rsid w:val="00933464"/>
    <w:rsid w:val="00933629"/>
    <w:rsid w:val="00933B3E"/>
    <w:rsid w:val="00933CFE"/>
    <w:rsid w:val="00933FE9"/>
    <w:rsid w:val="0093428D"/>
    <w:rsid w:val="00934681"/>
    <w:rsid w:val="00934817"/>
    <w:rsid w:val="00934CF6"/>
    <w:rsid w:val="0093517B"/>
    <w:rsid w:val="009358B3"/>
    <w:rsid w:val="00935AE2"/>
    <w:rsid w:val="00935D81"/>
    <w:rsid w:val="009360D1"/>
    <w:rsid w:val="00936159"/>
    <w:rsid w:val="00936934"/>
    <w:rsid w:val="0093732B"/>
    <w:rsid w:val="00937C34"/>
    <w:rsid w:val="00937C37"/>
    <w:rsid w:val="009403CC"/>
    <w:rsid w:val="009409B0"/>
    <w:rsid w:val="009409D4"/>
    <w:rsid w:val="00940C96"/>
    <w:rsid w:val="00940F6B"/>
    <w:rsid w:val="00940FA9"/>
    <w:rsid w:val="009413EA"/>
    <w:rsid w:val="00941D17"/>
    <w:rsid w:val="00942046"/>
    <w:rsid w:val="00942442"/>
    <w:rsid w:val="009424A8"/>
    <w:rsid w:val="0094291E"/>
    <w:rsid w:val="00942A0A"/>
    <w:rsid w:val="00942D09"/>
    <w:rsid w:val="00942E43"/>
    <w:rsid w:val="00942E60"/>
    <w:rsid w:val="00943117"/>
    <w:rsid w:val="00943308"/>
    <w:rsid w:val="0094369C"/>
    <w:rsid w:val="0094373D"/>
    <w:rsid w:val="00943F76"/>
    <w:rsid w:val="00944204"/>
    <w:rsid w:val="00944296"/>
    <w:rsid w:val="00944E83"/>
    <w:rsid w:val="009453DE"/>
    <w:rsid w:val="00945563"/>
    <w:rsid w:val="00945E97"/>
    <w:rsid w:val="0094667E"/>
    <w:rsid w:val="00946A7B"/>
    <w:rsid w:val="00947328"/>
    <w:rsid w:val="00947806"/>
    <w:rsid w:val="00947944"/>
    <w:rsid w:val="00947C88"/>
    <w:rsid w:val="0095004B"/>
    <w:rsid w:val="009509F5"/>
    <w:rsid w:val="00950A22"/>
    <w:rsid w:val="00950AAD"/>
    <w:rsid w:val="00950C04"/>
    <w:rsid w:val="00950CFB"/>
    <w:rsid w:val="00950FB7"/>
    <w:rsid w:val="0095116E"/>
    <w:rsid w:val="00952D36"/>
    <w:rsid w:val="00952D78"/>
    <w:rsid w:val="00953516"/>
    <w:rsid w:val="0095354A"/>
    <w:rsid w:val="00953AEB"/>
    <w:rsid w:val="00953CEB"/>
    <w:rsid w:val="00953E9C"/>
    <w:rsid w:val="0095453C"/>
    <w:rsid w:val="009545AA"/>
    <w:rsid w:val="009548D7"/>
    <w:rsid w:val="00954A4E"/>
    <w:rsid w:val="00955202"/>
    <w:rsid w:val="0095554F"/>
    <w:rsid w:val="00955559"/>
    <w:rsid w:val="00955BC1"/>
    <w:rsid w:val="00955E52"/>
    <w:rsid w:val="0095602A"/>
    <w:rsid w:val="00956C7C"/>
    <w:rsid w:val="00956CE4"/>
    <w:rsid w:val="00956E70"/>
    <w:rsid w:val="00957612"/>
    <w:rsid w:val="00957739"/>
    <w:rsid w:val="009601D8"/>
    <w:rsid w:val="00960BBF"/>
    <w:rsid w:val="00960BC6"/>
    <w:rsid w:val="00960E66"/>
    <w:rsid w:val="0096274C"/>
    <w:rsid w:val="009627F7"/>
    <w:rsid w:val="00962D98"/>
    <w:rsid w:val="00963501"/>
    <w:rsid w:val="00963639"/>
    <w:rsid w:val="00963CB5"/>
    <w:rsid w:val="009640A6"/>
    <w:rsid w:val="00964494"/>
    <w:rsid w:val="00964841"/>
    <w:rsid w:val="009649DB"/>
    <w:rsid w:val="00964B8D"/>
    <w:rsid w:val="00964D2B"/>
    <w:rsid w:val="00964E43"/>
    <w:rsid w:val="00964EF7"/>
    <w:rsid w:val="009659EC"/>
    <w:rsid w:val="00965A3B"/>
    <w:rsid w:val="009660AB"/>
    <w:rsid w:val="0096630E"/>
    <w:rsid w:val="00966955"/>
    <w:rsid w:val="009671E3"/>
    <w:rsid w:val="009674E4"/>
    <w:rsid w:val="0096754F"/>
    <w:rsid w:val="009675FF"/>
    <w:rsid w:val="0096763A"/>
    <w:rsid w:val="0096796A"/>
    <w:rsid w:val="009679C3"/>
    <w:rsid w:val="00967CBF"/>
    <w:rsid w:val="00970518"/>
    <w:rsid w:val="00970A77"/>
    <w:rsid w:val="00970DA6"/>
    <w:rsid w:val="00971280"/>
    <w:rsid w:val="00971433"/>
    <w:rsid w:val="0097164D"/>
    <w:rsid w:val="00971951"/>
    <w:rsid w:val="00971BA7"/>
    <w:rsid w:val="00971C74"/>
    <w:rsid w:val="00971E73"/>
    <w:rsid w:val="00972340"/>
    <w:rsid w:val="00972390"/>
    <w:rsid w:val="009723C1"/>
    <w:rsid w:val="00972A77"/>
    <w:rsid w:val="00972F21"/>
    <w:rsid w:val="009732B4"/>
    <w:rsid w:val="00973322"/>
    <w:rsid w:val="0097341C"/>
    <w:rsid w:val="0097359D"/>
    <w:rsid w:val="00973810"/>
    <w:rsid w:val="009738B0"/>
    <w:rsid w:val="00973B8F"/>
    <w:rsid w:val="00973E8F"/>
    <w:rsid w:val="0097413F"/>
    <w:rsid w:val="0097426F"/>
    <w:rsid w:val="00974356"/>
    <w:rsid w:val="009748F6"/>
    <w:rsid w:val="009749DC"/>
    <w:rsid w:val="00974E1D"/>
    <w:rsid w:val="009759A6"/>
    <w:rsid w:val="009759CB"/>
    <w:rsid w:val="00975A12"/>
    <w:rsid w:val="00975B43"/>
    <w:rsid w:val="00975CB0"/>
    <w:rsid w:val="00975D47"/>
    <w:rsid w:val="00976296"/>
    <w:rsid w:val="0097649F"/>
    <w:rsid w:val="00976639"/>
    <w:rsid w:val="009766C1"/>
    <w:rsid w:val="00976D8B"/>
    <w:rsid w:val="00976FC9"/>
    <w:rsid w:val="0097756D"/>
    <w:rsid w:val="0098027C"/>
    <w:rsid w:val="0098078A"/>
    <w:rsid w:val="009807BC"/>
    <w:rsid w:val="00980A5A"/>
    <w:rsid w:val="00981F57"/>
    <w:rsid w:val="009827E8"/>
    <w:rsid w:val="0098280B"/>
    <w:rsid w:val="00982B47"/>
    <w:rsid w:val="00982E18"/>
    <w:rsid w:val="00982FBD"/>
    <w:rsid w:val="0098344C"/>
    <w:rsid w:val="009839F7"/>
    <w:rsid w:val="00983C7D"/>
    <w:rsid w:val="00983DA4"/>
    <w:rsid w:val="00984154"/>
    <w:rsid w:val="00984532"/>
    <w:rsid w:val="00984A82"/>
    <w:rsid w:val="00984BB4"/>
    <w:rsid w:val="00985015"/>
    <w:rsid w:val="009852E2"/>
    <w:rsid w:val="009852FB"/>
    <w:rsid w:val="0098595A"/>
    <w:rsid w:val="00985E8A"/>
    <w:rsid w:val="00986064"/>
    <w:rsid w:val="0098609F"/>
    <w:rsid w:val="0098650C"/>
    <w:rsid w:val="00986B7C"/>
    <w:rsid w:val="00986C38"/>
    <w:rsid w:val="00986D0F"/>
    <w:rsid w:val="00986F28"/>
    <w:rsid w:val="00987D41"/>
    <w:rsid w:val="00987D65"/>
    <w:rsid w:val="0099035F"/>
    <w:rsid w:val="009907E1"/>
    <w:rsid w:val="00990839"/>
    <w:rsid w:val="00990C54"/>
    <w:rsid w:val="00990CC4"/>
    <w:rsid w:val="00990EFA"/>
    <w:rsid w:val="0099169D"/>
    <w:rsid w:val="00991719"/>
    <w:rsid w:val="00991764"/>
    <w:rsid w:val="0099178F"/>
    <w:rsid w:val="00991BC6"/>
    <w:rsid w:val="00991C56"/>
    <w:rsid w:val="00991C88"/>
    <w:rsid w:val="00991F2E"/>
    <w:rsid w:val="0099202B"/>
    <w:rsid w:val="0099340B"/>
    <w:rsid w:val="00993B86"/>
    <w:rsid w:val="00993DAF"/>
    <w:rsid w:val="00993EF8"/>
    <w:rsid w:val="0099433D"/>
    <w:rsid w:val="009945D5"/>
    <w:rsid w:val="00994A28"/>
    <w:rsid w:val="00994A39"/>
    <w:rsid w:val="00994DCA"/>
    <w:rsid w:val="009950BE"/>
    <w:rsid w:val="009951AF"/>
    <w:rsid w:val="00995724"/>
    <w:rsid w:val="00995754"/>
    <w:rsid w:val="0099585D"/>
    <w:rsid w:val="009959C2"/>
    <w:rsid w:val="00995A10"/>
    <w:rsid w:val="00995D07"/>
    <w:rsid w:val="00995E86"/>
    <w:rsid w:val="00996BE8"/>
    <w:rsid w:val="0099712D"/>
    <w:rsid w:val="009972B7"/>
    <w:rsid w:val="00997802"/>
    <w:rsid w:val="009979EE"/>
    <w:rsid w:val="00997AA8"/>
    <w:rsid w:val="00997AEC"/>
    <w:rsid w:val="00997DA4"/>
    <w:rsid w:val="009A05A4"/>
    <w:rsid w:val="009A0706"/>
    <w:rsid w:val="009A0D07"/>
    <w:rsid w:val="009A119B"/>
    <w:rsid w:val="009A13D0"/>
    <w:rsid w:val="009A15FA"/>
    <w:rsid w:val="009A16A9"/>
    <w:rsid w:val="009A1D3D"/>
    <w:rsid w:val="009A1E0B"/>
    <w:rsid w:val="009A2047"/>
    <w:rsid w:val="009A22D5"/>
    <w:rsid w:val="009A250A"/>
    <w:rsid w:val="009A2631"/>
    <w:rsid w:val="009A2C3B"/>
    <w:rsid w:val="009A2D3C"/>
    <w:rsid w:val="009A2D68"/>
    <w:rsid w:val="009A2E6E"/>
    <w:rsid w:val="009A2FC1"/>
    <w:rsid w:val="009A35EB"/>
    <w:rsid w:val="009A3A40"/>
    <w:rsid w:val="009A43A1"/>
    <w:rsid w:val="009A493D"/>
    <w:rsid w:val="009A4A76"/>
    <w:rsid w:val="009A4C7C"/>
    <w:rsid w:val="009A4E67"/>
    <w:rsid w:val="009A5FE4"/>
    <w:rsid w:val="009A60B6"/>
    <w:rsid w:val="009A6F19"/>
    <w:rsid w:val="009A73CF"/>
    <w:rsid w:val="009A7481"/>
    <w:rsid w:val="009A7485"/>
    <w:rsid w:val="009A74BE"/>
    <w:rsid w:val="009A79B3"/>
    <w:rsid w:val="009B038C"/>
    <w:rsid w:val="009B0586"/>
    <w:rsid w:val="009B0C88"/>
    <w:rsid w:val="009B0E45"/>
    <w:rsid w:val="009B0E4B"/>
    <w:rsid w:val="009B0F2F"/>
    <w:rsid w:val="009B1042"/>
    <w:rsid w:val="009B14B8"/>
    <w:rsid w:val="009B1741"/>
    <w:rsid w:val="009B1931"/>
    <w:rsid w:val="009B1F76"/>
    <w:rsid w:val="009B1FEA"/>
    <w:rsid w:val="009B1FFD"/>
    <w:rsid w:val="009B1FFE"/>
    <w:rsid w:val="009B2112"/>
    <w:rsid w:val="009B26C7"/>
    <w:rsid w:val="009B2DBA"/>
    <w:rsid w:val="009B3847"/>
    <w:rsid w:val="009B3DFE"/>
    <w:rsid w:val="009B3EF0"/>
    <w:rsid w:val="009B42FA"/>
    <w:rsid w:val="009B4546"/>
    <w:rsid w:val="009B47FF"/>
    <w:rsid w:val="009B4883"/>
    <w:rsid w:val="009B4906"/>
    <w:rsid w:val="009B4A25"/>
    <w:rsid w:val="009B4BC8"/>
    <w:rsid w:val="009B4EAE"/>
    <w:rsid w:val="009B557D"/>
    <w:rsid w:val="009B5B17"/>
    <w:rsid w:val="009B5C38"/>
    <w:rsid w:val="009B5DFD"/>
    <w:rsid w:val="009B604C"/>
    <w:rsid w:val="009B6A23"/>
    <w:rsid w:val="009B798F"/>
    <w:rsid w:val="009C01AB"/>
    <w:rsid w:val="009C03FE"/>
    <w:rsid w:val="009C0824"/>
    <w:rsid w:val="009C0875"/>
    <w:rsid w:val="009C0990"/>
    <w:rsid w:val="009C0B42"/>
    <w:rsid w:val="009C14DE"/>
    <w:rsid w:val="009C1555"/>
    <w:rsid w:val="009C21BC"/>
    <w:rsid w:val="009C237F"/>
    <w:rsid w:val="009C23E0"/>
    <w:rsid w:val="009C24CD"/>
    <w:rsid w:val="009C2A88"/>
    <w:rsid w:val="009C39F7"/>
    <w:rsid w:val="009C3A97"/>
    <w:rsid w:val="009C41F8"/>
    <w:rsid w:val="009C458A"/>
    <w:rsid w:val="009C4E4D"/>
    <w:rsid w:val="009C523F"/>
    <w:rsid w:val="009C5380"/>
    <w:rsid w:val="009C59AF"/>
    <w:rsid w:val="009C5E9F"/>
    <w:rsid w:val="009C6240"/>
    <w:rsid w:val="009C6CBE"/>
    <w:rsid w:val="009C70A6"/>
    <w:rsid w:val="009C735A"/>
    <w:rsid w:val="009C79F7"/>
    <w:rsid w:val="009C7A3F"/>
    <w:rsid w:val="009C7F9E"/>
    <w:rsid w:val="009D051D"/>
    <w:rsid w:val="009D078D"/>
    <w:rsid w:val="009D0801"/>
    <w:rsid w:val="009D0DD3"/>
    <w:rsid w:val="009D15E8"/>
    <w:rsid w:val="009D1998"/>
    <w:rsid w:val="009D1EC9"/>
    <w:rsid w:val="009D1F4E"/>
    <w:rsid w:val="009D1F67"/>
    <w:rsid w:val="009D202F"/>
    <w:rsid w:val="009D2880"/>
    <w:rsid w:val="009D2A39"/>
    <w:rsid w:val="009D2C33"/>
    <w:rsid w:val="009D2C99"/>
    <w:rsid w:val="009D2F97"/>
    <w:rsid w:val="009D2FC7"/>
    <w:rsid w:val="009D37CF"/>
    <w:rsid w:val="009D3C85"/>
    <w:rsid w:val="009D43E3"/>
    <w:rsid w:val="009D4862"/>
    <w:rsid w:val="009D4C82"/>
    <w:rsid w:val="009D4EAE"/>
    <w:rsid w:val="009D50EA"/>
    <w:rsid w:val="009D553D"/>
    <w:rsid w:val="009D5A5A"/>
    <w:rsid w:val="009D61B0"/>
    <w:rsid w:val="009D6474"/>
    <w:rsid w:val="009D64DE"/>
    <w:rsid w:val="009D6BDD"/>
    <w:rsid w:val="009D704C"/>
    <w:rsid w:val="009D7406"/>
    <w:rsid w:val="009D77A9"/>
    <w:rsid w:val="009D7D4E"/>
    <w:rsid w:val="009E0425"/>
    <w:rsid w:val="009E1A5B"/>
    <w:rsid w:val="009E1B2B"/>
    <w:rsid w:val="009E2393"/>
    <w:rsid w:val="009E2394"/>
    <w:rsid w:val="009E23D4"/>
    <w:rsid w:val="009E2B18"/>
    <w:rsid w:val="009E2F3B"/>
    <w:rsid w:val="009E3161"/>
    <w:rsid w:val="009E32BA"/>
    <w:rsid w:val="009E3826"/>
    <w:rsid w:val="009E388E"/>
    <w:rsid w:val="009E4241"/>
    <w:rsid w:val="009E42A2"/>
    <w:rsid w:val="009E44CF"/>
    <w:rsid w:val="009E477F"/>
    <w:rsid w:val="009E49C2"/>
    <w:rsid w:val="009E4C1A"/>
    <w:rsid w:val="009E56A8"/>
    <w:rsid w:val="009E5C82"/>
    <w:rsid w:val="009E5E96"/>
    <w:rsid w:val="009E6475"/>
    <w:rsid w:val="009E69C6"/>
    <w:rsid w:val="009E6C68"/>
    <w:rsid w:val="009E6CBA"/>
    <w:rsid w:val="009E7858"/>
    <w:rsid w:val="009E79E5"/>
    <w:rsid w:val="009E7AB6"/>
    <w:rsid w:val="009E7CB2"/>
    <w:rsid w:val="009E7F59"/>
    <w:rsid w:val="009F00AE"/>
    <w:rsid w:val="009F00DA"/>
    <w:rsid w:val="009F01D1"/>
    <w:rsid w:val="009F0C89"/>
    <w:rsid w:val="009F10BE"/>
    <w:rsid w:val="009F154E"/>
    <w:rsid w:val="009F1B83"/>
    <w:rsid w:val="009F1C75"/>
    <w:rsid w:val="009F2523"/>
    <w:rsid w:val="009F25AE"/>
    <w:rsid w:val="009F25F6"/>
    <w:rsid w:val="009F2D09"/>
    <w:rsid w:val="009F2D84"/>
    <w:rsid w:val="009F2E0D"/>
    <w:rsid w:val="009F332A"/>
    <w:rsid w:val="009F33F8"/>
    <w:rsid w:val="009F350D"/>
    <w:rsid w:val="009F35BD"/>
    <w:rsid w:val="009F374B"/>
    <w:rsid w:val="009F38DA"/>
    <w:rsid w:val="009F3EC2"/>
    <w:rsid w:val="009F4027"/>
    <w:rsid w:val="009F4250"/>
    <w:rsid w:val="009F4450"/>
    <w:rsid w:val="009F48AB"/>
    <w:rsid w:val="009F4969"/>
    <w:rsid w:val="009F4D56"/>
    <w:rsid w:val="009F538A"/>
    <w:rsid w:val="009F5710"/>
    <w:rsid w:val="009F5B7D"/>
    <w:rsid w:val="009F5D0D"/>
    <w:rsid w:val="009F5DB3"/>
    <w:rsid w:val="009F5F5A"/>
    <w:rsid w:val="009F639E"/>
    <w:rsid w:val="009F671B"/>
    <w:rsid w:val="009F6C9C"/>
    <w:rsid w:val="009F707B"/>
    <w:rsid w:val="009F724D"/>
    <w:rsid w:val="009F7285"/>
    <w:rsid w:val="009F77A5"/>
    <w:rsid w:val="009F7AA4"/>
    <w:rsid w:val="009F7E73"/>
    <w:rsid w:val="009F7E9A"/>
    <w:rsid w:val="00A00021"/>
    <w:rsid w:val="00A0015D"/>
    <w:rsid w:val="00A003DC"/>
    <w:rsid w:val="00A009A8"/>
    <w:rsid w:val="00A00C7D"/>
    <w:rsid w:val="00A00ECF"/>
    <w:rsid w:val="00A00F4B"/>
    <w:rsid w:val="00A01339"/>
    <w:rsid w:val="00A0145E"/>
    <w:rsid w:val="00A01C19"/>
    <w:rsid w:val="00A01C38"/>
    <w:rsid w:val="00A02132"/>
    <w:rsid w:val="00A0220E"/>
    <w:rsid w:val="00A0257B"/>
    <w:rsid w:val="00A02709"/>
    <w:rsid w:val="00A027C0"/>
    <w:rsid w:val="00A02F6F"/>
    <w:rsid w:val="00A03188"/>
    <w:rsid w:val="00A03437"/>
    <w:rsid w:val="00A0355A"/>
    <w:rsid w:val="00A03889"/>
    <w:rsid w:val="00A03EA6"/>
    <w:rsid w:val="00A0472E"/>
    <w:rsid w:val="00A04A66"/>
    <w:rsid w:val="00A0529B"/>
    <w:rsid w:val="00A05572"/>
    <w:rsid w:val="00A055EC"/>
    <w:rsid w:val="00A058A1"/>
    <w:rsid w:val="00A065B4"/>
    <w:rsid w:val="00A06BAF"/>
    <w:rsid w:val="00A06FFD"/>
    <w:rsid w:val="00A073EF"/>
    <w:rsid w:val="00A07610"/>
    <w:rsid w:val="00A076AF"/>
    <w:rsid w:val="00A0773F"/>
    <w:rsid w:val="00A07B97"/>
    <w:rsid w:val="00A07D9B"/>
    <w:rsid w:val="00A10296"/>
    <w:rsid w:val="00A1037C"/>
    <w:rsid w:val="00A1090F"/>
    <w:rsid w:val="00A10A17"/>
    <w:rsid w:val="00A10D2F"/>
    <w:rsid w:val="00A10E35"/>
    <w:rsid w:val="00A1153E"/>
    <w:rsid w:val="00A1166C"/>
    <w:rsid w:val="00A116CE"/>
    <w:rsid w:val="00A1210D"/>
    <w:rsid w:val="00A1232D"/>
    <w:rsid w:val="00A1253D"/>
    <w:rsid w:val="00A12AC8"/>
    <w:rsid w:val="00A12CEB"/>
    <w:rsid w:val="00A12E0A"/>
    <w:rsid w:val="00A12E7F"/>
    <w:rsid w:val="00A1315F"/>
    <w:rsid w:val="00A13239"/>
    <w:rsid w:val="00A1351E"/>
    <w:rsid w:val="00A13827"/>
    <w:rsid w:val="00A13D25"/>
    <w:rsid w:val="00A14137"/>
    <w:rsid w:val="00A1436F"/>
    <w:rsid w:val="00A14B0B"/>
    <w:rsid w:val="00A14E1F"/>
    <w:rsid w:val="00A15B35"/>
    <w:rsid w:val="00A15C76"/>
    <w:rsid w:val="00A15D5B"/>
    <w:rsid w:val="00A16247"/>
    <w:rsid w:val="00A1632B"/>
    <w:rsid w:val="00A1640A"/>
    <w:rsid w:val="00A16513"/>
    <w:rsid w:val="00A16701"/>
    <w:rsid w:val="00A16806"/>
    <w:rsid w:val="00A16B46"/>
    <w:rsid w:val="00A17322"/>
    <w:rsid w:val="00A17CA4"/>
    <w:rsid w:val="00A17F3D"/>
    <w:rsid w:val="00A201A2"/>
    <w:rsid w:val="00A2049F"/>
    <w:rsid w:val="00A204D7"/>
    <w:rsid w:val="00A206B3"/>
    <w:rsid w:val="00A209AC"/>
    <w:rsid w:val="00A20AE2"/>
    <w:rsid w:val="00A210C4"/>
    <w:rsid w:val="00A2123C"/>
    <w:rsid w:val="00A2179F"/>
    <w:rsid w:val="00A21E51"/>
    <w:rsid w:val="00A22001"/>
    <w:rsid w:val="00A22D0E"/>
    <w:rsid w:val="00A230AF"/>
    <w:rsid w:val="00A231EF"/>
    <w:rsid w:val="00A23297"/>
    <w:rsid w:val="00A237B6"/>
    <w:rsid w:val="00A23EF8"/>
    <w:rsid w:val="00A23FB5"/>
    <w:rsid w:val="00A23FDB"/>
    <w:rsid w:val="00A24077"/>
    <w:rsid w:val="00A24285"/>
    <w:rsid w:val="00A243EF"/>
    <w:rsid w:val="00A24531"/>
    <w:rsid w:val="00A24660"/>
    <w:rsid w:val="00A24C87"/>
    <w:rsid w:val="00A24EA9"/>
    <w:rsid w:val="00A25A3F"/>
    <w:rsid w:val="00A25CD0"/>
    <w:rsid w:val="00A25E4C"/>
    <w:rsid w:val="00A262E3"/>
    <w:rsid w:val="00A269ED"/>
    <w:rsid w:val="00A26E10"/>
    <w:rsid w:val="00A2757A"/>
    <w:rsid w:val="00A27855"/>
    <w:rsid w:val="00A27BD6"/>
    <w:rsid w:val="00A27DCC"/>
    <w:rsid w:val="00A304E0"/>
    <w:rsid w:val="00A304E1"/>
    <w:rsid w:val="00A30AFD"/>
    <w:rsid w:val="00A30D69"/>
    <w:rsid w:val="00A315BB"/>
    <w:rsid w:val="00A31AC0"/>
    <w:rsid w:val="00A31E70"/>
    <w:rsid w:val="00A32190"/>
    <w:rsid w:val="00A321A7"/>
    <w:rsid w:val="00A32BAD"/>
    <w:rsid w:val="00A336DB"/>
    <w:rsid w:val="00A33BAD"/>
    <w:rsid w:val="00A33C03"/>
    <w:rsid w:val="00A33F24"/>
    <w:rsid w:val="00A34A96"/>
    <w:rsid w:val="00A34F77"/>
    <w:rsid w:val="00A3520E"/>
    <w:rsid w:val="00A3581B"/>
    <w:rsid w:val="00A35975"/>
    <w:rsid w:val="00A35AF0"/>
    <w:rsid w:val="00A35BB9"/>
    <w:rsid w:val="00A35D24"/>
    <w:rsid w:val="00A366DD"/>
    <w:rsid w:val="00A36AD4"/>
    <w:rsid w:val="00A3770D"/>
    <w:rsid w:val="00A37B55"/>
    <w:rsid w:val="00A37FF5"/>
    <w:rsid w:val="00A40719"/>
    <w:rsid w:val="00A40C31"/>
    <w:rsid w:val="00A4173B"/>
    <w:rsid w:val="00A41CE4"/>
    <w:rsid w:val="00A422B8"/>
    <w:rsid w:val="00A4290E"/>
    <w:rsid w:val="00A42D25"/>
    <w:rsid w:val="00A42D73"/>
    <w:rsid w:val="00A42EAC"/>
    <w:rsid w:val="00A432CE"/>
    <w:rsid w:val="00A4376A"/>
    <w:rsid w:val="00A43AC1"/>
    <w:rsid w:val="00A43B41"/>
    <w:rsid w:val="00A43F2E"/>
    <w:rsid w:val="00A441F0"/>
    <w:rsid w:val="00A44401"/>
    <w:rsid w:val="00A44545"/>
    <w:rsid w:val="00A449AC"/>
    <w:rsid w:val="00A4502D"/>
    <w:rsid w:val="00A45806"/>
    <w:rsid w:val="00A45AE6"/>
    <w:rsid w:val="00A4613E"/>
    <w:rsid w:val="00A46F72"/>
    <w:rsid w:val="00A46FF9"/>
    <w:rsid w:val="00A4700C"/>
    <w:rsid w:val="00A47104"/>
    <w:rsid w:val="00A472BB"/>
    <w:rsid w:val="00A47EDA"/>
    <w:rsid w:val="00A50708"/>
    <w:rsid w:val="00A50A8F"/>
    <w:rsid w:val="00A50EC6"/>
    <w:rsid w:val="00A50F2A"/>
    <w:rsid w:val="00A50FF0"/>
    <w:rsid w:val="00A51CD7"/>
    <w:rsid w:val="00A51E1C"/>
    <w:rsid w:val="00A51FC6"/>
    <w:rsid w:val="00A521FC"/>
    <w:rsid w:val="00A528D8"/>
    <w:rsid w:val="00A52981"/>
    <w:rsid w:val="00A52EE5"/>
    <w:rsid w:val="00A5408A"/>
    <w:rsid w:val="00A542BF"/>
    <w:rsid w:val="00A54826"/>
    <w:rsid w:val="00A55091"/>
    <w:rsid w:val="00A55516"/>
    <w:rsid w:val="00A55595"/>
    <w:rsid w:val="00A556FD"/>
    <w:rsid w:val="00A55726"/>
    <w:rsid w:val="00A558F4"/>
    <w:rsid w:val="00A55B0B"/>
    <w:rsid w:val="00A55C38"/>
    <w:rsid w:val="00A56377"/>
    <w:rsid w:val="00A56567"/>
    <w:rsid w:val="00A567FD"/>
    <w:rsid w:val="00A56AB3"/>
    <w:rsid w:val="00A56AD6"/>
    <w:rsid w:val="00A56E05"/>
    <w:rsid w:val="00A56F32"/>
    <w:rsid w:val="00A57387"/>
    <w:rsid w:val="00A57458"/>
    <w:rsid w:val="00A574B2"/>
    <w:rsid w:val="00A574BC"/>
    <w:rsid w:val="00A57C54"/>
    <w:rsid w:val="00A57F15"/>
    <w:rsid w:val="00A57F27"/>
    <w:rsid w:val="00A57FE9"/>
    <w:rsid w:val="00A57FF6"/>
    <w:rsid w:val="00A6008E"/>
    <w:rsid w:val="00A6125F"/>
    <w:rsid w:val="00A6129F"/>
    <w:rsid w:val="00A61456"/>
    <w:rsid w:val="00A61544"/>
    <w:rsid w:val="00A616CE"/>
    <w:rsid w:val="00A6170C"/>
    <w:rsid w:val="00A617BD"/>
    <w:rsid w:val="00A61844"/>
    <w:rsid w:val="00A619C4"/>
    <w:rsid w:val="00A620CF"/>
    <w:rsid w:val="00A621AA"/>
    <w:rsid w:val="00A62282"/>
    <w:rsid w:val="00A62631"/>
    <w:rsid w:val="00A62687"/>
    <w:rsid w:val="00A62FE1"/>
    <w:rsid w:val="00A63A07"/>
    <w:rsid w:val="00A63AD0"/>
    <w:rsid w:val="00A63AF8"/>
    <w:rsid w:val="00A63B3C"/>
    <w:rsid w:val="00A6424F"/>
    <w:rsid w:val="00A647EB"/>
    <w:rsid w:val="00A64890"/>
    <w:rsid w:val="00A65773"/>
    <w:rsid w:val="00A6592C"/>
    <w:rsid w:val="00A65C10"/>
    <w:rsid w:val="00A65C29"/>
    <w:rsid w:val="00A66229"/>
    <w:rsid w:val="00A6680E"/>
    <w:rsid w:val="00A66A9A"/>
    <w:rsid w:val="00A67138"/>
    <w:rsid w:val="00A67B54"/>
    <w:rsid w:val="00A702DB"/>
    <w:rsid w:val="00A70513"/>
    <w:rsid w:val="00A705C1"/>
    <w:rsid w:val="00A70709"/>
    <w:rsid w:val="00A707BD"/>
    <w:rsid w:val="00A70CAA"/>
    <w:rsid w:val="00A7135A"/>
    <w:rsid w:val="00A7138A"/>
    <w:rsid w:val="00A713E4"/>
    <w:rsid w:val="00A715DA"/>
    <w:rsid w:val="00A715FD"/>
    <w:rsid w:val="00A716B0"/>
    <w:rsid w:val="00A716C8"/>
    <w:rsid w:val="00A7182D"/>
    <w:rsid w:val="00A71B32"/>
    <w:rsid w:val="00A71F1C"/>
    <w:rsid w:val="00A7223F"/>
    <w:rsid w:val="00A72AEB"/>
    <w:rsid w:val="00A73234"/>
    <w:rsid w:val="00A734D0"/>
    <w:rsid w:val="00A73539"/>
    <w:rsid w:val="00A736F5"/>
    <w:rsid w:val="00A737AC"/>
    <w:rsid w:val="00A73DD0"/>
    <w:rsid w:val="00A73E49"/>
    <w:rsid w:val="00A74766"/>
    <w:rsid w:val="00A7519B"/>
    <w:rsid w:val="00A752A8"/>
    <w:rsid w:val="00A7563B"/>
    <w:rsid w:val="00A75718"/>
    <w:rsid w:val="00A75B43"/>
    <w:rsid w:val="00A75D3E"/>
    <w:rsid w:val="00A76144"/>
    <w:rsid w:val="00A76693"/>
    <w:rsid w:val="00A7687B"/>
    <w:rsid w:val="00A76B03"/>
    <w:rsid w:val="00A76B2B"/>
    <w:rsid w:val="00A76FE6"/>
    <w:rsid w:val="00A771BE"/>
    <w:rsid w:val="00A7782E"/>
    <w:rsid w:val="00A77B82"/>
    <w:rsid w:val="00A77BC5"/>
    <w:rsid w:val="00A8034F"/>
    <w:rsid w:val="00A808E2"/>
    <w:rsid w:val="00A80A3B"/>
    <w:rsid w:val="00A80B47"/>
    <w:rsid w:val="00A80F64"/>
    <w:rsid w:val="00A81B0B"/>
    <w:rsid w:val="00A81B82"/>
    <w:rsid w:val="00A82032"/>
    <w:rsid w:val="00A82279"/>
    <w:rsid w:val="00A82618"/>
    <w:rsid w:val="00A82F1E"/>
    <w:rsid w:val="00A832F9"/>
    <w:rsid w:val="00A83A8E"/>
    <w:rsid w:val="00A83C78"/>
    <w:rsid w:val="00A83CB4"/>
    <w:rsid w:val="00A83FF1"/>
    <w:rsid w:val="00A8407A"/>
    <w:rsid w:val="00A84943"/>
    <w:rsid w:val="00A84BF1"/>
    <w:rsid w:val="00A84FED"/>
    <w:rsid w:val="00A85651"/>
    <w:rsid w:val="00A8566C"/>
    <w:rsid w:val="00A85A2F"/>
    <w:rsid w:val="00A86073"/>
    <w:rsid w:val="00A863FB"/>
    <w:rsid w:val="00A86C35"/>
    <w:rsid w:val="00A86CE5"/>
    <w:rsid w:val="00A86FEF"/>
    <w:rsid w:val="00A874A2"/>
    <w:rsid w:val="00A875F2"/>
    <w:rsid w:val="00A87A95"/>
    <w:rsid w:val="00A87C14"/>
    <w:rsid w:val="00A906D5"/>
    <w:rsid w:val="00A909AC"/>
    <w:rsid w:val="00A90ADE"/>
    <w:rsid w:val="00A91951"/>
    <w:rsid w:val="00A920CC"/>
    <w:rsid w:val="00A9255F"/>
    <w:rsid w:val="00A92704"/>
    <w:rsid w:val="00A92AA7"/>
    <w:rsid w:val="00A92ECB"/>
    <w:rsid w:val="00A93244"/>
    <w:rsid w:val="00A934DD"/>
    <w:rsid w:val="00A93806"/>
    <w:rsid w:val="00A93891"/>
    <w:rsid w:val="00A93D41"/>
    <w:rsid w:val="00A93F63"/>
    <w:rsid w:val="00A9445B"/>
    <w:rsid w:val="00A946DE"/>
    <w:rsid w:val="00A94927"/>
    <w:rsid w:val="00A95E5B"/>
    <w:rsid w:val="00A961DF"/>
    <w:rsid w:val="00A9671F"/>
    <w:rsid w:val="00A968DA"/>
    <w:rsid w:val="00A96F9D"/>
    <w:rsid w:val="00A97558"/>
    <w:rsid w:val="00A9798D"/>
    <w:rsid w:val="00A97B9D"/>
    <w:rsid w:val="00A97CAA"/>
    <w:rsid w:val="00A97CD8"/>
    <w:rsid w:val="00AA06A9"/>
    <w:rsid w:val="00AA06BC"/>
    <w:rsid w:val="00AA0A50"/>
    <w:rsid w:val="00AA1394"/>
    <w:rsid w:val="00AA17CB"/>
    <w:rsid w:val="00AA1A6F"/>
    <w:rsid w:val="00AA21A7"/>
    <w:rsid w:val="00AA27CC"/>
    <w:rsid w:val="00AA28E4"/>
    <w:rsid w:val="00AA2BE5"/>
    <w:rsid w:val="00AA2E76"/>
    <w:rsid w:val="00AA31D0"/>
    <w:rsid w:val="00AA3404"/>
    <w:rsid w:val="00AA36E6"/>
    <w:rsid w:val="00AA3A2D"/>
    <w:rsid w:val="00AA3A7A"/>
    <w:rsid w:val="00AA3FC7"/>
    <w:rsid w:val="00AA4505"/>
    <w:rsid w:val="00AA501B"/>
    <w:rsid w:val="00AA5223"/>
    <w:rsid w:val="00AA5BAB"/>
    <w:rsid w:val="00AA5C08"/>
    <w:rsid w:val="00AA5D21"/>
    <w:rsid w:val="00AA6003"/>
    <w:rsid w:val="00AA7313"/>
    <w:rsid w:val="00AA7E56"/>
    <w:rsid w:val="00AB016D"/>
    <w:rsid w:val="00AB024D"/>
    <w:rsid w:val="00AB0264"/>
    <w:rsid w:val="00AB0278"/>
    <w:rsid w:val="00AB0900"/>
    <w:rsid w:val="00AB0CAA"/>
    <w:rsid w:val="00AB0CF6"/>
    <w:rsid w:val="00AB0DDB"/>
    <w:rsid w:val="00AB0F6B"/>
    <w:rsid w:val="00AB116E"/>
    <w:rsid w:val="00AB1FA5"/>
    <w:rsid w:val="00AB219E"/>
    <w:rsid w:val="00AB2284"/>
    <w:rsid w:val="00AB23FB"/>
    <w:rsid w:val="00AB2535"/>
    <w:rsid w:val="00AB2ACB"/>
    <w:rsid w:val="00AB2E26"/>
    <w:rsid w:val="00AB361D"/>
    <w:rsid w:val="00AB3C07"/>
    <w:rsid w:val="00AB3EF0"/>
    <w:rsid w:val="00AB41FD"/>
    <w:rsid w:val="00AB441D"/>
    <w:rsid w:val="00AB459A"/>
    <w:rsid w:val="00AB4BDA"/>
    <w:rsid w:val="00AB51AB"/>
    <w:rsid w:val="00AB51DF"/>
    <w:rsid w:val="00AB5456"/>
    <w:rsid w:val="00AB5635"/>
    <w:rsid w:val="00AB581B"/>
    <w:rsid w:val="00AB62E9"/>
    <w:rsid w:val="00AB6359"/>
    <w:rsid w:val="00AB63F6"/>
    <w:rsid w:val="00AB7220"/>
    <w:rsid w:val="00AB773F"/>
    <w:rsid w:val="00AB7B95"/>
    <w:rsid w:val="00AB7E4C"/>
    <w:rsid w:val="00AC098F"/>
    <w:rsid w:val="00AC0C52"/>
    <w:rsid w:val="00AC0ECB"/>
    <w:rsid w:val="00AC1C84"/>
    <w:rsid w:val="00AC2439"/>
    <w:rsid w:val="00AC2690"/>
    <w:rsid w:val="00AC291A"/>
    <w:rsid w:val="00AC29A0"/>
    <w:rsid w:val="00AC2ADB"/>
    <w:rsid w:val="00AC30B0"/>
    <w:rsid w:val="00AC36CE"/>
    <w:rsid w:val="00AC3927"/>
    <w:rsid w:val="00AC3A48"/>
    <w:rsid w:val="00AC3F86"/>
    <w:rsid w:val="00AC4428"/>
    <w:rsid w:val="00AC444F"/>
    <w:rsid w:val="00AC4741"/>
    <w:rsid w:val="00AC48CB"/>
    <w:rsid w:val="00AC499A"/>
    <w:rsid w:val="00AC551F"/>
    <w:rsid w:val="00AC5836"/>
    <w:rsid w:val="00AC58E8"/>
    <w:rsid w:val="00AC5D1F"/>
    <w:rsid w:val="00AC5D7A"/>
    <w:rsid w:val="00AC5DEC"/>
    <w:rsid w:val="00AC609F"/>
    <w:rsid w:val="00AC640B"/>
    <w:rsid w:val="00AC6936"/>
    <w:rsid w:val="00AC787D"/>
    <w:rsid w:val="00AC7A5B"/>
    <w:rsid w:val="00AC7DF4"/>
    <w:rsid w:val="00AD028C"/>
    <w:rsid w:val="00AD0A55"/>
    <w:rsid w:val="00AD0B62"/>
    <w:rsid w:val="00AD0D46"/>
    <w:rsid w:val="00AD12FF"/>
    <w:rsid w:val="00AD1533"/>
    <w:rsid w:val="00AD18CE"/>
    <w:rsid w:val="00AD18D7"/>
    <w:rsid w:val="00AD1B30"/>
    <w:rsid w:val="00AD1C02"/>
    <w:rsid w:val="00AD1DFF"/>
    <w:rsid w:val="00AD1E97"/>
    <w:rsid w:val="00AD20BE"/>
    <w:rsid w:val="00AD2445"/>
    <w:rsid w:val="00AD2986"/>
    <w:rsid w:val="00AD2FCC"/>
    <w:rsid w:val="00AD31F5"/>
    <w:rsid w:val="00AD348C"/>
    <w:rsid w:val="00AD3856"/>
    <w:rsid w:val="00AD3B15"/>
    <w:rsid w:val="00AD40DB"/>
    <w:rsid w:val="00AD47CC"/>
    <w:rsid w:val="00AD491F"/>
    <w:rsid w:val="00AD4921"/>
    <w:rsid w:val="00AD4C89"/>
    <w:rsid w:val="00AD4FB4"/>
    <w:rsid w:val="00AD507B"/>
    <w:rsid w:val="00AD558A"/>
    <w:rsid w:val="00AD5670"/>
    <w:rsid w:val="00AD5B9A"/>
    <w:rsid w:val="00AD5E9C"/>
    <w:rsid w:val="00AD5F7A"/>
    <w:rsid w:val="00AD5FF1"/>
    <w:rsid w:val="00AD65BD"/>
    <w:rsid w:val="00AD670B"/>
    <w:rsid w:val="00AD6ACB"/>
    <w:rsid w:val="00AD76BE"/>
    <w:rsid w:val="00AD78DB"/>
    <w:rsid w:val="00AD7A47"/>
    <w:rsid w:val="00AD7D00"/>
    <w:rsid w:val="00AD7ECF"/>
    <w:rsid w:val="00AE0881"/>
    <w:rsid w:val="00AE0ED7"/>
    <w:rsid w:val="00AE1383"/>
    <w:rsid w:val="00AE18C1"/>
    <w:rsid w:val="00AE1D65"/>
    <w:rsid w:val="00AE21F1"/>
    <w:rsid w:val="00AE26D5"/>
    <w:rsid w:val="00AE27A4"/>
    <w:rsid w:val="00AE27D4"/>
    <w:rsid w:val="00AE2885"/>
    <w:rsid w:val="00AE29FA"/>
    <w:rsid w:val="00AE2E10"/>
    <w:rsid w:val="00AE30F4"/>
    <w:rsid w:val="00AE34E3"/>
    <w:rsid w:val="00AE3ADD"/>
    <w:rsid w:val="00AE406F"/>
    <w:rsid w:val="00AE4299"/>
    <w:rsid w:val="00AE44B6"/>
    <w:rsid w:val="00AE4A1F"/>
    <w:rsid w:val="00AE4C69"/>
    <w:rsid w:val="00AE4FFD"/>
    <w:rsid w:val="00AE56AC"/>
    <w:rsid w:val="00AE58D3"/>
    <w:rsid w:val="00AE5F43"/>
    <w:rsid w:val="00AE6046"/>
    <w:rsid w:val="00AE613C"/>
    <w:rsid w:val="00AE61E0"/>
    <w:rsid w:val="00AE70F2"/>
    <w:rsid w:val="00AE7441"/>
    <w:rsid w:val="00AE7535"/>
    <w:rsid w:val="00AE7B99"/>
    <w:rsid w:val="00AF07D5"/>
    <w:rsid w:val="00AF11F9"/>
    <w:rsid w:val="00AF1563"/>
    <w:rsid w:val="00AF1E6B"/>
    <w:rsid w:val="00AF1EE3"/>
    <w:rsid w:val="00AF207F"/>
    <w:rsid w:val="00AF25F9"/>
    <w:rsid w:val="00AF28C9"/>
    <w:rsid w:val="00AF28DC"/>
    <w:rsid w:val="00AF2CD7"/>
    <w:rsid w:val="00AF30E0"/>
    <w:rsid w:val="00AF3390"/>
    <w:rsid w:val="00AF33B7"/>
    <w:rsid w:val="00AF34E3"/>
    <w:rsid w:val="00AF3561"/>
    <w:rsid w:val="00AF3687"/>
    <w:rsid w:val="00AF378E"/>
    <w:rsid w:val="00AF3A1A"/>
    <w:rsid w:val="00AF3BF5"/>
    <w:rsid w:val="00AF3D39"/>
    <w:rsid w:val="00AF49B3"/>
    <w:rsid w:val="00AF55DE"/>
    <w:rsid w:val="00AF57D8"/>
    <w:rsid w:val="00AF59DB"/>
    <w:rsid w:val="00AF5F7C"/>
    <w:rsid w:val="00AF63D8"/>
    <w:rsid w:val="00AF6457"/>
    <w:rsid w:val="00AF64D2"/>
    <w:rsid w:val="00AF66C3"/>
    <w:rsid w:val="00AF695E"/>
    <w:rsid w:val="00AF6974"/>
    <w:rsid w:val="00AF6F5E"/>
    <w:rsid w:val="00AF6FEE"/>
    <w:rsid w:val="00AF7061"/>
    <w:rsid w:val="00AF73D6"/>
    <w:rsid w:val="00AF755D"/>
    <w:rsid w:val="00AF7704"/>
    <w:rsid w:val="00AF7729"/>
    <w:rsid w:val="00AF773E"/>
    <w:rsid w:val="00AF7DAB"/>
    <w:rsid w:val="00B000D3"/>
    <w:rsid w:val="00B00588"/>
    <w:rsid w:val="00B00DA7"/>
    <w:rsid w:val="00B00EA2"/>
    <w:rsid w:val="00B0177E"/>
    <w:rsid w:val="00B018C3"/>
    <w:rsid w:val="00B018C7"/>
    <w:rsid w:val="00B01DB0"/>
    <w:rsid w:val="00B0208E"/>
    <w:rsid w:val="00B020D6"/>
    <w:rsid w:val="00B02143"/>
    <w:rsid w:val="00B0217F"/>
    <w:rsid w:val="00B02182"/>
    <w:rsid w:val="00B025FF"/>
    <w:rsid w:val="00B02BD9"/>
    <w:rsid w:val="00B02EA1"/>
    <w:rsid w:val="00B03131"/>
    <w:rsid w:val="00B031DF"/>
    <w:rsid w:val="00B031FD"/>
    <w:rsid w:val="00B03207"/>
    <w:rsid w:val="00B03B5A"/>
    <w:rsid w:val="00B03DE8"/>
    <w:rsid w:val="00B0475F"/>
    <w:rsid w:val="00B04AF0"/>
    <w:rsid w:val="00B04F42"/>
    <w:rsid w:val="00B050EB"/>
    <w:rsid w:val="00B053CA"/>
    <w:rsid w:val="00B053D9"/>
    <w:rsid w:val="00B0563E"/>
    <w:rsid w:val="00B05F4F"/>
    <w:rsid w:val="00B0635C"/>
    <w:rsid w:val="00B06384"/>
    <w:rsid w:val="00B06671"/>
    <w:rsid w:val="00B0698E"/>
    <w:rsid w:val="00B06E9B"/>
    <w:rsid w:val="00B06EF3"/>
    <w:rsid w:val="00B06F5B"/>
    <w:rsid w:val="00B074C6"/>
    <w:rsid w:val="00B078A1"/>
    <w:rsid w:val="00B07BFC"/>
    <w:rsid w:val="00B103C1"/>
    <w:rsid w:val="00B10540"/>
    <w:rsid w:val="00B10F3E"/>
    <w:rsid w:val="00B110E8"/>
    <w:rsid w:val="00B11820"/>
    <w:rsid w:val="00B11821"/>
    <w:rsid w:val="00B12246"/>
    <w:rsid w:val="00B12307"/>
    <w:rsid w:val="00B12AC7"/>
    <w:rsid w:val="00B12BC0"/>
    <w:rsid w:val="00B12E60"/>
    <w:rsid w:val="00B13825"/>
    <w:rsid w:val="00B13BCA"/>
    <w:rsid w:val="00B13C8E"/>
    <w:rsid w:val="00B1419F"/>
    <w:rsid w:val="00B14912"/>
    <w:rsid w:val="00B14C43"/>
    <w:rsid w:val="00B14DA2"/>
    <w:rsid w:val="00B14E0D"/>
    <w:rsid w:val="00B15061"/>
    <w:rsid w:val="00B150D7"/>
    <w:rsid w:val="00B15267"/>
    <w:rsid w:val="00B1562A"/>
    <w:rsid w:val="00B1576F"/>
    <w:rsid w:val="00B15D6A"/>
    <w:rsid w:val="00B15E21"/>
    <w:rsid w:val="00B16778"/>
    <w:rsid w:val="00B167B4"/>
    <w:rsid w:val="00B17301"/>
    <w:rsid w:val="00B17B26"/>
    <w:rsid w:val="00B2079F"/>
    <w:rsid w:val="00B2085C"/>
    <w:rsid w:val="00B20E22"/>
    <w:rsid w:val="00B21025"/>
    <w:rsid w:val="00B219B9"/>
    <w:rsid w:val="00B21EE1"/>
    <w:rsid w:val="00B225EA"/>
    <w:rsid w:val="00B226E0"/>
    <w:rsid w:val="00B228F3"/>
    <w:rsid w:val="00B22E2A"/>
    <w:rsid w:val="00B22E64"/>
    <w:rsid w:val="00B235A7"/>
    <w:rsid w:val="00B23914"/>
    <w:rsid w:val="00B23B8B"/>
    <w:rsid w:val="00B23D5B"/>
    <w:rsid w:val="00B241C5"/>
    <w:rsid w:val="00B24277"/>
    <w:rsid w:val="00B242CF"/>
    <w:rsid w:val="00B243C1"/>
    <w:rsid w:val="00B252E0"/>
    <w:rsid w:val="00B25550"/>
    <w:rsid w:val="00B25AAC"/>
    <w:rsid w:val="00B26622"/>
    <w:rsid w:val="00B26854"/>
    <w:rsid w:val="00B268BF"/>
    <w:rsid w:val="00B27261"/>
    <w:rsid w:val="00B2797B"/>
    <w:rsid w:val="00B27C87"/>
    <w:rsid w:val="00B301E7"/>
    <w:rsid w:val="00B30AA8"/>
    <w:rsid w:val="00B30C7E"/>
    <w:rsid w:val="00B30E8B"/>
    <w:rsid w:val="00B31191"/>
    <w:rsid w:val="00B31263"/>
    <w:rsid w:val="00B318A9"/>
    <w:rsid w:val="00B3190C"/>
    <w:rsid w:val="00B31A6B"/>
    <w:rsid w:val="00B31AB8"/>
    <w:rsid w:val="00B32B4D"/>
    <w:rsid w:val="00B32B85"/>
    <w:rsid w:val="00B339CD"/>
    <w:rsid w:val="00B34070"/>
    <w:rsid w:val="00B34825"/>
    <w:rsid w:val="00B348B8"/>
    <w:rsid w:val="00B34C28"/>
    <w:rsid w:val="00B34E93"/>
    <w:rsid w:val="00B35C9F"/>
    <w:rsid w:val="00B35DA9"/>
    <w:rsid w:val="00B35E56"/>
    <w:rsid w:val="00B35F06"/>
    <w:rsid w:val="00B36434"/>
    <w:rsid w:val="00B36B28"/>
    <w:rsid w:val="00B36B3D"/>
    <w:rsid w:val="00B372A8"/>
    <w:rsid w:val="00B37347"/>
    <w:rsid w:val="00B374B0"/>
    <w:rsid w:val="00B3792E"/>
    <w:rsid w:val="00B37977"/>
    <w:rsid w:val="00B379D2"/>
    <w:rsid w:val="00B37E3F"/>
    <w:rsid w:val="00B40023"/>
    <w:rsid w:val="00B40045"/>
    <w:rsid w:val="00B40088"/>
    <w:rsid w:val="00B40414"/>
    <w:rsid w:val="00B40540"/>
    <w:rsid w:val="00B406DE"/>
    <w:rsid w:val="00B4077C"/>
    <w:rsid w:val="00B40B3E"/>
    <w:rsid w:val="00B4160A"/>
    <w:rsid w:val="00B41968"/>
    <w:rsid w:val="00B41E00"/>
    <w:rsid w:val="00B42030"/>
    <w:rsid w:val="00B423BB"/>
    <w:rsid w:val="00B42899"/>
    <w:rsid w:val="00B44189"/>
    <w:rsid w:val="00B4423C"/>
    <w:rsid w:val="00B4457A"/>
    <w:rsid w:val="00B44776"/>
    <w:rsid w:val="00B447BC"/>
    <w:rsid w:val="00B44AA9"/>
    <w:rsid w:val="00B44B8B"/>
    <w:rsid w:val="00B44FA7"/>
    <w:rsid w:val="00B459C0"/>
    <w:rsid w:val="00B45CE3"/>
    <w:rsid w:val="00B45E53"/>
    <w:rsid w:val="00B45ED9"/>
    <w:rsid w:val="00B46736"/>
    <w:rsid w:val="00B47123"/>
    <w:rsid w:val="00B47AA6"/>
    <w:rsid w:val="00B47E16"/>
    <w:rsid w:val="00B47E3B"/>
    <w:rsid w:val="00B50021"/>
    <w:rsid w:val="00B5021F"/>
    <w:rsid w:val="00B5084F"/>
    <w:rsid w:val="00B50870"/>
    <w:rsid w:val="00B508B5"/>
    <w:rsid w:val="00B516D7"/>
    <w:rsid w:val="00B51B55"/>
    <w:rsid w:val="00B51B5B"/>
    <w:rsid w:val="00B52EEB"/>
    <w:rsid w:val="00B52F94"/>
    <w:rsid w:val="00B5370F"/>
    <w:rsid w:val="00B53DE3"/>
    <w:rsid w:val="00B550A3"/>
    <w:rsid w:val="00B5554A"/>
    <w:rsid w:val="00B555AC"/>
    <w:rsid w:val="00B55B7D"/>
    <w:rsid w:val="00B561E3"/>
    <w:rsid w:val="00B5622A"/>
    <w:rsid w:val="00B56993"/>
    <w:rsid w:val="00B57173"/>
    <w:rsid w:val="00B57283"/>
    <w:rsid w:val="00B57A46"/>
    <w:rsid w:val="00B57DA8"/>
    <w:rsid w:val="00B57FAB"/>
    <w:rsid w:val="00B603A3"/>
    <w:rsid w:val="00B608B2"/>
    <w:rsid w:val="00B608FA"/>
    <w:rsid w:val="00B611D4"/>
    <w:rsid w:val="00B61328"/>
    <w:rsid w:val="00B613AB"/>
    <w:rsid w:val="00B6145E"/>
    <w:rsid w:val="00B61A66"/>
    <w:rsid w:val="00B61E7E"/>
    <w:rsid w:val="00B62293"/>
    <w:rsid w:val="00B62C58"/>
    <w:rsid w:val="00B63132"/>
    <w:rsid w:val="00B632E0"/>
    <w:rsid w:val="00B634EE"/>
    <w:rsid w:val="00B63A4C"/>
    <w:rsid w:val="00B63C48"/>
    <w:rsid w:val="00B63D07"/>
    <w:rsid w:val="00B63F58"/>
    <w:rsid w:val="00B64106"/>
    <w:rsid w:val="00B642CA"/>
    <w:rsid w:val="00B6489F"/>
    <w:rsid w:val="00B64934"/>
    <w:rsid w:val="00B64E7D"/>
    <w:rsid w:val="00B65219"/>
    <w:rsid w:val="00B6521E"/>
    <w:rsid w:val="00B653F6"/>
    <w:rsid w:val="00B654FC"/>
    <w:rsid w:val="00B6552B"/>
    <w:rsid w:val="00B6582A"/>
    <w:rsid w:val="00B65851"/>
    <w:rsid w:val="00B65ADF"/>
    <w:rsid w:val="00B66532"/>
    <w:rsid w:val="00B6664E"/>
    <w:rsid w:val="00B66ED4"/>
    <w:rsid w:val="00B66F7F"/>
    <w:rsid w:val="00B67412"/>
    <w:rsid w:val="00B67848"/>
    <w:rsid w:val="00B6793F"/>
    <w:rsid w:val="00B700E5"/>
    <w:rsid w:val="00B70283"/>
    <w:rsid w:val="00B71340"/>
    <w:rsid w:val="00B71AB4"/>
    <w:rsid w:val="00B71B37"/>
    <w:rsid w:val="00B71CF5"/>
    <w:rsid w:val="00B71D9D"/>
    <w:rsid w:val="00B71DD1"/>
    <w:rsid w:val="00B71F8F"/>
    <w:rsid w:val="00B7237A"/>
    <w:rsid w:val="00B726D7"/>
    <w:rsid w:val="00B72B92"/>
    <w:rsid w:val="00B72BE5"/>
    <w:rsid w:val="00B72E50"/>
    <w:rsid w:val="00B72F62"/>
    <w:rsid w:val="00B731A3"/>
    <w:rsid w:val="00B734BE"/>
    <w:rsid w:val="00B73BF9"/>
    <w:rsid w:val="00B73D0F"/>
    <w:rsid w:val="00B74F3A"/>
    <w:rsid w:val="00B7537B"/>
    <w:rsid w:val="00B75447"/>
    <w:rsid w:val="00B759DA"/>
    <w:rsid w:val="00B75D83"/>
    <w:rsid w:val="00B7697E"/>
    <w:rsid w:val="00B770DA"/>
    <w:rsid w:val="00B7720A"/>
    <w:rsid w:val="00B803E9"/>
    <w:rsid w:val="00B805B0"/>
    <w:rsid w:val="00B80862"/>
    <w:rsid w:val="00B80E9D"/>
    <w:rsid w:val="00B80F15"/>
    <w:rsid w:val="00B80F94"/>
    <w:rsid w:val="00B8123E"/>
    <w:rsid w:val="00B81569"/>
    <w:rsid w:val="00B81ABE"/>
    <w:rsid w:val="00B8206D"/>
    <w:rsid w:val="00B8225A"/>
    <w:rsid w:val="00B828A3"/>
    <w:rsid w:val="00B8302C"/>
    <w:rsid w:val="00B83310"/>
    <w:rsid w:val="00B8345D"/>
    <w:rsid w:val="00B8356A"/>
    <w:rsid w:val="00B83684"/>
    <w:rsid w:val="00B83E16"/>
    <w:rsid w:val="00B842D7"/>
    <w:rsid w:val="00B84AC2"/>
    <w:rsid w:val="00B84D82"/>
    <w:rsid w:val="00B84E7F"/>
    <w:rsid w:val="00B84F10"/>
    <w:rsid w:val="00B851BE"/>
    <w:rsid w:val="00B8557B"/>
    <w:rsid w:val="00B855F5"/>
    <w:rsid w:val="00B85748"/>
    <w:rsid w:val="00B85D8D"/>
    <w:rsid w:val="00B8685E"/>
    <w:rsid w:val="00B869A4"/>
    <w:rsid w:val="00B869E9"/>
    <w:rsid w:val="00B86D11"/>
    <w:rsid w:val="00B86F95"/>
    <w:rsid w:val="00B87021"/>
    <w:rsid w:val="00B8736D"/>
    <w:rsid w:val="00B874EF"/>
    <w:rsid w:val="00B87684"/>
    <w:rsid w:val="00B876D9"/>
    <w:rsid w:val="00B8798D"/>
    <w:rsid w:val="00B87A82"/>
    <w:rsid w:val="00B90BDF"/>
    <w:rsid w:val="00B913CB"/>
    <w:rsid w:val="00B916B2"/>
    <w:rsid w:val="00B917E7"/>
    <w:rsid w:val="00B919C8"/>
    <w:rsid w:val="00B91F0C"/>
    <w:rsid w:val="00B91FEF"/>
    <w:rsid w:val="00B92249"/>
    <w:rsid w:val="00B929E6"/>
    <w:rsid w:val="00B92AA9"/>
    <w:rsid w:val="00B92B76"/>
    <w:rsid w:val="00B92BE9"/>
    <w:rsid w:val="00B92BF2"/>
    <w:rsid w:val="00B92D04"/>
    <w:rsid w:val="00B92FA2"/>
    <w:rsid w:val="00B9332B"/>
    <w:rsid w:val="00B93341"/>
    <w:rsid w:val="00B93360"/>
    <w:rsid w:val="00B933DF"/>
    <w:rsid w:val="00B93FAE"/>
    <w:rsid w:val="00B94592"/>
    <w:rsid w:val="00B94D5A"/>
    <w:rsid w:val="00B94E83"/>
    <w:rsid w:val="00B95154"/>
    <w:rsid w:val="00B9526D"/>
    <w:rsid w:val="00B955AC"/>
    <w:rsid w:val="00B957F1"/>
    <w:rsid w:val="00B95976"/>
    <w:rsid w:val="00B95B91"/>
    <w:rsid w:val="00B95BCC"/>
    <w:rsid w:val="00B95BE7"/>
    <w:rsid w:val="00B96CA3"/>
    <w:rsid w:val="00B974BD"/>
    <w:rsid w:val="00B9785E"/>
    <w:rsid w:val="00B97CAA"/>
    <w:rsid w:val="00BA0E6A"/>
    <w:rsid w:val="00BA1596"/>
    <w:rsid w:val="00BA1913"/>
    <w:rsid w:val="00BA1C27"/>
    <w:rsid w:val="00BA1E7A"/>
    <w:rsid w:val="00BA210F"/>
    <w:rsid w:val="00BA2193"/>
    <w:rsid w:val="00BA2931"/>
    <w:rsid w:val="00BA296C"/>
    <w:rsid w:val="00BA2B04"/>
    <w:rsid w:val="00BA2DF3"/>
    <w:rsid w:val="00BA36E0"/>
    <w:rsid w:val="00BA384C"/>
    <w:rsid w:val="00BA3F26"/>
    <w:rsid w:val="00BA455A"/>
    <w:rsid w:val="00BA497F"/>
    <w:rsid w:val="00BA4D9E"/>
    <w:rsid w:val="00BA5609"/>
    <w:rsid w:val="00BA66DA"/>
    <w:rsid w:val="00BA712E"/>
    <w:rsid w:val="00BA77C5"/>
    <w:rsid w:val="00BA7D07"/>
    <w:rsid w:val="00BA7DE1"/>
    <w:rsid w:val="00BB0212"/>
    <w:rsid w:val="00BB03BD"/>
    <w:rsid w:val="00BB091F"/>
    <w:rsid w:val="00BB0CAC"/>
    <w:rsid w:val="00BB11A0"/>
    <w:rsid w:val="00BB1B3A"/>
    <w:rsid w:val="00BB1C88"/>
    <w:rsid w:val="00BB23F8"/>
    <w:rsid w:val="00BB274E"/>
    <w:rsid w:val="00BB2F62"/>
    <w:rsid w:val="00BB312B"/>
    <w:rsid w:val="00BB3190"/>
    <w:rsid w:val="00BB44EF"/>
    <w:rsid w:val="00BB4804"/>
    <w:rsid w:val="00BB5796"/>
    <w:rsid w:val="00BB585E"/>
    <w:rsid w:val="00BB5C81"/>
    <w:rsid w:val="00BB64A3"/>
    <w:rsid w:val="00BB6D66"/>
    <w:rsid w:val="00BB76D7"/>
    <w:rsid w:val="00BC03AA"/>
    <w:rsid w:val="00BC07C3"/>
    <w:rsid w:val="00BC07ED"/>
    <w:rsid w:val="00BC0A9B"/>
    <w:rsid w:val="00BC17DE"/>
    <w:rsid w:val="00BC18DE"/>
    <w:rsid w:val="00BC2AC7"/>
    <w:rsid w:val="00BC2C3A"/>
    <w:rsid w:val="00BC2EC4"/>
    <w:rsid w:val="00BC309C"/>
    <w:rsid w:val="00BC3137"/>
    <w:rsid w:val="00BC3276"/>
    <w:rsid w:val="00BC33E2"/>
    <w:rsid w:val="00BC34EE"/>
    <w:rsid w:val="00BC355A"/>
    <w:rsid w:val="00BC3A16"/>
    <w:rsid w:val="00BC3A32"/>
    <w:rsid w:val="00BC4345"/>
    <w:rsid w:val="00BC4435"/>
    <w:rsid w:val="00BC4B70"/>
    <w:rsid w:val="00BC4BCA"/>
    <w:rsid w:val="00BC4C49"/>
    <w:rsid w:val="00BC4EC9"/>
    <w:rsid w:val="00BC4FDB"/>
    <w:rsid w:val="00BC53B9"/>
    <w:rsid w:val="00BC5405"/>
    <w:rsid w:val="00BC62CF"/>
    <w:rsid w:val="00BC67C5"/>
    <w:rsid w:val="00BC6A7A"/>
    <w:rsid w:val="00BC6B1A"/>
    <w:rsid w:val="00BC7077"/>
    <w:rsid w:val="00BC750C"/>
    <w:rsid w:val="00BC7556"/>
    <w:rsid w:val="00BC7677"/>
    <w:rsid w:val="00BC79CD"/>
    <w:rsid w:val="00BC7D0D"/>
    <w:rsid w:val="00BC7E46"/>
    <w:rsid w:val="00BD05D4"/>
    <w:rsid w:val="00BD05F6"/>
    <w:rsid w:val="00BD0FD7"/>
    <w:rsid w:val="00BD0FE6"/>
    <w:rsid w:val="00BD12F9"/>
    <w:rsid w:val="00BD14C2"/>
    <w:rsid w:val="00BD174E"/>
    <w:rsid w:val="00BD19F7"/>
    <w:rsid w:val="00BD290A"/>
    <w:rsid w:val="00BD2A05"/>
    <w:rsid w:val="00BD2B82"/>
    <w:rsid w:val="00BD3149"/>
    <w:rsid w:val="00BD33FA"/>
    <w:rsid w:val="00BD349E"/>
    <w:rsid w:val="00BD3796"/>
    <w:rsid w:val="00BD39E1"/>
    <w:rsid w:val="00BD3B7C"/>
    <w:rsid w:val="00BD3CB1"/>
    <w:rsid w:val="00BD3F34"/>
    <w:rsid w:val="00BD4192"/>
    <w:rsid w:val="00BD442F"/>
    <w:rsid w:val="00BD455C"/>
    <w:rsid w:val="00BD46F7"/>
    <w:rsid w:val="00BD4F2E"/>
    <w:rsid w:val="00BD51C1"/>
    <w:rsid w:val="00BD54E6"/>
    <w:rsid w:val="00BD5693"/>
    <w:rsid w:val="00BD6497"/>
    <w:rsid w:val="00BD6753"/>
    <w:rsid w:val="00BD6AA6"/>
    <w:rsid w:val="00BD6FD3"/>
    <w:rsid w:val="00BD7196"/>
    <w:rsid w:val="00BD77B0"/>
    <w:rsid w:val="00BD77FA"/>
    <w:rsid w:val="00BD79E4"/>
    <w:rsid w:val="00BE02A2"/>
    <w:rsid w:val="00BE0444"/>
    <w:rsid w:val="00BE0822"/>
    <w:rsid w:val="00BE0D23"/>
    <w:rsid w:val="00BE1587"/>
    <w:rsid w:val="00BE1B9C"/>
    <w:rsid w:val="00BE1C6D"/>
    <w:rsid w:val="00BE1CF0"/>
    <w:rsid w:val="00BE1D90"/>
    <w:rsid w:val="00BE226E"/>
    <w:rsid w:val="00BE285B"/>
    <w:rsid w:val="00BE2E31"/>
    <w:rsid w:val="00BE2FBF"/>
    <w:rsid w:val="00BE3102"/>
    <w:rsid w:val="00BE350E"/>
    <w:rsid w:val="00BE3A12"/>
    <w:rsid w:val="00BE3E58"/>
    <w:rsid w:val="00BE408C"/>
    <w:rsid w:val="00BE457E"/>
    <w:rsid w:val="00BE4894"/>
    <w:rsid w:val="00BE4EC2"/>
    <w:rsid w:val="00BE5319"/>
    <w:rsid w:val="00BE5799"/>
    <w:rsid w:val="00BE5A7E"/>
    <w:rsid w:val="00BE5ECB"/>
    <w:rsid w:val="00BE63D2"/>
    <w:rsid w:val="00BE665D"/>
    <w:rsid w:val="00BE6AA1"/>
    <w:rsid w:val="00BE6F23"/>
    <w:rsid w:val="00BE7091"/>
    <w:rsid w:val="00BE719F"/>
    <w:rsid w:val="00BE7673"/>
    <w:rsid w:val="00BE79C7"/>
    <w:rsid w:val="00BE7A6A"/>
    <w:rsid w:val="00BE7C9C"/>
    <w:rsid w:val="00BE7EC5"/>
    <w:rsid w:val="00BE7F19"/>
    <w:rsid w:val="00BF0297"/>
    <w:rsid w:val="00BF0703"/>
    <w:rsid w:val="00BF085F"/>
    <w:rsid w:val="00BF0ED4"/>
    <w:rsid w:val="00BF1966"/>
    <w:rsid w:val="00BF1A02"/>
    <w:rsid w:val="00BF1A64"/>
    <w:rsid w:val="00BF1C74"/>
    <w:rsid w:val="00BF2382"/>
    <w:rsid w:val="00BF23E5"/>
    <w:rsid w:val="00BF32DE"/>
    <w:rsid w:val="00BF33DC"/>
    <w:rsid w:val="00BF34CD"/>
    <w:rsid w:val="00BF359B"/>
    <w:rsid w:val="00BF3936"/>
    <w:rsid w:val="00BF3C55"/>
    <w:rsid w:val="00BF3ECA"/>
    <w:rsid w:val="00BF49A1"/>
    <w:rsid w:val="00BF4D32"/>
    <w:rsid w:val="00BF4FDA"/>
    <w:rsid w:val="00BF51C5"/>
    <w:rsid w:val="00BF5396"/>
    <w:rsid w:val="00BF5E5D"/>
    <w:rsid w:val="00BF6038"/>
    <w:rsid w:val="00BF686B"/>
    <w:rsid w:val="00BF690D"/>
    <w:rsid w:val="00BF69D8"/>
    <w:rsid w:val="00BF69F8"/>
    <w:rsid w:val="00BF726B"/>
    <w:rsid w:val="00BF74A3"/>
    <w:rsid w:val="00BF74E4"/>
    <w:rsid w:val="00BF7816"/>
    <w:rsid w:val="00BF7892"/>
    <w:rsid w:val="00BF7A5B"/>
    <w:rsid w:val="00BF7B80"/>
    <w:rsid w:val="00C00AA8"/>
    <w:rsid w:val="00C010E8"/>
    <w:rsid w:val="00C010F5"/>
    <w:rsid w:val="00C01120"/>
    <w:rsid w:val="00C013EF"/>
    <w:rsid w:val="00C017C2"/>
    <w:rsid w:val="00C02D9C"/>
    <w:rsid w:val="00C033B6"/>
    <w:rsid w:val="00C034F8"/>
    <w:rsid w:val="00C0360B"/>
    <w:rsid w:val="00C037EE"/>
    <w:rsid w:val="00C03844"/>
    <w:rsid w:val="00C03888"/>
    <w:rsid w:val="00C038FF"/>
    <w:rsid w:val="00C03B8E"/>
    <w:rsid w:val="00C03BD4"/>
    <w:rsid w:val="00C03D2D"/>
    <w:rsid w:val="00C03D80"/>
    <w:rsid w:val="00C03DE2"/>
    <w:rsid w:val="00C04477"/>
    <w:rsid w:val="00C046B1"/>
    <w:rsid w:val="00C04973"/>
    <w:rsid w:val="00C04A89"/>
    <w:rsid w:val="00C04BE9"/>
    <w:rsid w:val="00C05075"/>
    <w:rsid w:val="00C05253"/>
    <w:rsid w:val="00C0577C"/>
    <w:rsid w:val="00C05CCE"/>
    <w:rsid w:val="00C06243"/>
    <w:rsid w:val="00C062EA"/>
    <w:rsid w:val="00C06ED5"/>
    <w:rsid w:val="00C070AE"/>
    <w:rsid w:val="00C07CDF"/>
    <w:rsid w:val="00C07D7D"/>
    <w:rsid w:val="00C07EA5"/>
    <w:rsid w:val="00C07FEE"/>
    <w:rsid w:val="00C10214"/>
    <w:rsid w:val="00C1047A"/>
    <w:rsid w:val="00C104F1"/>
    <w:rsid w:val="00C10943"/>
    <w:rsid w:val="00C10DED"/>
    <w:rsid w:val="00C10F2F"/>
    <w:rsid w:val="00C10FEB"/>
    <w:rsid w:val="00C113CB"/>
    <w:rsid w:val="00C11429"/>
    <w:rsid w:val="00C11496"/>
    <w:rsid w:val="00C1186A"/>
    <w:rsid w:val="00C11DBF"/>
    <w:rsid w:val="00C12258"/>
    <w:rsid w:val="00C1294B"/>
    <w:rsid w:val="00C137F6"/>
    <w:rsid w:val="00C140C1"/>
    <w:rsid w:val="00C14B42"/>
    <w:rsid w:val="00C14EF1"/>
    <w:rsid w:val="00C14FDE"/>
    <w:rsid w:val="00C14FEF"/>
    <w:rsid w:val="00C1523F"/>
    <w:rsid w:val="00C152BB"/>
    <w:rsid w:val="00C154ED"/>
    <w:rsid w:val="00C155AF"/>
    <w:rsid w:val="00C156B1"/>
    <w:rsid w:val="00C156E2"/>
    <w:rsid w:val="00C159CC"/>
    <w:rsid w:val="00C15A47"/>
    <w:rsid w:val="00C15E77"/>
    <w:rsid w:val="00C163F2"/>
    <w:rsid w:val="00C1666F"/>
    <w:rsid w:val="00C168D0"/>
    <w:rsid w:val="00C169B9"/>
    <w:rsid w:val="00C16B35"/>
    <w:rsid w:val="00C1797C"/>
    <w:rsid w:val="00C201C3"/>
    <w:rsid w:val="00C20642"/>
    <w:rsid w:val="00C20D80"/>
    <w:rsid w:val="00C210F7"/>
    <w:rsid w:val="00C21310"/>
    <w:rsid w:val="00C215CD"/>
    <w:rsid w:val="00C21CAC"/>
    <w:rsid w:val="00C2302E"/>
    <w:rsid w:val="00C2352A"/>
    <w:rsid w:val="00C23DB7"/>
    <w:rsid w:val="00C23EC1"/>
    <w:rsid w:val="00C24462"/>
    <w:rsid w:val="00C24ED2"/>
    <w:rsid w:val="00C252B9"/>
    <w:rsid w:val="00C2541B"/>
    <w:rsid w:val="00C259B5"/>
    <w:rsid w:val="00C25BAD"/>
    <w:rsid w:val="00C25D02"/>
    <w:rsid w:val="00C269BA"/>
    <w:rsid w:val="00C26CD0"/>
    <w:rsid w:val="00C272AC"/>
    <w:rsid w:val="00C2739D"/>
    <w:rsid w:val="00C276D6"/>
    <w:rsid w:val="00C27988"/>
    <w:rsid w:val="00C27C61"/>
    <w:rsid w:val="00C27DEB"/>
    <w:rsid w:val="00C307A5"/>
    <w:rsid w:val="00C30873"/>
    <w:rsid w:val="00C30E37"/>
    <w:rsid w:val="00C30FA3"/>
    <w:rsid w:val="00C3151F"/>
    <w:rsid w:val="00C31B24"/>
    <w:rsid w:val="00C31FCD"/>
    <w:rsid w:val="00C31FEB"/>
    <w:rsid w:val="00C326EC"/>
    <w:rsid w:val="00C32A9A"/>
    <w:rsid w:val="00C32C76"/>
    <w:rsid w:val="00C32F57"/>
    <w:rsid w:val="00C32F80"/>
    <w:rsid w:val="00C333EE"/>
    <w:rsid w:val="00C3362F"/>
    <w:rsid w:val="00C33651"/>
    <w:rsid w:val="00C3366C"/>
    <w:rsid w:val="00C3386E"/>
    <w:rsid w:val="00C33886"/>
    <w:rsid w:val="00C33BF4"/>
    <w:rsid w:val="00C33F32"/>
    <w:rsid w:val="00C348A9"/>
    <w:rsid w:val="00C348C2"/>
    <w:rsid w:val="00C352B9"/>
    <w:rsid w:val="00C35366"/>
    <w:rsid w:val="00C35667"/>
    <w:rsid w:val="00C35A89"/>
    <w:rsid w:val="00C35BB9"/>
    <w:rsid w:val="00C360C4"/>
    <w:rsid w:val="00C36214"/>
    <w:rsid w:val="00C36343"/>
    <w:rsid w:val="00C36882"/>
    <w:rsid w:val="00C370C4"/>
    <w:rsid w:val="00C372F8"/>
    <w:rsid w:val="00C37352"/>
    <w:rsid w:val="00C40337"/>
    <w:rsid w:val="00C404A9"/>
    <w:rsid w:val="00C407DC"/>
    <w:rsid w:val="00C40843"/>
    <w:rsid w:val="00C40EB2"/>
    <w:rsid w:val="00C4169E"/>
    <w:rsid w:val="00C416D4"/>
    <w:rsid w:val="00C425E7"/>
    <w:rsid w:val="00C426A1"/>
    <w:rsid w:val="00C42749"/>
    <w:rsid w:val="00C42C1B"/>
    <w:rsid w:val="00C42D8E"/>
    <w:rsid w:val="00C42F3F"/>
    <w:rsid w:val="00C43220"/>
    <w:rsid w:val="00C438A1"/>
    <w:rsid w:val="00C438CA"/>
    <w:rsid w:val="00C43B42"/>
    <w:rsid w:val="00C440F7"/>
    <w:rsid w:val="00C443D9"/>
    <w:rsid w:val="00C444D6"/>
    <w:rsid w:val="00C44E67"/>
    <w:rsid w:val="00C44E85"/>
    <w:rsid w:val="00C44F20"/>
    <w:rsid w:val="00C45786"/>
    <w:rsid w:val="00C4582A"/>
    <w:rsid w:val="00C458F4"/>
    <w:rsid w:val="00C46B66"/>
    <w:rsid w:val="00C470E2"/>
    <w:rsid w:val="00C47F00"/>
    <w:rsid w:val="00C501C1"/>
    <w:rsid w:val="00C50202"/>
    <w:rsid w:val="00C50276"/>
    <w:rsid w:val="00C509A7"/>
    <w:rsid w:val="00C50BC1"/>
    <w:rsid w:val="00C51B56"/>
    <w:rsid w:val="00C51C9B"/>
    <w:rsid w:val="00C51EBE"/>
    <w:rsid w:val="00C520D1"/>
    <w:rsid w:val="00C521F4"/>
    <w:rsid w:val="00C522A1"/>
    <w:rsid w:val="00C5239D"/>
    <w:rsid w:val="00C52AF4"/>
    <w:rsid w:val="00C52C92"/>
    <w:rsid w:val="00C52FBF"/>
    <w:rsid w:val="00C53924"/>
    <w:rsid w:val="00C53A26"/>
    <w:rsid w:val="00C53C81"/>
    <w:rsid w:val="00C54254"/>
    <w:rsid w:val="00C54333"/>
    <w:rsid w:val="00C543E9"/>
    <w:rsid w:val="00C5444A"/>
    <w:rsid w:val="00C549DF"/>
    <w:rsid w:val="00C556D5"/>
    <w:rsid w:val="00C5665D"/>
    <w:rsid w:val="00C56AA9"/>
    <w:rsid w:val="00C57168"/>
    <w:rsid w:val="00C5738F"/>
    <w:rsid w:val="00C57C4A"/>
    <w:rsid w:val="00C57DA7"/>
    <w:rsid w:val="00C60170"/>
    <w:rsid w:val="00C60305"/>
    <w:rsid w:val="00C60460"/>
    <w:rsid w:val="00C60530"/>
    <w:rsid w:val="00C60722"/>
    <w:rsid w:val="00C609E3"/>
    <w:rsid w:val="00C609F2"/>
    <w:rsid w:val="00C60A5B"/>
    <w:rsid w:val="00C60ABA"/>
    <w:rsid w:val="00C60EE1"/>
    <w:rsid w:val="00C60F64"/>
    <w:rsid w:val="00C61878"/>
    <w:rsid w:val="00C61BCD"/>
    <w:rsid w:val="00C6200F"/>
    <w:rsid w:val="00C621CE"/>
    <w:rsid w:val="00C6222B"/>
    <w:rsid w:val="00C626BF"/>
    <w:rsid w:val="00C63432"/>
    <w:rsid w:val="00C636D6"/>
    <w:rsid w:val="00C637D1"/>
    <w:rsid w:val="00C638E8"/>
    <w:rsid w:val="00C63EF4"/>
    <w:rsid w:val="00C6403F"/>
    <w:rsid w:val="00C640EB"/>
    <w:rsid w:val="00C64661"/>
    <w:rsid w:val="00C64F38"/>
    <w:rsid w:val="00C64F57"/>
    <w:rsid w:val="00C657E4"/>
    <w:rsid w:val="00C65D94"/>
    <w:rsid w:val="00C66031"/>
    <w:rsid w:val="00C6653C"/>
    <w:rsid w:val="00C6672E"/>
    <w:rsid w:val="00C66A4F"/>
    <w:rsid w:val="00C66E5C"/>
    <w:rsid w:val="00C67373"/>
    <w:rsid w:val="00C675D1"/>
    <w:rsid w:val="00C67869"/>
    <w:rsid w:val="00C67A35"/>
    <w:rsid w:val="00C702C0"/>
    <w:rsid w:val="00C70657"/>
    <w:rsid w:val="00C70913"/>
    <w:rsid w:val="00C71151"/>
    <w:rsid w:val="00C719D7"/>
    <w:rsid w:val="00C722C3"/>
    <w:rsid w:val="00C728A6"/>
    <w:rsid w:val="00C72D28"/>
    <w:rsid w:val="00C72F9A"/>
    <w:rsid w:val="00C733B2"/>
    <w:rsid w:val="00C735D4"/>
    <w:rsid w:val="00C73C22"/>
    <w:rsid w:val="00C741AD"/>
    <w:rsid w:val="00C7543E"/>
    <w:rsid w:val="00C75856"/>
    <w:rsid w:val="00C7592F"/>
    <w:rsid w:val="00C75F35"/>
    <w:rsid w:val="00C760CD"/>
    <w:rsid w:val="00C766F9"/>
    <w:rsid w:val="00C7699F"/>
    <w:rsid w:val="00C76AF1"/>
    <w:rsid w:val="00C76B59"/>
    <w:rsid w:val="00C7761B"/>
    <w:rsid w:val="00C77639"/>
    <w:rsid w:val="00C777AE"/>
    <w:rsid w:val="00C77A8B"/>
    <w:rsid w:val="00C80562"/>
    <w:rsid w:val="00C805E9"/>
    <w:rsid w:val="00C808C6"/>
    <w:rsid w:val="00C80A98"/>
    <w:rsid w:val="00C80BF1"/>
    <w:rsid w:val="00C80F67"/>
    <w:rsid w:val="00C812D5"/>
    <w:rsid w:val="00C815AB"/>
    <w:rsid w:val="00C81EEF"/>
    <w:rsid w:val="00C83048"/>
    <w:rsid w:val="00C83242"/>
    <w:rsid w:val="00C841D5"/>
    <w:rsid w:val="00C84A58"/>
    <w:rsid w:val="00C851D8"/>
    <w:rsid w:val="00C8550C"/>
    <w:rsid w:val="00C85514"/>
    <w:rsid w:val="00C85811"/>
    <w:rsid w:val="00C858C9"/>
    <w:rsid w:val="00C8596D"/>
    <w:rsid w:val="00C86183"/>
    <w:rsid w:val="00C861A8"/>
    <w:rsid w:val="00C864D5"/>
    <w:rsid w:val="00C865C2"/>
    <w:rsid w:val="00C86820"/>
    <w:rsid w:val="00C869FC"/>
    <w:rsid w:val="00C86EA4"/>
    <w:rsid w:val="00C87044"/>
    <w:rsid w:val="00C87466"/>
    <w:rsid w:val="00C874E9"/>
    <w:rsid w:val="00C90002"/>
    <w:rsid w:val="00C90130"/>
    <w:rsid w:val="00C905ED"/>
    <w:rsid w:val="00C90E64"/>
    <w:rsid w:val="00C91526"/>
    <w:rsid w:val="00C915ED"/>
    <w:rsid w:val="00C91AE5"/>
    <w:rsid w:val="00C91C3E"/>
    <w:rsid w:val="00C91ED4"/>
    <w:rsid w:val="00C92762"/>
    <w:rsid w:val="00C92A42"/>
    <w:rsid w:val="00C92DA1"/>
    <w:rsid w:val="00C93024"/>
    <w:rsid w:val="00C935AF"/>
    <w:rsid w:val="00C937B6"/>
    <w:rsid w:val="00C93F2B"/>
    <w:rsid w:val="00C94319"/>
    <w:rsid w:val="00C944A9"/>
    <w:rsid w:val="00C945C5"/>
    <w:rsid w:val="00C94F23"/>
    <w:rsid w:val="00C9552F"/>
    <w:rsid w:val="00C95794"/>
    <w:rsid w:val="00C958CE"/>
    <w:rsid w:val="00C95904"/>
    <w:rsid w:val="00C959C2"/>
    <w:rsid w:val="00C95C17"/>
    <w:rsid w:val="00C96381"/>
    <w:rsid w:val="00C9666D"/>
    <w:rsid w:val="00C96C81"/>
    <w:rsid w:val="00C9722F"/>
    <w:rsid w:val="00C976AE"/>
    <w:rsid w:val="00C976F4"/>
    <w:rsid w:val="00C9784E"/>
    <w:rsid w:val="00C97DB3"/>
    <w:rsid w:val="00CA029E"/>
    <w:rsid w:val="00CA05C1"/>
    <w:rsid w:val="00CA0D15"/>
    <w:rsid w:val="00CA0EC9"/>
    <w:rsid w:val="00CA0F7C"/>
    <w:rsid w:val="00CA1115"/>
    <w:rsid w:val="00CA11BB"/>
    <w:rsid w:val="00CA1373"/>
    <w:rsid w:val="00CA16E1"/>
    <w:rsid w:val="00CA17CF"/>
    <w:rsid w:val="00CA187D"/>
    <w:rsid w:val="00CA1B77"/>
    <w:rsid w:val="00CA233D"/>
    <w:rsid w:val="00CA32AA"/>
    <w:rsid w:val="00CA32C3"/>
    <w:rsid w:val="00CA34D3"/>
    <w:rsid w:val="00CA3664"/>
    <w:rsid w:val="00CA36B8"/>
    <w:rsid w:val="00CA3C15"/>
    <w:rsid w:val="00CA3D31"/>
    <w:rsid w:val="00CA3E86"/>
    <w:rsid w:val="00CA40EA"/>
    <w:rsid w:val="00CA485A"/>
    <w:rsid w:val="00CA5265"/>
    <w:rsid w:val="00CA5558"/>
    <w:rsid w:val="00CA57F7"/>
    <w:rsid w:val="00CA5F06"/>
    <w:rsid w:val="00CA61CC"/>
    <w:rsid w:val="00CA6209"/>
    <w:rsid w:val="00CA6424"/>
    <w:rsid w:val="00CA649F"/>
    <w:rsid w:val="00CA7271"/>
    <w:rsid w:val="00CA76A3"/>
    <w:rsid w:val="00CA79AA"/>
    <w:rsid w:val="00CA7D64"/>
    <w:rsid w:val="00CB0029"/>
    <w:rsid w:val="00CB014E"/>
    <w:rsid w:val="00CB042C"/>
    <w:rsid w:val="00CB1041"/>
    <w:rsid w:val="00CB105D"/>
    <w:rsid w:val="00CB14EB"/>
    <w:rsid w:val="00CB1A5B"/>
    <w:rsid w:val="00CB20F6"/>
    <w:rsid w:val="00CB24AC"/>
    <w:rsid w:val="00CB2AD9"/>
    <w:rsid w:val="00CB2DBA"/>
    <w:rsid w:val="00CB2ECC"/>
    <w:rsid w:val="00CB2ED4"/>
    <w:rsid w:val="00CB300E"/>
    <w:rsid w:val="00CB30CE"/>
    <w:rsid w:val="00CB360B"/>
    <w:rsid w:val="00CB38EE"/>
    <w:rsid w:val="00CB3979"/>
    <w:rsid w:val="00CB3C27"/>
    <w:rsid w:val="00CB3D52"/>
    <w:rsid w:val="00CB3FC8"/>
    <w:rsid w:val="00CB4038"/>
    <w:rsid w:val="00CB40DD"/>
    <w:rsid w:val="00CB421B"/>
    <w:rsid w:val="00CB4467"/>
    <w:rsid w:val="00CB4874"/>
    <w:rsid w:val="00CB4A62"/>
    <w:rsid w:val="00CB4CDF"/>
    <w:rsid w:val="00CB5091"/>
    <w:rsid w:val="00CB51E7"/>
    <w:rsid w:val="00CB562A"/>
    <w:rsid w:val="00CB5A79"/>
    <w:rsid w:val="00CB5B8E"/>
    <w:rsid w:val="00CB5C05"/>
    <w:rsid w:val="00CB5FC9"/>
    <w:rsid w:val="00CB602C"/>
    <w:rsid w:val="00CB6104"/>
    <w:rsid w:val="00CB6130"/>
    <w:rsid w:val="00CB6269"/>
    <w:rsid w:val="00CB6D8B"/>
    <w:rsid w:val="00CB7054"/>
    <w:rsid w:val="00CB754D"/>
    <w:rsid w:val="00CB762C"/>
    <w:rsid w:val="00CB76DE"/>
    <w:rsid w:val="00CB796A"/>
    <w:rsid w:val="00CB79FC"/>
    <w:rsid w:val="00CB7D60"/>
    <w:rsid w:val="00CB7E99"/>
    <w:rsid w:val="00CC0257"/>
    <w:rsid w:val="00CC0357"/>
    <w:rsid w:val="00CC0615"/>
    <w:rsid w:val="00CC07C5"/>
    <w:rsid w:val="00CC07DB"/>
    <w:rsid w:val="00CC0C74"/>
    <w:rsid w:val="00CC1D99"/>
    <w:rsid w:val="00CC1ED8"/>
    <w:rsid w:val="00CC20EF"/>
    <w:rsid w:val="00CC25ED"/>
    <w:rsid w:val="00CC279B"/>
    <w:rsid w:val="00CC2A57"/>
    <w:rsid w:val="00CC34D6"/>
    <w:rsid w:val="00CC44A2"/>
    <w:rsid w:val="00CC483E"/>
    <w:rsid w:val="00CC485D"/>
    <w:rsid w:val="00CC4930"/>
    <w:rsid w:val="00CC4DE7"/>
    <w:rsid w:val="00CC51C5"/>
    <w:rsid w:val="00CC536B"/>
    <w:rsid w:val="00CC5BD3"/>
    <w:rsid w:val="00CC6808"/>
    <w:rsid w:val="00CC6D7C"/>
    <w:rsid w:val="00CC71AD"/>
    <w:rsid w:val="00CC7201"/>
    <w:rsid w:val="00CC758A"/>
    <w:rsid w:val="00CC7B89"/>
    <w:rsid w:val="00CC7E3D"/>
    <w:rsid w:val="00CD0639"/>
    <w:rsid w:val="00CD06D7"/>
    <w:rsid w:val="00CD0DCC"/>
    <w:rsid w:val="00CD0E26"/>
    <w:rsid w:val="00CD1A4C"/>
    <w:rsid w:val="00CD1A8E"/>
    <w:rsid w:val="00CD1E03"/>
    <w:rsid w:val="00CD1E7B"/>
    <w:rsid w:val="00CD29D6"/>
    <w:rsid w:val="00CD2CE9"/>
    <w:rsid w:val="00CD305F"/>
    <w:rsid w:val="00CD371D"/>
    <w:rsid w:val="00CD3936"/>
    <w:rsid w:val="00CD3A84"/>
    <w:rsid w:val="00CD4041"/>
    <w:rsid w:val="00CD40D7"/>
    <w:rsid w:val="00CD449E"/>
    <w:rsid w:val="00CD46AB"/>
    <w:rsid w:val="00CD46E4"/>
    <w:rsid w:val="00CD4B97"/>
    <w:rsid w:val="00CD4CCF"/>
    <w:rsid w:val="00CD4D85"/>
    <w:rsid w:val="00CD4E0F"/>
    <w:rsid w:val="00CD4F15"/>
    <w:rsid w:val="00CD5383"/>
    <w:rsid w:val="00CD576A"/>
    <w:rsid w:val="00CD6760"/>
    <w:rsid w:val="00CD6A6F"/>
    <w:rsid w:val="00CD6E7B"/>
    <w:rsid w:val="00CD7433"/>
    <w:rsid w:val="00CD7943"/>
    <w:rsid w:val="00CD7985"/>
    <w:rsid w:val="00CD79E1"/>
    <w:rsid w:val="00CD7CB9"/>
    <w:rsid w:val="00CE005E"/>
    <w:rsid w:val="00CE0380"/>
    <w:rsid w:val="00CE041E"/>
    <w:rsid w:val="00CE11A4"/>
    <w:rsid w:val="00CE1F99"/>
    <w:rsid w:val="00CE2457"/>
    <w:rsid w:val="00CE287C"/>
    <w:rsid w:val="00CE2B6D"/>
    <w:rsid w:val="00CE2D6D"/>
    <w:rsid w:val="00CE2E8D"/>
    <w:rsid w:val="00CE38F8"/>
    <w:rsid w:val="00CE3997"/>
    <w:rsid w:val="00CE3C29"/>
    <w:rsid w:val="00CE42AD"/>
    <w:rsid w:val="00CE439A"/>
    <w:rsid w:val="00CE444C"/>
    <w:rsid w:val="00CE464B"/>
    <w:rsid w:val="00CE4EA4"/>
    <w:rsid w:val="00CE4FED"/>
    <w:rsid w:val="00CE5611"/>
    <w:rsid w:val="00CE5A80"/>
    <w:rsid w:val="00CE5B2F"/>
    <w:rsid w:val="00CE601A"/>
    <w:rsid w:val="00CE62FC"/>
    <w:rsid w:val="00CE6764"/>
    <w:rsid w:val="00CE67AE"/>
    <w:rsid w:val="00CE68F5"/>
    <w:rsid w:val="00CE6EA5"/>
    <w:rsid w:val="00CF0043"/>
    <w:rsid w:val="00CF074C"/>
    <w:rsid w:val="00CF08BD"/>
    <w:rsid w:val="00CF09F2"/>
    <w:rsid w:val="00CF0A97"/>
    <w:rsid w:val="00CF0B23"/>
    <w:rsid w:val="00CF0BB9"/>
    <w:rsid w:val="00CF1214"/>
    <w:rsid w:val="00CF17DC"/>
    <w:rsid w:val="00CF1B22"/>
    <w:rsid w:val="00CF267D"/>
    <w:rsid w:val="00CF2E8E"/>
    <w:rsid w:val="00CF318E"/>
    <w:rsid w:val="00CF3261"/>
    <w:rsid w:val="00CF38F1"/>
    <w:rsid w:val="00CF3ABA"/>
    <w:rsid w:val="00CF3C77"/>
    <w:rsid w:val="00CF3E5B"/>
    <w:rsid w:val="00CF4130"/>
    <w:rsid w:val="00CF427D"/>
    <w:rsid w:val="00CF4761"/>
    <w:rsid w:val="00CF533B"/>
    <w:rsid w:val="00CF53CC"/>
    <w:rsid w:val="00CF5426"/>
    <w:rsid w:val="00CF5BD6"/>
    <w:rsid w:val="00CF5E5B"/>
    <w:rsid w:val="00CF607C"/>
    <w:rsid w:val="00CF6223"/>
    <w:rsid w:val="00CF62D3"/>
    <w:rsid w:val="00CF65F3"/>
    <w:rsid w:val="00CF672D"/>
    <w:rsid w:val="00CF6F88"/>
    <w:rsid w:val="00CF6FCD"/>
    <w:rsid w:val="00CF7336"/>
    <w:rsid w:val="00CF7388"/>
    <w:rsid w:val="00CF73B0"/>
    <w:rsid w:val="00CF7C22"/>
    <w:rsid w:val="00D00C9B"/>
    <w:rsid w:val="00D00D60"/>
    <w:rsid w:val="00D00D62"/>
    <w:rsid w:val="00D01933"/>
    <w:rsid w:val="00D01BD0"/>
    <w:rsid w:val="00D01CA1"/>
    <w:rsid w:val="00D01CEA"/>
    <w:rsid w:val="00D01DF0"/>
    <w:rsid w:val="00D02387"/>
    <w:rsid w:val="00D02840"/>
    <w:rsid w:val="00D0295B"/>
    <w:rsid w:val="00D039B3"/>
    <w:rsid w:val="00D03A17"/>
    <w:rsid w:val="00D03BB0"/>
    <w:rsid w:val="00D04256"/>
    <w:rsid w:val="00D0454D"/>
    <w:rsid w:val="00D05289"/>
    <w:rsid w:val="00D05519"/>
    <w:rsid w:val="00D060CE"/>
    <w:rsid w:val="00D06559"/>
    <w:rsid w:val="00D069ED"/>
    <w:rsid w:val="00D06C4C"/>
    <w:rsid w:val="00D0729D"/>
    <w:rsid w:val="00D07631"/>
    <w:rsid w:val="00D07663"/>
    <w:rsid w:val="00D1017E"/>
    <w:rsid w:val="00D10756"/>
    <w:rsid w:val="00D11177"/>
    <w:rsid w:val="00D120DC"/>
    <w:rsid w:val="00D12187"/>
    <w:rsid w:val="00D12394"/>
    <w:rsid w:val="00D12A6F"/>
    <w:rsid w:val="00D12CA0"/>
    <w:rsid w:val="00D12E17"/>
    <w:rsid w:val="00D12EE4"/>
    <w:rsid w:val="00D13D3A"/>
    <w:rsid w:val="00D14796"/>
    <w:rsid w:val="00D14B48"/>
    <w:rsid w:val="00D14B9D"/>
    <w:rsid w:val="00D14F4E"/>
    <w:rsid w:val="00D15248"/>
    <w:rsid w:val="00D15B95"/>
    <w:rsid w:val="00D15DD2"/>
    <w:rsid w:val="00D16506"/>
    <w:rsid w:val="00D167E0"/>
    <w:rsid w:val="00D16854"/>
    <w:rsid w:val="00D16ED9"/>
    <w:rsid w:val="00D173D2"/>
    <w:rsid w:val="00D17DC1"/>
    <w:rsid w:val="00D205BE"/>
    <w:rsid w:val="00D20954"/>
    <w:rsid w:val="00D20A60"/>
    <w:rsid w:val="00D2119E"/>
    <w:rsid w:val="00D213DD"/>
    <w:rsid w:val="00D21550"/>
    <w:rsid w:val="00D21776"/>
    <w:rsid w:val="00D21B80"/>
    <w:rsid w:val="00D225C0"/>
    <w:rsid w:val="00D225EA"/>
    <w:rsid w:val="00D2264F"/>
    <w:rsid w:val="00D226C9"/>
    <w:rsid w:val="00D22B8C"/>
    <w:rsid w:val="00D2336A"/>
    <w:rsid w:val="00D233D9"/>
    <w:rsid w:val="00D23990"/>
    <w:rsid w:val="00D239BC"/>
    <w:rsid w:val="00D23E0D"/>
    <w:rsid w:val="00D2445B"/>
    <w:rsid w:val="00D24B82"/>
    <w:rsid w:val="00D24D78"/>
    <w:rsid w:val="00D25194"/>
    <w:rsid w:val="00D25489"/>
    <w:rsid w:val="00D25940"/>
    <w:rsid w:val="00D25BC2"/>
    <w:rsid w:val="00D25D2C"/>
    <w:rsid w:val="00D25FC3"/>
    <w:rsid w:val="00D26537"/>
    <w:rsid w:val="00D26789"/>
    <w:rsid w:val="00D26BD2"/>
    <w:rsid w:val="00D26CEF"/>
    <w:rsid w:val="00D26E0C"/>
    <w:rsid w:val="00D27167"/>
    <w:rsid w:val="00D27202"/>
    <w:rsid w:val="00D2789A"/>
    <w:rsid w:val="00D278F1"/>
    <w:rsid w:val="00D27FC5"/>
    <w:rsid w:val="00D30965"/>
    <w:rsid w:val="00D31B0B"/>
    <w:rsid w:val="00D326CB"/>
    <w:rsid w:val="00D327D4"/>
    <w:rsid w:val="00D32A0B"/>
    <w:rsid w:val="00D32CF9"/>
    <w:rsid w:val="00D335E7"/>
    <w:rsid w:val="00D33694"/>
    <w:rsid w:val="00D33CFC"/>
    <w:rsid w:val="00D33D85"/>
    <w:rsid w:val="00D33F4A"/>
    <w:rsid w:val="00D34081"/>
    <w:rsid w:val="00D34150"/>
    <w:rsid w:val="00D343D7"/>
    <w:rsid w:val="00D3483B"/>
    <w:rsid w:val="00D34B52"/>
    <w:rsid w:val="00D34EAB"/>
    <w:rsid w:val="00D3502B"/>
    <w:rsid w:val="00D35035"/>
    <w:rsid w:val="00D350E2"/>
    <w:rsid w:val="00D3588A"/>
    <w:rsid w:val="00D360D2"/>
    <w:rsid w:val="00D36D84"/>
    <w:rsid w:val="00D36F2D"/>
    <w:rsid w:val="00D36FBF"/>
    <w:rsid w:val="00D3724A"/>
    <w:rsid w:val="00D3763D"/>
    <w:rsid w:val="00D376E0"/>
    <w:rsid w:val="00D37BB3"/>
    <w:rsid w:val="00D401F2"/>
    <w:rsid w:val="00D405F2"/>
    <w:rsid w:val="00D40DC1"/>
    <w:rsid w:val="00D40DE1"/>
    <w:rsid w:val="00D40F44"/>
    <w:rsid w:val="00D410F8"/>
    <w:rsid w:val="00D4135F"/>
    <w:rsid w:val="00D41442"/>
    <w:rsid w:val="00D41490"/>
    <w:rsid w:val="00D414F0"/>
    <w:rsid w:val="00D416D1"/>
    <w:rsid w:val="00D418D9"/>
    <w:rsid w:val="00D41944"/>
    <w:rsid w:val="00D41A5F"/>
    <w:rsid w:val="00D41C42"/>
    <w:rsid w:val="00D421BB"/>
    <w:rsid w:val="00D42286"/>
    <w:rsid w:val="00D42365"/>
    <w:rsid w:val="00D428FF"/>
    <w:rsid w:val="00D42E95"/>
    <w:rsid w:val="00D4301E"/>
    <w:rsid w:val="00D43931"/>
    <w:rsid w:val="00D43E76"/>
    <w:rsid w:val="00D4404B"/>
    <w:rsid w:val="00D4456E"/>
    <w:rsid w:val="00D4461A"/>
    <w:rsid w:val="00D449F1"/>
    <w:rsid w:val="00D44E89"/>
    <w:rsid w:val="00D4516B"/>
    <w:rsid w:val="00D45305"/>
    <w:rsid w:val="00D45542"/>
    <w:rsid w:val="00D45962"/>
    <w:rsid w:val="00D45F32"/>
    <w:rsid w:val="00D46261"/>
    <w:rsid w:val="00D47BC8"/>
    <w:rsid w:val="00D47D3B"/>
    <w:rsid w:val="00D47D6F"/>
    <w:rsid w:val="00D47E4A"/>
    <w:rsid w:val="00D5016C"/>
    <w:rsid w:val="00D505E3"/>
    <w:rsid w:val="00D50B2B"/>
    <w:rsid w:val="00D51506"/>
    <w:rsid w:val="00D517D0"/>
    <w:rsid w:val="00D519F7"/>
    <w:rsid w:val="00D51A70"/>
    <w:rsid w:val="00D520A9"/>
    <w:rsid w:val="00D52192"/>
    <w:rsid w:val="00D52444"/>
    <w:rsid w:val="00D525FB"/>
    <w:rsid w:val="00D526D2"/>
    <w:rsid w:val="00D5297A"/>
    <w:rsid w:val="00D52B64"/>
    <w:rsid w:val="00D53107"/>
    <w:rsid w:val="00D53C91"/>
    <w:rsid w:val="00D53E93"/>
    <w:rsid w:val="00D54C91"/>
    <w:rsid w:val="00D54DFF"/>
    <w:rsid w:val="00D54E1F"/>
    <w:rsid w:val="00D54EE0"/>
    <w:rsid w:val="00D554DC"/>
    <w:rsid w:val="00D5562C"/>
    <w:rsid w:val="00D556F9"/>
    <w:rsid w:val="00D55DDC"/>
    <w:rsid w:val="00D561C7"/>
    <w:rsid w:val="00D568AF"/>
    <w:rsid w:val="00D56D32"/>
    <w:rsid w:val="00D57791"/>
    <w:rsid w:val="00D57FAE"/>
    <w:rsid w:val="00D601B5"/>
    <w:rsid w:val="00D606F1"/>
    <w:rsid w:val="00D608BA"/>
    <w:rsid w:val="00D60BC9"/>
    <w:rsid w:val="00D612F1"/>
    <w:rsid w:val="00D615B3"/>
    <w:rsid w:val="00D618BB"/>
    <w:rsid w:val="00D62763"/>
    <w:rsid w:val="00D628CF"/>
    <w:rsid w:val="00D62D38"/>
    <w:rsid w:val="00D62DB1"/>
    <w:rsid w:val="00D62DC7"/>
    <w:rsid w:val="00D62F80"/>
    <w:rsid w:val="00D63245"/>
    <w:rsid w:val="00D6382A"/>
    <w:rsid w:val="00D6397D"/>
    <w:rsid w:val="00D639BD"/>
    <w:rsid w:val="00D63F30"/>
    <w:rsid w:val="00D63FC1"/>
    <w:rsid w:val="00D6415B"/>
    <w:rsid w:val="00D645F4"/>
    <w:rsid w:val="00D6474F"/>
    <w:rsid w:val="00D648BF"/>
    <w:rsid w:val="00D64914"/>
    <w:rsid w:val="00D65287"/>
    <w:rsid w:val="00D65324"/>
    <w:rsid w:val="00D6535F"/>
    <w:rsid w:val="00D656EF"/>
    <w:rsid w:val="00D65E27"/>
    <w:rsid w:val="00D6603C"/>
    <w:rsid w:val="00D660B9"/>
    <w:rsid w:val="00D663BA"/>
    <w:rsid w:val="00D668A3"/>
    <w:rsid w:val="00D668CF"/>
    <w:rsid w:val="00D66A46"/>
    <w:rsid w:val="00D66BAD"/>
    <w:rsid w:val="00D6738D"/>
    <w:rsid w:val="00D67596"/>
    <w:rsid w:val="00D676F3"/>
    <w:rsid w:val="00D67C00"/>
    <w:rsid w:val="00D67C12"/>
    <w:rsid w:val="00D67F56"/>
    <w:rsid w:val="00D70240"/>
    <w:rsid w:val="00D704BA"/>
    <w:rsid w:val="00D70692"/>
    <w:rsid w:val="00D70991"/>
    <w:rsid w:val="00D70C59"/>
    <w:rsid w:val="00D71568"/>
    <w:rsid w:val="00D7170D"/>
    <w:rsid w:val="00D71B74"/>
    <w:rsid w:val="00D71B94"/>
    <w:rsid w:val="00D71E5B"/>
    <w:rsid w:val="00D71ED7"/>
    <w:rsid w:val="00D71EEF"/>
    <w:rsid w:val="00D71EF4"/>
    <w:rsid w:val="00D72246"/>
    <w:rsid w:val="00D7224D"/>
    <w:rsid w:val="00D723E9"/>
    <w:rsid w:val="00D7266A"/>
    <w:rsid w:val="00D72808"/>
    <w:rsid w:val="00D7294D"/>
    <w:rsid w:val="00D72A83"/>
    <w:rsid w:val="00D72B3D"/>
    <w:rsid w:val="00D72BDC"/>
    <w:rsid w:val="00D73607"/>
    <w:rsid w:val="00D7363E"/>
    <w:rsid w:val="00D738F4"/>
    <w:rsid w:val="00D73962"/>
    <w:rsid w:val="00D739AF"/>
    <w:rsid w:val="00D73A73"/>
    <w:rsid w:val="00D73EDE"/>
    <w:rsid w:val="00D74295"/>
    <w:rsid w:val="00D74458"/>
    <w:rsid w:val="00D74905"/>
    <w:rsid w:val="00D74E9B"/>
    <w:rsid w:val="00D74FF2"/>
    <w:rsid w:val="00D75553"/>
    <w:rsid w:val="00D75725"/>
    <w:rsid w:val="00D75A09"/>
    <w:rsid w:val="00D75B73"/>
    <w:rsid w:val="00D75C83"/>
    <w:rsid w:val="00D75D5E"/>
    <w:rsid w:val="00D75EC9"/>
    <w:rsid w:val="00D762BE"/>
    <w:rsid w:val="00D762E8"/>
    <w:rsid w:val="00D765D1"/>
    <w:rsid w:val="00D7672C"/>
    <w:rsid w:val="00D76DF4"/>
    <w:rsid w:val="00D771D7"/>
    <w:rsid w:val="00D7759A"/>
    <w:rsid w:val="00D779CF"/>
    <w:rsid w:val="00D77CA9"/>
    <w:rsid w:val="00D77E96"/>
    <w:rsid w:val="00D800ED"/>
    <w:rsid w:val="00D80429"/>
    <w:rsid w:val="00D80E24"/>
    <w:rsid w:val="00D812CA"/>
    <w:rsid w:val="00D815F7"/>
    <w:rsid w:val="00D817C9"/>
    <w:rsid w:val="00D81995"/>
    <w:rsid w:val="00D81A00"/>
    <w:rsid w:val="00D81CC5"/>
    <w:rsid w:val="00D81FAC"/>
    <w:rsid w:val="00D820DA"/>
    <w:rsid w:val="00D820DD"/>
    <w:rsid w:val="00D82405"/>
    <w:rsid w:val="00D827E5"/>
    <w:rsid w:val="00D82C9F"/>
    <w:rsid w:val="00D83667"/>
    <w:rsid w:val="00D83714"/>
    <w:rsid w:val="00D839C0"/>
    <w:rsid w:val="00D83AEA"/>
    <w:rsid w:val="00D83D02"/>
    <w:rsid w:val="00D8416F"/>
    <w:rsid w:val="00D84305"/>
    <w:rsid w:val="00D84501"/>
    <w:rsid w:val="00D848CC"/>
    <w:rsid w:val="00D8495C"/>
    <w:rsid w:val="00D84A8E"/>
    <w:rsid w:val="00D84BE8"/>
    <w:rsid w:val="00D85478"/>
    <w:rsid w:val="00D85A1A"/>
    <w:rsid w:val="00D85B34"/>
    <w:rsid w:val="00D864A3"/>
    <w:rsid w:val="00D86A7B"/>
    <w:rsid w:val="00D86E88"/>
    <w:rsid w:val="00D875DB"/>
    <w:rsid w:val="00D87FAB"/>
    <w:rsid w:val="00D90485"/>
    <w:rsid w:val="00D90BEC"/>
    <w:rsid w:val="00D90FEB"/>
    <w:rsid w:val="00D91240"/>
    <w:rsid w:val="00D918F5"/>
    <w:rsid w:val="00D91DD0"/>
    <w:rsid w:val="00D91E30"/>
    <w:rsid w:val="00D91E5A"/>
    <w:rsid w:val="00D92061"/>
    <w:rsid w:val="00D92431"/>
    <w:rsid w:val="00D926F5"/>
    <w:rsid w:val="00D928EC"/>
    <w:rsid w:val="00D929C8"/>
    <w:rsid w:val="00D92D59"/>
    <w:rsid w:val="00D93034"/>
    <w:rsid w:val="00D9354D"/>
    <w:rsid w:val="00D9358D"/>
    <w:rsid w:val="00D9394D"/>
    <w:rsid w:val="00D94A2C"/>
    <w:rsid w:val="00D957BA"/>
    <w:rsid w:val="00D959E9"/>
    <w:rsid w:val="00D9609F"/>
    <w:rsid w:val="00D96BF5"/>
    <w:rsid w:val="00D96E43"/>
    <w:rsid w:val="00D97033"/>
    <w:rsid w:val="00D973DB"/>
    <w:rsid w:val="00D973FA"/>
    <w:rsid w:val="00D978A8"/>
    <w:rsid w:val="00D978FA"/>
    <w:rsid w:val="00D97908"/>
    <w:rsid w:val="00D97B8F"/>
    <w:rsid w:val="00D97CA1"/>
    <w:rsid w:val="00DA0864"/>
    <w:rsid w:val="00DA0CC9"/>
    <w:rsid w:val="00DA1244"/>
    <w:rsid w:val="00DA1382"/>
    <w:rsid w:val="00DA13A4"/>
    <w:rsid w:val="00DA14C4"/>
    <w:rsid w:val="00DA1ADE"/>
    <w:rsid w:val="00DA1BF6"/>
    <w:rsid w:val="00DA1D08"/>
    <w:rsid w:val="00DA2387"/>
    <w:rsid w:val="00DA23B5"/>
    <w:rsid w:val="00DA2490"/>
    <w:rsid w:val="00DA31FA"/>
    <w:rsid w:val="00DA3B8D"/>
    <w:rsid w:val="00DA4198"/>
    <w:rsid w:val="00DA43F8"/>
    <w:rsid w:val="00DA4642"/>
    <w:rsid w:val="00DA4F97"/>
    <w:rsid w:val="00DA522A"/>
    <w:rsid w:val="00DA538A"/>
    <w:rsid w:val="00DA5571"/>
    <w:rsid w:val="00DA570D"/>
    <w:rsid w:val="00DA5780"/>
    <w:rsid w:val="00DA5B1C"/>
    <w:rsid w:val="00DA5B9C"/>
    <w:rsid w:val="00DA66B3"/>
    <w:rsid w:val="00DA68B2"/>
    <w:rsid w:val="00DA6A20"/>
    <w:rsid w:val="00DA710F"/>
    <w:rsid w:val="00DA7325"/>
    <w:rsid w:val="00DA78A6"/>
    <w:rsid w:val="00DA7933"/>
    <w:rsid w:val="00DA7CF6"/>
    <w:rsid w:val="00DB03CC"/>
    <w:rsid w:val="00DB03EE"/>
    <w:rsid w:val="00DB0681"/>
    <w:rsid w:val="00DB07A5"/>
    <w:rsid w:val="00DB0C77"/>
    <w:rsid w:val="00DB0DB6"/>
    <w:rsid w:val="00DB14DB"/>
    <w:rsid w:val="00DB19AE"/>
    <w:rsid w:val="00DB19D1"/>
    <w:rsid w:val="00DB1B02"/>
    <w:rsid w:val="00DB1B93"/>
    <w:rsid w:val="00DB1CCE"/>
    <w:rsid w:val="00DB1E7A"/>
    <w:rsid w:val="00DB1FAC"/>
    <w:rsid w:val="00DB27E6"/>
    <w:rsid w:val="00DB2931"/>
    <w:rsid w:val="00DB2D4D"/>
    <w:rsid w:val="00DB34E3"/>
    <w:rsid w:val="00DB3679"/>
    <w:rsid w:val="00DB36C0"/>
    <w:rsid w:val="00DB3713"/>
    <w:rsid w:val="00DB3C1E"/>
    <w:rsid w:val="00DB3E1B"/>
    <w:rsid w:val="00DB4077"/>
    <w:rsid w:val="00DB42C3"/>
    <w:rsid w:val="00DB4323"/>
    <w:rsid w:val="00DB46FD"/>
    <w:rsid w:val="00DB4CFE"/>
    <w:rsid w:val="00DB4D18"/>
    <w:rsid w:val="00DB50CD"/>
    <w:rsid w:val="00DB5312"/>
    <w:rsid w:val="00DB5765"/>
    <w:rsid w:val="00DB586C"/>
    <w:rsid w:val="00DB5B3F"/>
    <w:rsid w:val="00DB5CE5"/>
    <w:rsid w:val="00DB665E"/>
    <w:rsid w:val="00DB688E"/>
    <w:rsid w:val="00DB7196"/>
    <w:rsid w:val="00DB7204"/>
    <w:rsid w:val="00DB73EB"/>
    <w:rsid w:val="00DB76A7"/>
    <w:rsid w:val="00DB76BD"/>
    <w:rsid w:val="00DB7EE1"/>
    <w:rsid w:val="00DB7FD2"/>
    <w:rsid w:val="00DC0583"/>
    <w:rsid w:val="00DC074D"/>
    <w:rsid w:val="00DC084B"/>
    <w:rsid w:val="00DC0E54"/>
    <w:rsid w:val="00DC0E76"/>
    <w:rsid w:val="00DC1153"/>
    <w:rsid w:val="00DC1F63"/>
    <w:rsid w:val="00DC21C1"/>
    <w:rsid w:val="00DC23D1"/>
    <w:rsid w:val="00DC259F"/>
    <w:rsid w:val="00DC2610"/>
    <w:rsid w:val="00DC29FB"/>
    <w:rsid w:val="00DC3090"/>
    <w:rsid w:val="00DC3122"/>
    <w:rsid w:val="00DC3425"/>
    <w:rsid w:val="00DC39B0"/>
    <w:rsid w:val="00DC3A4E"/>
    <w:rsid w:val="00DC3BF6"/>
    <w:rsid w:val="00DC3CC0"/>
    <w:rsid w:val="00DC3D2D"/>
    <w:rsid w:val="00DC3FF0"/>
    <w:rsid w:val="00DC41AC"/>
    <w:rsid w:val="00DC4421"/>
    <w:rsid w:val="00DC4725"/>
    <w:rsid w:val="00DC4BA8"/>
    <w:rsid w:val="00DC51EC"/>
    <w:rsid w:val="00DC5602"/>
    <w:rsid w:val="00DC5BA3"/>
    <w:rsid w:val="00DC5D67"/>
    <w:rsid w:val="00DC5F61"/>
    <w:rsid w:val="00DC5FF5"/>
    <w:rsid w:val="00DC671E"/>
    <w:rsid w:val="00DC685A"/>
    <w:rsid w:val="00DC6FDD"/>
    <w:rsid w:val="00DC70D4"/>
    <w:rsid w:val="00DC7222"/>
    <w:rsid w:val="00DC7512"/>
    <w:rsid w:val="00DC78F7"/>
    <w:rsid w:val="00DC799E"/>
    <w:rsid w:val="00DD019F"/>
    <w:rsid w:val="00DD01D1"/>
    <w:rsid w:val="00DD0A51"/>
    <w:rsid w:val="00DD127A"/>
    <w:rsid w:val="00DD1CA3"/>
    <w:rsid w:val="00DD1F89"/>
    <w:rsid w:val="00DD22C4"/>
    <w:rsid w:val="00DD3597"/>
    <w:rsid w:val="00DD38CC"/>
    <w:rsid w:val="00DD3CB3"/>
    <w:rsid w:val="00DD3EFB"/>
    <w:rsid w:val="00DD4C78"/>
    <w:rsid w:val="00DD4FC8"/>
    <w:rsid w:val="00DD5574"/>
    <w:rsid w:val="00DD5579"/>
    <w:rsid w:val="00DD55FB"/>
    <w:rsid w:val="00DD5628"/>
    <w:rsid w:val="00DD644F"/>
    <w:rsid w:val="00DD6D6C"/>
    <w:rsid w:val="00DD723D"/>
    <w:rsid w:val="00DD724C"/>
    <w:rsid w:val="00DD7B0D"/>
    <w:rsid w:val="00DD7C7C"/>
    <w:rsid w:val="00DE06AF"/>
    <w:rsid w:val="00DE0A2B"/>
    <w:rsid w:val="00DE1740"/>
    <w:rsid w:val="00DE1873"/>
    <w:rsid w:val="00DE18A0"/>
    <w:rsid w:val="00DE1CB1"/>
    <w:rsid w:val="00DE22A8"/>
    <w:rsid w:val="00DE2739"/>
    <w:rsid w:val="00DE281B"/>
    <w:rsid w:val="00DE2CA5"/>
    <w:rsid w:val="00DE2CB1"/>
    <w:rsid w:val="00DE2CCA"/>
    <w:rsid w:val="00DE2D57"/>
    <w:rsid w:val="00DE2F43"/>
    <w:rsid w:val="00DE3536"/>
    <w:rsid w:val="00DE3778"/>
    <w:rsid w:val="00DE3DD8"/>
    <w:rsid w:val="00DE3E95"/>
    <w:rsid w:val="00DE3F0B"/>
    <w:rsid w:val="00DE4083"/>
    <w:rsid w:val="00DE45F0"/>
    <w:rsid w:val="00DE479C"/>
    <w:rsid w:val="00DE4DC4"/>
    <w:rsid w:val="00DE4E9E"/>
    <w:rsid w:val="00DE4EDD"/>
    <w:rsid w:val="00DE4F10"/>
    <w:rsid w:val="00DE5069"/>
    <w:rsid w:val="00DE5169"/>
    <w:rsid w:val="00DE5AD1"/>
    <w:rsid w:val="00DE600D"/>
    <w:rsid w:val="00DE610C"/>
    <w:rsid w:val="00DE6252"/>
    <w:rsid w:val="00DE655A"/>
    <w:rsid w:val="00DE663E"/>
    <w:rsid w:val="00DE6878"/>
    <w:rsid w:val="00DE69A9"/>
    <w:rsid w:val="00DE6F00"/>
    <w:rsid w:val="00DE7794"/>
    <w:rsid w:val="00DF0354"/>
    <w:rsid w:val="00DF0A15"/>
    <w:rsid w:val="00DF15CB"/>
    <w:rsid w:val="00DF1691"/>
    <w:rsid w:val="00DF172C"/>
    <w:rsid w:val="00DF213D"/>
    <w:rsid w:val="00DF2854"/>
    <w:rsid w:val="00DF2BF9"/>
    <w:rsid w:val="00DF33AD"/>
    <w:rsid w:val="00DF3577"/>
    <w:rsid w:val="00DF35A8"/>
    <w:rsid w:val="00DF4267"/>
    <w:rsid w:val="00DF44F6"/>
    <w:rsid w:val="00DF54BD"/>
    <w:rsid w:val="00DF578D"/>
    <w:rsid w:val="00DF5798"/>
    <w:rsid w:val="00DF587D"/>
    <w:rsid w:val="00DF5BCC"/>
    <w:rsid w:val="00DF6039"/>
    <w:rsid w:val="00DF6627"/>
    <w:rsid w:val="00DF6885"/>
    <w:rsid w:val="00DF68C8"/>
    <w:rsid w:val="00DF7266"/>
    <w:rsid w:val="00DF72FF"/>
    <w:rsid w:val="00DF75F2"/>
    <w:rsid w:val="00DF772A"/>
    <w:rsid w:val="00DF7B2C"/>
    <w:rsid w:val="00DF7BE9"/>
    <w:rsid w:val="00DF7C5C"/>
    <w:rsid w:val="00E0102A"/>
    <w:rsid w:val="00E01213"/>
    <w:rsid w:val="00E01340"/>
    <w:rsid w:val="00E013C1"/>
    <w:rsid w:val="00E01746"/>
    <w:rsid w:val="00E0231C"/>
    <w:rsid w:val="00E023E9"/>
    <w:rsid w:val="00E03362"/>
    <w:rsid w:val="00E03682"/>
    <w:rsid w:val="00E036B4"/>
    <w:rsid w:val="00E03B6D"/>
    <w:rsid w:val="00E03C10"/>
    <w:rsid w:val="00E03D7C"/>
    <w:rsid w:val="00E041F2"/>
    <w:rsid w:val="00E044F8"/>
    <w:rsid w:val="00E04584"/>
    <w:rsid w:val="00E048D7"/>
    <w:rsid w:val="00E04B29"/>
    <w:rsid w:val="00E04C43"/>
    <w:rsid w:val="00E06934"/>
    <w:rsid w:val="00E06CC5"/>
    <w:rsid w:val="00E06D68"/>
    <w:rsid w:val="00E071F4"/>
    <w:rsid w:val="00E073BD"/>
    <w:rsid w:val="00E073C7"/>
    <w:rsid w:val="00E075E4"/>
    <w:rsid w:val="00E078A0"/>
    <w:rsid w:val="00E07BC7"/>
    <w:rsid w:val="00E07BE1"/>
    <w:rsid w:val="00E07C07"/>
    <w:rsid w:val="00E07C6E"/>
    <w:rsid w:val="00E07C84"/>
    <w:rsid w:val="00E103B0"/>
    <w:rsid w:val="00E10BBC"/>
    <w:rsid w:val="00E10D96"/>
    <w:rsid w:val="00E10F3C"/>
    <w:rsid w:val="00E10FD3"/>
    <w:rsid w:val="00E11402"/>
    <w:rsid w:val="00E11637"/>
    <w:rsid w:val="00E11811"/>
    <w:rsid w:val="00E11B33"/>
    <w:rsid w:val="00E121F3"/>
    <w:rsid w:val="00E1220E"/>
    <w:rsid w:val="00E12372"/>
    <w:rsid w:val="00E12386"/>
    <w:rsid w:val="00E124C7"/>
    <w:rsid w:val="00E128DE"/>
    <w:rsid w:val="00E12D52"/>
    <w:rsid w:val="00E12D56"/>
    <w:rsid w:val="00E12D75"/>
    <w:rsid w:val="00E12E37"/>
    <w:rsid w:val="00E13350"/>
    <w:rsid w:val="00E13415"/>
    <w:rsid w:val="00E13483"/>
    <w:rsid w:val="00E13E4A"/>
    <w:rsid w:val="00E13E54"/>
    <w:rsid w:val="00E14091"/>
    <w:rsid w:val="00E14152"/>
    <w:rsid w:val="00E14208"/>
    <w:rsid w:val="00E14574"/>
    <w:rsid w:val="00E14775"/>
    <w:rsid w:val="00E14C7F"/>
    <w:rsid w:val="00E14CDB"/>
    <w:rsid w:val="00E14EC4"/>
    <w:rsid w:val="00E14F3B"/>
    <w:rsid w:val="00E150DC"/>
    <w:rsid w:val="00E15544"/>
    <w:rsid w:val="00E158D5"/>
    <w:rsid w:val="00E15FAC"/>
    <w:rsid w:val="00E162CC"/>
    <w:rsid w:val="00E1643A"/>
    <w:rsid w:val="00E165C1"/>
    <w:rsid w:val="00E166D0"/>
    <w:rsid w:val="00E17126"/>
    <w:rsid w:val="00E1729C"/>
    <w:rsid w:val="00E17736"/>
    <w:rsid w:val="00E17946"/>
    <w:rsid w:val="00E17A14"/>
    <w:rsid w:val="00E17A2F"/>
    <w:rsid w:val="00E2034E"/>
    <w:rsid w:val="00E20FAE"/>
    <w:rsid w:val="00E2106B"/>
    <w:rsid w:val="00E210A5"/>
    <w:rsid w:val="00E2131E"/>
    <w:rsid w:val="00E22469"/>
    <w:rsid w:val="00E227CD"/>
    <w:rsid w:val="00E229D4"/>
    <w:rsid w:val="00E22AD4"/>
    <w:rsid w:val="00E232B6"/>
    <w:rsid w:val="00E23505"/>
    <w:rsid w:val="00E23BF0"/>
    <w:rsid w:val="00E24134"/>
    <w:rsid w:val="00E243F7"/>
    <w:rsid w:val="00E244A4"/>
    <w:rsid w:val="00E247B4"/>
    <w:rsid w:val="00E247C8"/>
    <w:rsid w:val="00E24D45"/>
    <w:rsid w:val="00E2504C"/>
    <w:rsid w:val="00E251C6"/>
    <w:rsid w:val="00E25532"/>
    <w:rsid w:val="00E2587A"/>
    <w:rsid w:val="00E25DEA"/>
    <w:rsid w:val="00E25E1C"/>
    <w:rsid w:val="00E266FE"/>
    <w:rsid w:val="00E2699F"/>
    <w:rsid w:val="00E26A23"/>
    <w:rsid w:val="00E26A95"/>
    <w:rsid w:val="00E26B17"/>
    <w:rsid w:val="00E27055"/>
    <w:rsid w:val="00E27105"/>
    <w:rsid w:val="00E27109"/>
    <w:rsid w:val="00E2752D"/>
    <w:rsid w:val="00E276E5"/>
    <w:rsid w:val="00E30418"/>
    <w:rsid w:val="00E30993"/>
    <w:rsid w:val="00E30F1E"/>
    <w:rsid w:val="00E31245"/>
    <w:rsid w:val="00E31712"/>
    <w:rsid w:val="00E317CD"/>
    <w:rsid w:val="00E31AD7"/>
    <w:rsid w:val="00E31AE2"/>
    <w:rsid w:val="00E31DEA"/>
    <w:rsid w:val="00E321B0"/>
    <w:rsid w:val="00E322DE"/>
    <w:rsid w:val="00E326B1"/>
    <w:rsid w:val="00E32838"/>
    <w:rsid w:val="00E32A7B"/>
    <w:rsid w:val="00E335B6"/>
    <w:rsid w:val="00E33869"/>
    <w:rsid w:val="00E33973"/>
    <w:rsid w:val="00E33B3C"/>
    <w:rsid w:val="00E33DA3"/>
    <w:rsid w:val="00E33FF1"/>
    <w:rsid w:val="00E34FD0"/>
    <w:rsid w:val="00E351CA"/>
    <w:rsid w:val="00E35249"/>
    <w:rsid w:val="00E35532"/>
    <w:rsid w:val="00E35558"/>
    <w:rsid w:val="00E35D36"/>
    <w:rsid w:val="00E362AC"/>
    <w:rsid w:val="00E36B8F"/>
    <w:rsid w:val="00E36CE9"/>
    <w:rsid w:val="00E36ED5"/>
    <w:rsid w:val="00E370CB"/>
    <w:rsid w:val="00E37453"/>
    <w:rsid w:val="00E37C6E"/>
    <w:rsid w:val="00E4017E"/>
    <w:rsid w:val="00E4046D"/>
    <w:rsid w:val="00E408E7"/>
    <w:rsid w:val="00E40A6B"/>
    <w:rsid w:val="00E40EB5"/>
    <w:rsid w:val="00E41300"/>
    <w:rsid w:val="00E419BD"/>
    <w:rsid w:val="00E424F8"/>
    <w:rsid w:val="00E427B0"/>
    <w:rsid w:val="00E427CD"/>
    <w:rsid w:val="00E427DA"/>
    <w:rsid w:val="00E42B51"/>
    <w:rsid w:val="00E42DD3"/>
    <w:rsid w:val="00E43230"/>
    <w:rsid w:val="00E433FC"/>
    <w:rsid w:val="00E436EA"/>
    <w:rsid w:val="00E4399A"/>
    <w:rsid w:val="00E441E7"/>
    <w:rsid w:val="00E44711"/>
    <w:rsid w:val="00E44CA2"/>
    <w:rsid w:val="00E45446"/>
    <w:rsid w:val="00E45609"/>
    <w:rsid w:val="00E45A36"/>
    <w:rsid w:val="00E46049"/>
    <w:rsid w:val="00E46461"/>
    <w:rsid w:val="00E46A75"/>
    <w:rsid w:val="00E46A7D"/>
    <w:rsid w:val="00E46BAC"/>
    <w:rsid w:val="00E46BCE"/>
    <w:rsid w:val="00E46C97"/>
    <w:rsid w:val="00E47135"/>
    <w:rsid w:val="00E476AD"/>
    <w:rsid w:val="00E47A20"/>
    <w:rsid w:val="00E47B45"/>
    <w:rsid w:val="00E47CBE"/>
    <w:rsid w:val="00E5043B"/>
    <w:rsid w:val="00E505D5"/>
    <w:rsid w:val="00E50B21"/>
    <w:rsid w:val="00E50B91"/>
    <w:rsid w:val="00E50D10"/>
    <w:rsid w:val="00E50E7E"/>
    <w:rsid w:val="00E50E99"/>
    <w:rsid w:val="00E51B74"/>
    <w:rsid w:val="00E520B7"/>
    <w:rsid w:val="00E521E5"/>
    <w:rsid w:val="00E5247D"/>
    <w:rsid w:val="00E52511"/>
    <w:rsid w:val="00E5281C"/>
    <w:rsid w:val="00E53234"/>
    <w:rsid w:val="00E535FC"/>
    <w:rsid w:val="00E536AC"/>
    <w:rsid w:val="00E5384A"/>
    <w:rsid w:val="00E53E93"/>
    <w:rsid w:val="00E53FAC"/>
    <w:rsid w:val="00E5453C"/>
    <w:rsid w:val="00E55250"/>
    <w:rsid w:val="00E552B9"/>
    <w:rsid w:val="00E552DF"/>
    <w:rsid w:val="00E55AFE"/>
    <w:rsid w:val="00E5612F"/>
    <w:rsid w:val="00E5624D"/>
    <w:rsid w:val="00E56578"/>
    <w:rsid w:val="00E56611"/>
    <w:rsid w:val="00E5670F"/>
    <w:rsid w:val="00E56750"/>
    <w:rsid w:val="00E56E54"/>
    <w:rsid w:val="00E5701C"/>
    <w:rsid w:val="00E572FF"/>
    <w:rsid w:val="00E5738F"/>
    <w:rsid w:val="00E57B4F"/>
    <w:rsid w:val="00E60211"/>
    <w:rsid w:val="00E606EB"/>
    <w:rsid w:val="00E609AC"/>
    <w:rsid w:val="00E6136A"/>
    <w:rsid w:val="00E61817"/>
    <w:rsid w:val="00E6189B"/>
    <w:rsid w:val="00E6227A"/>
    <w:rsid w:val="00E622AD"/>
    <w:rsid w:val="00E62611"/>
    <w:rsid w:val="00E62903"/>
    <w:rsid w:val="00E629AE"/>
    <w:rsid w:val="00E62C7A"/>
    <w:rsid w:val="00E63930"/>
    <w:rsid w:val="00E6486F"/>
    <w:rsid w:val="00E64877"/>
    <w:rsid w:val="00E64A8C"/>
    <w:rsid w:val="00E65095"/>
    <w:rsid w:val="00E65376"/>
    <w:rsid w:val="00E65B97"/>
    <w:rsid w:val="00E663DD"/>
    <w:rsid w:val="00E664F7"/>
    <w:rsid w:val="00E66A7F"/>
    <w:rsid w:val="00E66AE3"/>
    <w:rsid w:val="00E66F7B"/>
    <w:rsid w:val="00E67650"/>
    <w:rsid w:val="00E67984"/>
    <w:rsid w:val="00E679F7"/>
    <w:rsid w:val="00E67AD1"/>
    <w:rsid w:val="00E7014F"/>
    <w:rsid w:val="00E701D3"/>
    <w:rsid w:val="00E704C5"/>
    <w:rsid w:val="00E70827"/>
    <w:rsid w:val="00E70965"/>
    <w:rsid w:val="00E717A1"/>
    <w:rsid w:val="00E71DEF"/>
    <w:rsid w:val="00E71F8A"/>
    <w:rsid w:val="00E7212E"/>
    <w:rsid w:val="00E72341"/>
    <w:rsid w:val="00E72F88"/>
    <w:rsid w:val="00E7315A"/>
    <w:rsid w:val="00E733A8"/>
    <w:rsid w:val="00E7385E"/>
    <w:rsid w:val="00E73AB8"/>
    <w:rsid w:val="00E73BBA"/>
    <w:rsid w:val="00E74C14"/>
    <w:rsid w:val="00E74D37"/>
    <w:rsid w:val="00E751DF"/>
    <w:rsid w:val="00E7521D"/>
    <w:rsid w:val="00E75403"/>
    <w:rsid w:val="00E757BF"/>
    <w:rsid w:val="00E75C87"/>
    <w:rsid w:val="00E75E80"/>
    <w:rsid w:val="00E76B11"/>
    <w:rsid w:val="00E76B47"/>
    <w:rsid w:val="00E76BE6"/>
    <w:rsid w:val="00E76C6C"/>
    <w:rsid w:val="00E76F30"/>
    <w:rsid w:val="00E770DF"/>
    <w:rsid w:val="00E77692"/>
    <w:rsid w:val="00E776E7"/>
    <w:rsid w:val="00E77DB9"/>
    <w:rsid w:val="00E8014E"/>
    <w:rsid w:val="00E80939"/>
    <w:rsid w:val="00E80987"/>
    <w:rsid w:val="00E809E9"/>
    <w:rsid w:val="00E80EC4"/>
    <w:rsid w:val="00E80ED3"/>
    <w:rsid w:val="00E81127"/>
    <w:rsid w:val="00E811E7"/>
    <w:rsid w:val="00E81386"/>
    <w:rsid w:val="00E814FB"/>
    <w:rsid w:val="00E81911"/>
    <w:rsid w:val="00E81B32"/>
    <w:rsid w:val="00E81BC7"/>
    <w:rsid w:val="00E81FC9"/>
    <w:rsid w:val="00E82364"/>
    <w:rsid w:val="00E82520"/>
    <w:rsid w:val="00E825A6"/>
    <w:rsid w:val="00E82FCC"/>
    <w:rsid w:val="00E8322F"/>
    <w:rsid w:val="00E832C8"/>
    <w:rsid w:val="00E832FB"/>
    <w:rsid w:val="00E8384F"/>
    <w:rsid w:val="00E84759"/>
    <w:rsid w:val="00E848A9"/>
    <w:rsid w:val="00E85014"/>
    <w:rsid w:val="00E8538E"/>
    <w:rsid w:val="00E85462"/>
    <w:rsid w:val="00E856D6"/>
    <w:rsid w:val="00E8575F"/>
    <w:rsid w:val="00E86021"/>
    <w:rsid w:val="00E861AB"/>
    <w:rsid w:val="00E864C0"/>
    <w:rsid w:val="00E86CE4"/>
    <w:rsid w:val="00E86F77"/>
    <w:rsid w:val="00E87041"/>
    <w:rsid w:val="00E8715D"/>
    <w:rsid w:val="00E879C8"/>
    <w:rsid w:val="00E87A1B"/>
    <w:rsid w:val="00E87DA6"/>
    <w:rsid w:val="00E87DCE"/>
    <w:rsid w:val="00E9064E"/>
    <w:rsid w:val="00E90824"/>
    <w:rsid w:val="00E90826"/>
    <w:rsid w:val="00E90BB4"/>
    <w:rsid w:val="00E90DBA"/>
    <w:rsid w:val="00E912DC"/>
    <w:rsid w:val="00E915E4"/>
    <w:rsid w:val="00E92429"/>
    <w:rsid w:val="00E92AEF"/>
    <w:rsid w:val="00E93630"/>
    <w:rsid w:val="00E937A4"/>
    <w:rsid w:val="00E93D46"/>
    <w:rsid w:val="00E940CD"/>
    <w:rsid w:val="00E9422A"/>
    <w:rsid w:val="00E94518"/>
    <w:rsid w:val="00E948E4"/>
    <w:rsid w:val="00E94D8E"/>
    <w:rsid w:val="00E94EB2"/>
    <w:rsid w:val="00E951F5"/>
    <w:rsid w:val="00E9544F"/>
    <w:rsid w:val="00E95F35"/>
    <w:rsid w:val="00E96411"/>
    <w:rsid w:val="00E9659B"/>
    <w:rsid w:val="00E9664C"/>
    <w:rsid w:val="00E96826"/>
    <w:rsid w:val="00E96969"/>
    <w:rsid w:val="00E96A73"/>
    <w:rsid w:val="00E96EA5"/>
    <w:rsid w:val="00E96EF9"/>
    <w:rsid w:val="00E974DC"/>
    <w:rsid w:val="00E97EAF"/>
    <w:rsid w:val="00EA023E"/>
    <w:rsid w:val="00EA08F9"/>
    <w:rsid w:val="00EA0945"/>
    <w:rsid w:val="00EA0D79"/>
    <w:rsid w:val="00EA0E5D"/>
    <w:rsid w:val="00EA0E84"/>
    <w:rsid w:val="00EA12FC"/>
    <w:rsid w:val="00EA1676"/>
    <w:rsid w:val="00EA17BF"/>
    <w:rsid w:val="00EA1EC4"/>
    <w:rsid w:val="00EA1F90"/>
    <w:rsid w:val="00EA1FD0"/>
    <w:rsid w:val="00EA275F"/>
    <w:rsid w:val="00EA2CE9"/>
    <w:rsid w:val="00EA2D77"/>
    <w:rsid w:val="00EA2DC8"/>
    <w:rsid w:val="00EA2FAD"/>
    <w:rsid w:val="00EA3C77"/>
    <w:rsid w:val="00EA40C0"/>
    <w:rsid w:val="00EA41D3"/>
    <w:rsid w:val="00EA438D"/>
    <w:rsid w:val="00EA4611"/>
    <w:rsid w:val="00EA470C"/>
    <w:rsid w:val="00EA5413"/>
    <w:rsid w:val="00EA54DB"/>
    <w:rsid w:val="00EA54DF"/>
    <w:rsid w:val="00EA562D"/>
    <w:rsid w:val="00EA5B5E"/>
    <w:rsid w:val="00EA610F"/>
    <w:rsid w:val="00EA7E12"/>
    <w:rsid w:val="00EB021E"/>
    <w:rsid w:val="00EB0803"/>
    <w:rsid w:val="00EB0AD1"/>
    <w:rsid w:val="00EB0C21"/>
    <w:rsid w:val="00EB0FCE"/>
    <w:rsid w:val="00EB16A7"/>
    <w:rsid w:val="00EB18F3"/>
    <w:rsid w:val="00EB1A00"/>
    <w:rsid w:val="00EB1A58"/>
    <w:rsid w:val="00EB1EEB"/>
    <w:rsid w:val="00EB2369"/>
    <w:rsid w:val="00EB23A3"/>
    <w:rsid w:val="00EB2658"/>
    <w:rsid w:val="00EB2B7C"/>
    <w:rsid w:val="00EB329D"/>
    <w:rsid w:val="00EB35D5"/>
    <w:rsid w:val="00EB36F9"/>
    <w:rsid w:val="00EB3C85"/>
    <w:rsid w:val="00EB4013"/>
    <w:rsid w:val="00EB4109"/>
    <w:rsid w:val="00EB42B6"/>
    <w:rsid w:val="00EB43AD"/>
    <w:rsid w:val="00EB46B0"/>
    <w:rsid w:val="00EB4FD6"/>
    <w:rsid w:val="00EB5620"/>
    <w:rsid w:val="00EB5D24"/>
    <w:rsid w:val="00EB5F41"/>
    <w:rsid w:val="00EB6101"/>
    <w:rsid w:val="00EB680D"/>
    <w:rsid w:val="00EB68F2"/>
    <w:rsid w:val="00EB6D09"/>
    <w:rsid w:val="00EB6E54"/>
    <w:rsid w:val="00EB754E"/>
    <w:rsid w:val="00EB76A5"/>
    <w:rsid w:val="00EB7EA4"/>
    <w:rsid w:val="00EC00D7"/>
    <w:rsid w:val="00EC0342"/>
    <w:rsid w:val="00EC04AA"/>
    <w:rsid w:val="00EC073F"/>
    <w:rsid w:val="00EC0C2B"/>
    <w:rsid w:val="00EC0FF6"/>
    <w:rsid w:val="00EC148C"/>
    <w:rsid w:val="00EC17B1"/>
    <w:rsid w:val="00EC1A4F"/>
    <w:rsid w:val="00EC1DDF"/>
    <w:rsid w:val="00EC27D7"/>
    <w:rsid w:val="00EC2AD3"/>
    <w:rsid w:val="00EC30E4"/>
    <w:rsid w:val="00EC327E"/>
    <w:rsid w:val="00EC37AE"/>
    <w:rsid w:val="00EC3A76"/>
    <w:rsid w:val="00EC3B0A"/>
    <w:rsid w:val="00EC3B47"/>
    <w:rsid w:val="00EC4064"/>
    <w:rsid w:val="00EC4195"/>
    <w:rsid w:val="00EC4A38"/>
    <w:rsid w:val="00EC4D57"/>
    <w:rsid w:val="00EC52F5"/>
    <w:rsid w:val="00EC5823"/>
    <w:rsid w:val="00EC5FEA"/>
    <w:rsid w:val="00EC615E"/>
    <w:rsid w:val="00EC6683"/>
    <w:rsid w:val="00EC6DF9"/>
    <w:rsid w:val="00ED0198"/>
    <w:rsid w:val="00ED04F7"/>
    <w:rsid w:val="00ED05BB"/>
    <w:rsid w:val="00ED069D"/>
    <w:rsid w:val="00ED0991"/>
    <w:rsid w:val="00ED0C25"/>
    <w:rsid w:val="00ED0C41"/>
    <w:rsid w:val="00ED0DB4"/>
    <w:rsid w:val="00ED0EEF"/>
    <w:rsid w:val="00ED1384"/>
    <w:rsid w:val="00ED138F"/>
    <w:rsid w:val="00ED1403"/>
    <w:rsid w:val="00ED1667"/>
    <w:rsid w:val="00ED1A12"/>
    <w:rsid w:val="00ED1CD6"/>
    <w:rsid w:val="00ED1D48"/>
    <w:rsid w:val="00ED1E3B"/>
    <w:rsid w:val="00ED2565"/>
    <w:rsid w:val="00ED2C04"/>
    <w:rsid w:val="00ED2E23"/>
    <w:rsid w:val="00ED2E9F"/>
    <w:rsid w:val="00ED2F9E"/>
    <w:rsid w:val="00ED3248"/>
    <w:rsid w:val="00ED3E7B"/>
    <w:rsid w:val="00ED4791"/>
    <w:rsid w:val="00ED4C31"/>
    <w:rsid w:val="00ED4CC2"/>
    <w:rsid w:val="00ED4DE8"/>
    <w:rsid w:val="00ED4E9A"/>
    <w:rsid w:val="00ED4F92"/>
    <w:rsid w:val="00ED540C"/>
    <w:rsid w:val="00ED55ED"/>
    <w:rsid w:val="00ED5A20"/>
    <w:rsid w:val="00ED5AAF"/>
    <w:rsid w:val="00ED5B3A"/>
    <w:rsid w:val="00ED65D9"/>
    <w:rsid w:val="00ED7475"/>
    <w:rsid w:val="00ED784C"/>
    <w:rsid w:val="00ED7CB4"/>
    <w:rsid w:val="00EE0A65"/>
    <w:rsid w:val="00EE0D72"/>
    <w:rsid w:val="00EE1199"/>
    <w:rsid w:val="00EE11D0"/>
    <w:rsid w:val="00EE1305"/>
    <w:rsid w:val="00EE1405"/>
    <w:rsid w:val="00EE158B"/>
    <w:rsid w:val="00EE1CFF"/>
    <w:rsid w:val="00EE2079"/>
    <w:rsid w:val="00EE2698"/>
    <w:rsid w:val="00EE2863"/>
    <w:rsid w:val="00EE289A"/>
    <w:rsid w:val="00EE289D"/>
    <w:rsid w:val="00EE2D99"/>
    <w:rsid w:val="00EE2D9B"/>
    <w:rsid w:val="00EE2DC1"/>
    <w:rsid w:val="00EE396E"/>
    <w:rsid w:val="00EE4F53"/>
    <w:rsid w:val="00EE5AF7"/>
    <w:rsid w:val="00EE6380"/>
    <w:rsid w:val="00EE6F25"/>
    <w:rsid w:val="00EE7E2B"/>
    <w:rsid w:val="00EF0055"/>
    <w:rsid w:val="00EF0264"/>
    <w:rsid w:val="00EF0800"/>
    <w:rsid w:val="00EF0E62"/>
    <w:rsid w:val="00EF15DB"/>
    <w:rsid w:val="00EF16BF"/>
    <w:rsid w:val="00EF1940"/>
    <w:rsid w:val="00EF1A92"/>
    <w:rsid w:val="00EF1AC5"/>
    <w:rsid w:val="00EF1DF4"/>
    <w:rsid w:val="00EF230F"/>
    <w:rsid w:val="00EF28F4"/>
    <w:rsid w:val="00EF2B85"/>
    <w:rsid w:val="00EF2F52"/>
    <w:rsid w:val="00EF2F91"/>
    <w:rsid w:val="00EF30A8"/>
    <w:rsid w:val="00EF30BB"/>
    <w:rsid w:val="00EF313C"/>
    <w:rsid w:val="00EF32C8"/>
    <w:rsid w:val="00EF32DA"/>
    <w:rsid w:val="00EF3327"/>
    <w:rsid w:val="00EF33B0"/>
    <w:rsid w:val="00EF33F5"/>
    <w:rsid w:val="00EF3467"/>
    <w:rsid w:val="00EF3570"/>
    <w:rsid w:val="00EF3A3F"/>
    <w:rsid w:val="00EF3E98"/>
    <w:rsid w:val="00EF442F"/>
    <w:rsid w:val="00EF4681"/>
    <w:rsid w:val="00EF47FC"/>
    <w:rsid w:val="00EF4A34"/>
    <w:rsid w:val="00EF4CD8"/>
    <w:rsid w:val="00EF4D11"/>
    <w:rsid w:val="00EF51CB"/>
    <w:rsid w:val="00EF5369"/>
    <w:rsid w:val="00EF5674"/>
    <w:rsid w:val="00EF5816"/>
    <w:rsid w:val="00EF5915"/>
    <w:rsid w:val="00EF67D9"/>
    <w:rsid w:val="00EF6909"/>
    <w:rsid w:val="00EF6F12"/>
    <w:rsid w:val="00EF6F45"/>
    <w:rsid w:val="00F00399"/>
    <w:rsid w:val="00F00D89"/>
    <w:rsid w:val="00F00FF0"/>
    <w:rsid w:val="00F014D2"/>
    <w:rsid w:val="00F01CE0"/>
    <w:rsid w:val="00F02726"/>
    <w:rsid w:val="00F0294D"/>
    <w:rsid w:val="00F02ABC"/>
    <w:rsid w:val="00F02BBB"/>
    <w:rsid w:val="00F0307E"/>
    <w:rsid w:val="00F04624"/>
    <w:rsid w:val="00F046B6"/>
    <w:rsid w:val="00F04CF9"/>
    <w:rsid w:val="00F04F73"/>
    <w:rsid w:val="00F05255"/>
    <w:rsid w:val="00F053FD"/>
    <w:rsid w:val="00F056CB"/>
    <w:rsid w:val="00F057F1"/>
    <w:rsid w:val="00F05FDB"/>
    <w:rsid w:val="00F06789"/>
    <w:rsid w:val="00F067C1"/>
    <w:rsid w:val="00F068FF"/>
    <w:rsid w:val="00F06992"/>
    <w:rsid w:val="00F06BC0"/>
    <w:rsid w:val="00F06EB8"/>
    <w:rsid w:val="00F078AF"/>
    <w:rsid w:val="00F07F5B"/>
    <w:rsid w:val="00F102CC"/>
    <w:rsid w:val="00F103A6"/>
    <w:rsid w:val="00F1046D"/>
    <w:rsid w:val="00F1050C"/>
    <w:rsid w:val="00F106AA"/>
    <w:rsid w:val="00F108B9"/>
    <w:rsid w:val="00F10903"/>
    <w:rsid w:val="00F10EE8"/>
    <w:rsid w:val="00F1122D"/>
    <w:rsid w:val="00F11262"/>
    <w:rsid w:val="00F11678"/>
    <w:rsid w:val="00F11FB3"/>
    <w:rsid w:val="00F12349"/>
    <w:rsid w:val="00F123C1"/>
    <w:rsid w:val="00F128BA"/>
    <w:rsid w:val="00F129FC"/>
    <w:rsid w:val="00F12B99"/>
    <w:rsid w:val="00F12F92"/>
    <w:rsid w:val="00F1344B"/>
    <w:rsid w:val="00F13863"/>
    <w:rsid w:val="00F1399A"/>
    <w:rsid w:val="00F139EC"/>
    <w:rsid w:val="00F140A5"/>
    <w:rsid w:val="00F14166"/>
    <w:rsid w:val="00F141EC"/>
    <w:rsid w:val="00F145E5"/>
    <w:rsid w:val="00F145F2"/>
    <w:rsid w:val="00F15B20"/>
    <w:rsid w:val="00F15DBD"/>
    <w:rsid w:val="00F15EF1"/>
    <w:rsid w:val="00F15F67"/>
    <w:rsid w:val="00F16C53"/>
    <w:rsid w:val="00F16EF0"/>
    <w:rsid w:val="00F176E8"/>
    <w:rsid w:val="00F2063E"/>
    <w:rsid w:val="00F2088A"/>
    <w:rsid w:val="00F20D70"/>
    <w:rsid w:val="00F20FD3"/>
    <w:rsid w:val="00F21037"/>
    <w:rsid w:val="00F21314"/>
    <w:rsid w:val="00F2179E"/>
    <w:rsid w:val="00F21878"/>
    <w:rsid w:val="00F219A3"/>
    <w:rsid w:val="00F21B18"/>
    <w:rsid w:val="00F21ECD"/>
    <w:rsid w:val="00F22575"/>
    <w:rsid w:val="00F228DE"/>
    <w:rsid w:val="00F22A7C"/>
    <w:rsid w:val="00F23A04"/>
    <w:rsid w:val="00F23E6B"/>
    <w:rsid w:val="00F2498A"/>
    <w:rsid w:val="00F24A16"/>
    <w:rsid w:val="00F24C39"/>
    <w:rsid w:val="00F24C5E"/>
    <w:rsid w:val="00F24EAA"/>
    <w:rsid w:val="00F256B5"/>
    <w:rsid w:val="00F25836"/>
    <w:rsid w:val="00F25F2E"/>
    <w:rsid w:val="00F25FDC"/>
    <w:rsid w:val="00F264D4"/>
    <w:rsid w:val="00F27870"/>
    <w:rsid w:val="00F305D6"/>
    <w:rsid w:val="00F30667"/>
    <w:rsid w:val="00F3081E"/>
    <w:rsid w:val="00F3087F"/>
    <w:rsid w:val="00F31313"/>
    <w:rsid w:val="00F31558"/>
    <w:rsid w:val="00F31EC8"/>
    <w:rsid w:val="00F32322"/>
    <w:rsid w:val="00F32586"/>
    <w:rsid w:val="00F32740"/>
    <w:rsid w:val="00F32B44"/>
    <w:rsid w:val="00F32C3A"/>
    <w:rsid w:val="00F32D07"/>
    <w:rsid w:val="00F32D3A"/>
    <w:rsid w:val="00F33531"/>
    <w:rsid w:val="00F33AEA"/>
    <w:rsid w:val="00F33B6B"/>
    <w:rsid w:val="00F33CDA"/>
    <w:rsid w:val="00F341DD"/>
    <w:rsid w:val="00F3423B"/>
    <w:rsid w:val="00F34555"/>
    <w:rsid w:val="00F34763"/>
    <w:rsid w:val="00F34AC5"/>
    <w:rsid w:val="00F34ECF"/>
    <w:rsid w:val="00F3515F"/>
    <w:rsid w:val="00F35B29"/>
    <w:rsid w:val="00F35F40"/>
    <w:rsid w:val="00F362B6"/>
    <w:rsid w:val="00F36487"/>
    <w:rsid w:val="00F368A0"/>
    <w:rsid w:val="00F36DFD"/>
    <w:rsid w:val="00F37252"/>
    <w:rsid w:val="00F37409"/>
    <w:rsid w:val="00F37B1A"/>
    <w:rsid w:val="00F37C60"/>
    <w:rsid w:val="00F37ECC"/>
    <w:rsid w:val="00F40C8C"/>
    <w:rsid w:val="00F41070"/>
    <w:rsid w:val="00F41250"/>
    <w:rsid w:val="00F41446"/>
    <w:rsid w:val="00F4148E"/>
    <w:rsid w:val="00F41750"/>
    <w:rsid w:val="00F419CF"/>
    <w:rsid w:val="00F41EF7"/>
    <w:rsid w:val="00F42155"/>
    <w:rsid w:val="00F426F4"/>
    <w:rsid w:val="00F42B3B"/>
    <w:rsid w:val="00F42C39"/>
    <w:rsid w:val="00F42E75"/>
    <w:rsid w:val="00F436B6"/>
    <w:rsid w:val="00F436E8"/>
    <w:rsid w:val="00F43862"/>
    <w:rsid w:val="00F438BE"/>
    <w:rsid w:val="00F438FF"/>
    <w:rsid w:val="00F441AC"/>
    <w:rsid w:val="00F442CD"/>
    <w:rsid w:val="00F442E7"/>
    <w:rsid w:val="00F44870"/>
    <w:rsid w:val="00F451A9"/>
    <w:rsid w:val="00F4554C"/>
    <w:rsid w:val="00F4572A"/>
    <w:rsid w:val="00F45B1C"/>
    <w:rsid w:val="00F45C55"/>
    <w:rsid w:val="00F460FB"/>
    <w:rsid w:val="00F4651C"/>
    <w:rsid w:val="00F46AB9"/>
    <w:rsid w:val="00F46CD4"/>
    <w:rsid w:val="00F47264"/>
    <w:rsid w:val="00F47311"/>
    <w:rsid w:val="00F474FB"/>
    <w:rsid w:val="00F47505"/>
    <w:rsid w:val="00F50239"/>
    <w:rsid w:val="00F505F4"/>
    <w:rsid w:val="00F517E9"/>
    <w:rsid w:val="00F51A88"/>
    <w:rsid w:val="00F51A8B"/>
    <w:rsid w:val="00F5227A"/>
    <w:rsid w:val="00F5276D"/>
    <w:rsid w:val="00F528A2"/>
    <w:rsid w:val="00F52AC5"/>
    <w:rsid w:val="00F52BF4"/>
    <w:rsid w:val="00F53068"/>
    <w:rsid w:val="00F53095"/>
    <w:rsid w:val="00F53268"/>
    <w:rsid w:val="00F533F4"/>
    <w:rsid w:val="00F53448"/>
    <w:rsid w:val="00F5355B"/>
    <w:rsid w:val="00F53A8F"/>
    <w:rsid w:val="00F53E9E"/>
    <w:rsid w:val="00F53F96"/>
    <w:rsid w:val="00F541B6"/>
    <w:rsid w:val="00F54211"/>
    <w:rsid w:val="00F5460D"/>
    <w:rsid w:val="00F54711"/>
    <w:rsid w:val="00F54C00"/>
    <w:rsid w:val="00F54DC7"/>
    <w:rsid w:val="00F54F24"/>
    <w:rsid w:val="00F55148"/>
    <w:rsid w:val="00F553BE"/>
    <w:rsid w:val="00F562D6"/>
    <w:rsid w:val="00F56BD1"/>
    <w:rsid w:val="00F57479"/>
    <w:rsid w:val="00F57683"/>
    <w:rsid w:val="00F576C7"/>
    <w:rsid w:val="00F579A6"/>
    <w:rsid w:val="00F57AF5"/>
    <w:rsid w:val="00F60362"/>
    <w:rsid w:val="00F60373"/>
    <w:rsid w:val="00F603A1"/>
    <w:rsid w:val="00F60C06"/>
    <w:rsid w:val="00F61473"/>
    <w:rsid w:val="00F61812"/>
    <w:rsid w:val="00F61C06"/>
    <w:rsid w:val="00F61E32"/>
    <w:rsid w:val="00F62329"/>
    <w:rsid w:val="00F62CAC"/>
    <w:rsid w:val="00F62DE9"/>
    <w:rsid w:val="00F62EB9"/>
    <w:rsid w:val="00F62F53"/>
    <w:rsid w:val="00F635D2"/>
    <w:rsid w:val="00F63881"/>
    <w:rsid w:val="00F639EF"/>
    <w:rsid w:val="00F63C01"/>
    <w:rsid w:val="00F63E72"/>
    <w:rsid w:val="00F63F5B"/>
    <w:rsid w:val="00F6413E"/>
    <w:rsid w:val="00F64669"/>
    <w:rsid w:val="00F646BF"/>
    <w:rsid w:val="00F64CEB"/>
    <w:rsid w:val="00F6556F"/>
    <w:rsid w:val="00F6569D"/>
    <w:rsid w:val="00F65D39"/>
    <w:rsid w:val="00F66528"/>
    <w:rsid w:val="00F667A7"/>
    <w:rsid w:val="00F67171"/>
    <w:rsid w:val="00F67A35"/>
    <w:rsid w:val="00F67D64"/>
    <w:rsid w:val="00F67FEE"/>
    <w:rsid w:val="00F709D1"/>
    <w:rsid w:val="00F70F13"/>
    <w:rsid w:val="00F710E8"/>
    <w:rsid w:val="00F712D4"/>
    <w:rsid w:val="00F71A50"/>
    <w:rsid w:val="00F71B7F"/>
    <w:rsid w:val="00F72640"/>
    <w:rsid w:val="00F73AFB"/>
    <w:rsid w:val="00F73E47"/>
    <w:rsid w:val="00F73FF9"/>
    <w:rsid w:val="00F740C5"/>
    <w:rsid w:val="00F74788"/>
    <w:rsid w:val="00F747F6"/>
    <w:rsid w:val="00F74ACB"/>
    <w:rsid w:val="00F75049"/>
    <w:rsid w:val="00F75891"/>
    <w:rsid w:val="00F75C3C"/>
    <w:rsid w:val="00F76998"/>
    <w:rsid w:val="00F76A89"/>
    <w:rsid w:val="00F76CAC"/>
    <w:rsid w:val="00F771B7"/>
    <w:rsid w:val="00F772F0"/>
    <w:rsid w:val="00F77304"/>
    <w:rsid w:val="00F77608"/>
    <w:rsid w:val="00F7766E"/>
    <w:rsid w:val="00F77C69"/>
    <w:rsid w:val="00F81C28"/>
    <w:rsid w:val="00F81CF2"/>
    <w:rsid w:val="00F81EED"/>
    <w:rsid w:val="00F82121"/>
    <w:rsid w:val="00F821FE"/>
    <w:rsid w:val="00F8297A"/>
    <w:rsid w:val="00F82981"/>
    <w:rsid w:val="00F82F3C"/>
    <w:rsid w:val="00F83025"/>
    <w:rsid w:val="00F830F7"/>
    <w:rsid w:val="00F834C6"/>
    <w:rsid w:val="00F838EC"/>
    <w:rsid w:val="00F83961"/>
    <w:rsid w:val="00F83D07"/>
    <w:rsid w:val="00F840B8"/>
    <w:rsid w:val="00F8416F"/>
    <w:rsid w:val="00F8419B"/>
    <w:rsid w:val="00F8423D"/>
    <w:rsid w:val="00F84320"/>
    <w:rsid w:val="00F84B82"/>
    <w:rsid w:val="00F84DFF"/>
    <w:rsid w:val="00F84F1F"/>
    <w:rsid w:val="00F852B2"/>
    <w:rsid w:val="00F857D4"/>
    <w:rsid w:val="00F85C2E"/>
    <w:rsid w:val="00F85EC3"/>
    <w:rsid w:val="00F85F79"/>
    <w:rsid w:val="00F864EB"/>
    <w:rsid w:val="00F86683"/>
    <w:rsid w:val="00F868BC"/>
    <w:rsid w:val="00F86932"/>
    <w:rsid w:val="00F86BEE"/>
    <w:rsid w:val="00F86ED6"/>
    <w:rsid w:val="00F86EEC"/>
    <w:rsid w:val="00F86F3C"/>
    <w:rsid w:val="00F87067"/>
    <w:rsid w:val="00F87BBE"/>
    <w:rsid w:val="00F87F74"/>
    <w:rsid w:val="00F9007C"/>
    <w:rsid w:val="00F90110"/>
    <w:rsid w:val="00F902F0"/>
    <w:rsid w:val="00F90493"/>
    <w:rsid w:val="00F90619"/>
    <w:rsid w:val="00F9078B"/>
    <w:rsid w:val="00F90981"/>
    <w:rsid w:val="00F90C6E"/>
    <w:rsid w:val="00F90FB0"/>
    <w:rsid w:val="00F91866"/>
    <w:rsid w:val="00F91F5A"/>
    <w:rsid w:val="00F91F7B"/>
    <w:rsid w:val="00F91FC2"/>
    <w:rsid w:val="00F9215A"/>
    <w:rsid w:val="00F923B8"/>
    <w:rsid w:val="00F92774"/>
    <w:rsid w:val="00F92A2B"/>
    <w:rsid w:val="00F92F39"/>
    <w:rsid w:val="00F93189"/>
    <w:rsid w:val="00F93282"/>
    <w:rsid w:val="00F936CA"/>
    <w:rsid w:val="00F938C5"/>
    <w:rsid w:val="00F9413F"/>
    <w:rsid w:val="00F94920"/>
    <w:rsid w:val="00F953C8"/>
    <w:rsid w:val="00F9556A"/>
    <w:rsid w:val="00F95A29"/>
    <w:rsid w:val="00F95C50"/>
    <w:rsid w:val="00F96548"/>
    <w:rsid w:val="00F96966"/>
    <w:rsid w:val="00F9718D"/>
    <w:rsid w:val="00F971E1"/>
    <w:rsid w:val="00F972F1"/>
    <w:rsid w:val="00F973C3"/>
    <w:rsid w:val="00F97595"/>
    <w:rsid w:val="00F97A8C"/>
    <w:rsid w:val="00F97CDB"/>
    <w:rsid w:val="00FA00DE"/>
    <w:rsid w:val="00FA07A7"/>
    <w:rsid w:val="00FA0AAB"/>
    <w:rsid w:val="00FA1213"/>
    <w:rsid w:val="00FA1653"/>
    <w:rsid w:val="00FA1C80"/>
    <w:rsid w:val="00FA1F82"/>
    <w:rsid w:val="00FA2167"/>
    <w:rsid w:val="00FA2611"/>
    <w:rsid w:val="00FA29ED"/>
    <w:rsid w:val="00FA2C8A"/>
    <w:rsid w:val="00FA3CB6"/>
    <w:rsid w:val="00FA4541"/>
    <w:rsid w:val="00FA4D8A"/>
    <w:rsid w:val="00FA516C"/>
    <w:rsid w:val="00FA54C2"/>
    <w:rsid w:val="00FA54D6"/>
    <w:rsid w:val="00FA54F4"/>
    <w:rsid w:val="00FA5CC7"/>
    <w:rsid w:val="00FA631C"/>
    <w:rsid w:val="00FA6CA6"/>
    <w:rsid w:val="00FA7164"/>
    <w:rsid w:val="00FA7689"/>
    <w:rsid w:val="00FA7CBD"/>
    <w:rsid w:val="00FB0067"/>
    <w:rsid w:val="00FB0433"/>
    <w:rsid w:val="00FB0440"/>
    <w:rsid w:val="00FB0668"/>
    <w:rsid w:val="00FB0721"/>
    <w:rsid w:val="00FB07EA"/>
    <w:rsid w:val="00FB0ABA"/>
    <w:rsid w:val="00FB0ADE"/>
    <w:rsid w:val="00FB0BDA"/>
    <w:rsid w:val="00FB0EF5"/>
    <w:rsid w:val="00FB1788"/>
    <w:rsid w:val="00FB1B59"/>
    <w:rsid w:val="00FB1EAC"/>
    <w:rsid w:val="00FB22B6"/>
    <w:rsid w:val="00FB2883"/>
    <w:rsid w:val="00FB2BBF"/>
    <w:rsid w:val="00FB2DFF"/>
    <w:rsid w:val="00FB2F84"/>
    <w:rsid w:val="00FB30C6"/>
    <w:rsid w:val="00FB35DC"/>
    <w:rsid w:val="00FB36BB"/>
    <w:rsid w:val="00FB49D7"/>
    <w:rsid w:val="00FB4AE7"/>
    <w:rsid w:val="00FB4EDA"/>
    <w:rsid w:val="00FB56A6"/>
    <w:rsid w:val="00FB56CF"/>
    <w:rsid w:val="00FB598D"/>
    <w:rsid w:val="00FB65C8"/>
    <w:rsid w:val="00FB6617"/>
    <w:rsid w:val="00FB66C4"/>
    <w:rsid w:val="00FB6773"/>
    <w:rsid w:val="00FB69AD"/>
    <w:rsid w:val="00FB6CA4"/>
    <w:rsid w:val="00FB6EAB"/>
    <w:rsid w:val="00FB7556"/>
    <w:rsid w:val="00FB7B7B"/>
    <w:rsid w:val="00FB7BDC"/>
    <w:rsid w:val="00FB7C4C"/>
    <w:rsid w:val="00FC02DA"/>
    <w:rsid w:val="00FC1582"/>
    <w:rsid w:val="00FC15FA"/>
    <w:rsid w:val="00FC1B09"/>
    <w:rsid w:val="00FC1C8A"/>
    <w:rsid w:val="00FC2220"/>
    <w:rsid w:val="00FC2677"/>
    <w:rsid w:val="00FC29E7"/>
    <w:rsid w:val="00FC2C99"/>
    <w:rsid w:val="00FC3E51"/>
    <w:rsid w:val="00FC4252"/>
    <w:rsid w:val="00FC46BC"/>
    <w:rsid w:val="00FC47EC"/>
    <w:rsid w:val="00FC51DE"/>
    <w:rsid w:val="00FC5481"/>
    <w:rsid w:val="00FC569C"/>
    <w:rsid w:val="00FC5743"/>
    <w:rsid w:val="00FC5D98"/>
    <w:rsid w:val="00FC5F76"/>
    <w:rsid w:val="00FC638C"/>
    <w:rsid w:val="00FC6A59"/>
    <w:rsid w:val="00FC6E08"/>
    <w:rsid w:val="00FC7108"/>
    <w:rsid w:val="00FC7142"/>
    <w:rsid w:val="00FC76E9"/>
    <w:rsid w:val="00FC7739"/>
    <w:rsid w:val="00FC7A88"/>
    <w:rsid w:val="00FC7AC6"/>
    <w:rsid w:val="00FC7B6E"/>
    <w:rsid w:val="00FC7EB0"/>
    <w:rsid w:val="00FD06D6"/>
    <w:rsid w:val="00FD08A0"/>
    <w:rsid w:val="00FD0B57"/>
    <w:rsid w:val="00FD0C62"/>
    <w:rsid w:val="00FD1D07"/>
    <w:rsid w:val="00FD2100"/>
    <w:rsid w:val="00FD3540"/>
    <w:rsid w:val="00FD3665"/>
    <w:rsid w:val="00FD3AC1"/>
    <w:rsid w:val="00FD3D33"/>
    <w:rsid w:val="00FD44C7"/>
    <w:rsid w:val="00FD4A9F"/>
    <w:rsid w:val="00FD4B18"/>
    <w:rsid w:val="00FD4DBD"/>
    <w:rsid w:val="00FD4FB9"/>
    <w:rsid w:val="00FD53B0"/>
    <w:rsid w:val="00FD578B"/>
    <w:rsid w:val="00FD5B55"/>
    <w:rsid w:val="00FD5E4D"/>
    <w:rsid w:val="00FD5FF5"/>
    <w:rsid w:val="00FD60FC"/>
    <w:rsid w:val="00FD6172"/>
    <w:rsid w:val="00FD64D9"/>
    <w:rsid w:val="00FD6A48"/>
    <w:rsid w:val="00FD6BFF"/>
    <w:rsid w:val="00FD6E7A"/>
    <w:rsid w:val="00FD7025"/>
    <w:rsid w:val="00FD70B0"/>
    <w:rsid w:val="00FD7B2F"/>
    <w:rsid w:val="00FE0259"/>
    <w:rsid w:val="00FE0478"/>
    <w:rsid w:val="00FE059B"/>
    <w:rsid w:val="00FE0937"/>
    <w:rsid w:val="00FE0F4B"/>
    <w:rsid w:val="00FE1560"/>
    <w:rsid w:val="00FE2069"/>
    <w:rsid w:val="00FE3134"/>
    <w:rsid w:val="00FE380C"/>
    <w:rsid w:val="00FE405E"/>
    <w:rsid w:val="00FE4166"/>
    <w:rsid w:val="00FE47CD"/>
    <w:rsid w:val="00FE4850"/>
    <w:rsid w:val="00FE4AC6"/>
    <w:rsid w:val="00FE4D5B"/>
    <w:rsid w:val="00FE4F2D"/>
    <w:rsid w:val="00FE4F3C"/>
    <w:rsid w:val="00FE4F80"/>
    <w:rsid w:val="00FE54EA"/>
    <w:rsid w:val="00FE5600"/>
    <w:rsid w:val="00FE5E59"/>
    <w:rsid w:val="00FE61D1"/>
    <w:rsid w:val="00FE62BB"/>
    <w:rsid w:val="00FE63A4"/>
    <w:rsid w:val="00FE68A8"/>
    <w:rsid w:val="00FE6924"/>
    <w:rsid w:val="00FE69FD"/>
    <w:rsid w:val="00FE6B33"/>
    <w:rsid w:val="00FE6C20"/>
    <w:rsid w:val="00FE6C6E"/>
    <w:rsid w:val="00FE7385"/>
    <w:rsid w:val="00FE75AA"/>
    <w:rsid w:val="00FE7C2A"/>
    <w:rsid w:val="00FF0088"/>
    <w:rsid w:val="00FF05FC"/>
    <w:rsid w:val="00FF0F69"/>
    <w:rsid w:val="00FF11F1"/>
    <w:rsid w:val="00FF1928"/>
    <w:rsid w:val="00FF1AB2"/>
    <w:rsid w:val="00FF1D30"/>
    <w:rsid w:val="00FF2167"/>
    <w:rsid w:val="00FF256C"/>
    <w:rsid w:val="00FF27ED"/>
    <w:rsid w:val="00FF2986"/>
    <w:rsid w:val="00FF2A4D"/>
    <w:rsid w:val="00FF3428"/>
    <w:rsid w:val="00FF369B"/>
    <w:rsid w:val="00FF36B3"/>
    <w:rsid w:val="00FF3B21"/>
    <w:rsid w:val="00FF3FD8"/>
    <w:rsid w:val="00FF4063"/>
    <w:rsid w:val="00FF4135"/>
    <w:rsid w:val="00FF43DF"/>
    <w:rsid w:val="00FF483F"/>
    <w:rsid w:val="00FF4C92"/>
    <w:rsid w:val="00FF4E35"/>
    <w:rsid w:val="00FF4F18"/>
    <w:rsid w:val="00FF53C9"/>
    <w:rsid w:val="00FF63E4"/>
    <w:rsid w:val="00FF663C"/>
    <w:rsid w:val="00FF66BD"/>
    <w:rsid w:val="00FF6F1A"/>
    <w:rsid w:val="011C74B2"/>
    <w:rsid w:val="01C619D2"/>
    <w:rsid w:val="027B639D"/>
    <w:rsid w:val="029568E7"/>
    <w:rsid w:val="035003D6"/>
    <w:rsid w:val="04422E6B"/>
    <w:rsid w:val="04EF18DF"/>
    <w:rsid w:val="0519262A"/>
    <w:rsid w:val="05E059EC"/>
    <w:rsid w:val="05E656E9"/>
    <w:rsid w:val="091B7041"/>
    <w:rsid w:val="09C21D61"/>
    <w:rsid w:val="0AC879AB"/>
    <w:rsid w:val="0B451036"/>
    <w:rsid w:val="0DC55FC0"/>
    <w:rsid w:val="10B97677"/>
    <w:rsid w:val="11401CDB"/>
    <w:rsid w:val="143D5AF1"/>
    <w:rsid w:val="171F56EB"/>
    <w:rsid w:val="1819270C"/>
    <w:rsid w:val="190F5991"/>
    <w:rsid w:val="1A383CBF"/>
    <w:rsid w:val="1A7E151C"/>
    <w:rsid w:val="1CA563EF"/>
    <w:rsid w:val="1CB20CF1"/>
    <w:rsid w:val="1D6844D5"/>
    <w:rsid w:val="213A4B92"/>
    <w:rsid w:val="21886640"/>
    <w:rsid w:val="21BF72FA"/>
    <w:rsid w:val="23AA7EAF"/>
    <w:rsid w:val="26056817"/>
    <w:rsid w:val="266F4701"/>
    <w:rsid w:val="27A16FF0"/>
    <w:rsid w:val="289A61FA"/>
    <w:rsid w:val="2AB36FA2"/>
    <w:rsid w:val="2D0F5CF4"/>
    <w:rsid w:val="2D383323"/>
    <w:rsid w:val="2E7154B5"/>
    <w:rsid w:val="2F19217E"/>
    <w:rsid w:val="2FA00EA9"/>
    <w:rsid w:val="325D0E38"/>
    <w:rsid w:val="32B73692"/>
    <w:rsid w:val="32BC7D33"/>
    <w:rsid w:val="33FC71AA"/>
    <w:rsid w:val="34251F31"/>
    <w:rsid w:val="34FB0C3B"/>
    <w:rsid w:val="356715F8"/>
    <w:rsid w:val="36346070"/>
    <w:rsid w:val="37E566EF"/>
    <w:rsid w:val="38C14966"/>
    <w:rsid w:val="391E546A"/>
    <w:rsid w:val="394C01BD"/>
    <w:rsid w:val="396E1AD1"/>
    <w:rsid w:val="398904C6"/>
    <w:rsid w:val="3B9B4A91"/>
    <w:rsid w:val="3BC44ED4"/>
    <w:rsid w:val="3D655001"/>
    <w:rsid w:val="3D914055"/>
    <w:rsid w:val="3E8F6E8B"/>
    <w:rsid w:val="3EE82BCD"/>
    <w:rsid w:val="3EF510CC"/>
    <w:rsid w:val="3FB22828"/>
    <w:rsid w:val="403A340E"/>
    <w:rsid w:val="40AD50FD"/>
    <w:rsid w:val="41B0762E"/>
    <w:rsid w:val="42223725"/>
    <w:rsid w:val="44A5003C"/>
    <w:rsid w:val="46121C35"/>
    <w:rsid w:val="46267C76"/>
    <w:rsid w:val="4689797D"/>
    <w:rsid w:val="46903F5E"/>
    <w:rsid w:val="482E7E64"/>
    <w:rsid w:val="48887CEC"/>
    <w:rsid w:val="4A8F4DC9"/>
    <w:rsid w:val="4C1B4FA3"/>
    <w:rsid w:val="4D8B54AE"/>
    <w:rsid w:val="4F380BAC"/>
    <w:rsid w:val="4F673E69"/>
    <w:rsid w:val="4FAD0894"/>
    <w:rsid w:val="507E7873"/>
    <w:rsid w:val="56182F10"/>
    <w:rsid w:val="569D1C00"/>
    <w:rsid w:val="57185AC9"/>
    <w:rsid w:val="57A44CA1"/>
    <w:rsid w:val="593803B1"/>
    <w:rsid w:val="59A42311"/>
    <w:rsid w:val="5EDF7683"/>
    <w:rsid w:val="63D3661C"/>
    <w:rsid w:val="64F54970"/>
    <w:rsid w:val="65484E76"/>
    <w:rsid w:val="65BE72E4"/>
    <w:rsid w:val="65F65310"/>
    <w:rsid w:val="66060BF9"/>
    <w:rsid w:val="66061D39"/>
    <w:rsid w:val="66B137F8"/>
    <w:rsid w:val="679561C0"/>
    <w:rsid w:val="67F208BA"/>
    <w:rsid w:val="68E75BA5"/>
    <w:rsid w:val="68EE2307"/>
    <w:rsid w:val="692355DF"/>
    <w:rsid w:val="69F457FF"/>
    <w:rsid w:val="6A9519CB"/>
    <w:rsid w:val="6BAB1F11"/>
    <w:rsid w:val="6C3140AA"/>
    <w:rsid w:val="6E837CDE"/>
    <w:rsid w:val="70212176"/>
    <w:rsid w:val="71FA7C7A"/>
    <w:rsid w:val="72E60CA8"/>
    <w:rsid w:val="72EE7CB6"/>
    <w:rsid w:val="733E001A"/>
    <w:rsid w:val="77184E78"/>
    <w:rsid w:val="78FE3883"/>
    <w:rsid w:val="7BB13288"/>
    <w:rsid w:val="7CC81F31"/>
    <w:rsid w:val="7D654DE4"/>
    <w:rsid w:val="7D9F0875"/>
    <w:rsid w:val="7F5002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endarrow="block" endarrowwidth="narrow" endarrowlength="long"/>
    </o:shapedefaults>
    <o:shapelayout v:ext="edit">
      <o:idmap v:ext="edit" data="2,3,4,5,6,7"/>
      <o:rules v:ext="edit">
        <o:r id="V:Rule1" type="connector" idref="#_x0000_s7363"/>
        <o:r id="V:Rule2" type="connector" idref="#_x0000_s7364"/>
        <o:r id="V:Rule3" type="connector" idref="#_x0000_s7365"/>
        <o:r id="V:Rule4" type="connector" idref="#_x0000_s7366"/>
        <o:r id="V:Rule5" type="connector" idref="#_x0000_s7367"/>
        <o:r id="V:Rule6" type="connector" idref="#_x0000_s7369"/>
        <o:r id="V:Rule7" type="connector" idref="#_x0000_s7370"/>
        <o:r id="V:Rule8" type="connector" idref="#_x0000_s7371"/>
        <o:r id="V:Rule9" type="connector" idref="#_x0000_s7372"/>
        <o:r id="V:Rule10" type="connector" idref="#_x0000_s7373"/>
        <o:r id="V:Rule11" type="connector" idref="#_x0000_s7374"/>
        <o:r id="V:Rule12" type="connector" idref="#_x0000_s7375"/>
        <o:r id="V:Rule13" type="connector" idref="#_x0000_s7378"/>
        <o:r id="V:Rule14" type="connector" idref="#_x0000_s7380"/>
        <o:r id="V:Rule15" type="connector" idref="#_x0000_s7382"/>
        <o:r id="V:Rule16" type="connector" idref="#_x0000_s7390"/>
        <o:r id="V:Rule17" type="connector" idref="#_x0000_s7416"/>
        <o:r id="V:Rule18" type="connector" idref="#_x0000_s7418"/>
        <o:r id="V:Rule19" type="connector" idref="#_x0000_s7506"/>
        <o:r id="V:Rule20" type="connector" idref="#_x0000_s7507"/>
        <o:r id="V:Rule21" type="connector" idref="#_x0000_s7508"/>
        <o:r id="V:Rule22" type="connector" idref="#_x0000_s7510"/>
        <o:r id="V:Rule23" type="connector" idref="#_x0000_s7511"/>
        <o:r id="V:Rule24" type="connector" idref="#_x0000_s7512"/>
        <o:r id="V:Rule25" type="connector" idref="#_x0000_s7513"/>
        <o:r id="V:Rule26" type="connector" idref="#_x0000_s7515"/>
        <o:r id="V:Rule27" type="connector" idref="#_x0000_s7516"/>
        <o:r id="V:Rule28" type="connector" idref="#_x0000_s7517"/>
        <o:r id="V:Rule29" type="connector" idref="#_x0000_s7518"/>
        <o:r id="V:Rule30" type="connector" idref="#_x0000_s7519"/>
        <o:r id="V:Rule31" type="connector" idref="#_x0000_s7520"/>
        <o:r id="V:Rule32" type="connector" idref="#_x0000_s7523"/>
        <o:r id="V:Rule33" type="connector" idref="#_x0000_s7525"/>
        <o:r id="V:Rule34" type="connector" idref="#_x0000_s7527"/>
        <o:r id="V:Rule35" type="connector" idref="#_x0000_s7529"/>
        <o:r id="V:Rule36" type="connector" idref="#_x0000_s7530"/>
        <o:r id="V:Rule37" type="connector" idref="#_x0000_s7531"/>
        <o:r id="V:Rule38" type="connector" idref="#_x0000_s7532"/>
        <o:r id="V:Rule39" type="connector" idref="#_x0000_s7558"/>
        <o:r id="V:Rule40" type="connector" idref="#_x0000_s7565"/>
        <o:r id="V:Rule41" type="connector" idref="#_x0000_s7566"/>
        <o:r id="V:Rule42" type="connector" idref="#_x0000_s7569"/>
        <o:r id="V:Rule43" type="connector" idref="#_x0000_s7570"/>
        <o:r id="V:Rule44" type="connector" idref="#_x0000_s7573"/>
        <o:r id="V:Rule45" type="connector" idref="#_x0000_s7579"/>
        <o:r id="V:Rule46" type="connector" idref="#_x0000_s7584"/>
        <o:r id="V:Rule47" type="connector" idref="#_x0000_s7631"/>
        <o:r id="V:Rule48" type="connector" idref="#_x0000_s7632"/>
        <o:r id="V:Rule49" type="connector" idref="#_x0000_s7633"/>
        <o:r id="V:Rule50" type="connector" idref="#_x0000_s7634"/>
        <o:r id="V:Rule51" type="connector" idref="#_x0000_s7636"/>
        <o:r id="V:Rule52" type="connector" idref="#_x0000_s7637"/>
        <o:r id="V:Rule53" type="connector" idref="#_x0000_s7639"/>
        <o:r id="V:Rule54" type="connector" idref="#_x0000_s7640"/>
        <o:r id="V:Rule55" type="connector" idref="#_x0000_s7641"/>
        <o:r id="V:Rule56" type="connector" idref="#_x0000_s7642"/>
        <o:r id="V:Rule57" type="connector" idref="#_x0000_s7652"/>
        <o:r id="V:Rule58" type="connector" idref="#_x0000_s7653"/>
        <o:r id="V:Rule59" type="connector" idref="#_x0000_s7656"/>
        <o:r id="V:Rule60" type="connector" idref="#_x0000_s7661"/>
        <o:r id="V:Rule61" type="connector" idref="#_x0000_s7664"/>
        <o:r id="V:Rule62" type="connector" idref="#_x0000_s7666"/>
        <o:r id="V:Rule63" type="connector" idref="#_x0000_s7780"/>
        <o:r id="V:Rule64" type="connector" idref="#_x0000_s7781"/>
        <o:r id="V:Rule65" type="connector" idref="#_x0000_s7782"/>
        <o:r id="V:Rule66" type="connector" idref="#_x0000_s7783"/>
        <o:r id="V:Rule67" type="connector" idref="#_x0000_s7784"/>
        <o:r id="V:Rule68" type="connector" idref="#_x0000_s7785"/>
        <o:r id="V:Rule69" type="connector" idref="#_x0000_s7791"/>
        <o:r id="V:Rule70" type="connector" idref="#_x0000_s7794"/>
        <o:r id="V:Rule71" type="connector" idref="#_x0000_s7798"/>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99"/>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8"/>
    <w:autoRedefine/>
    <w:qFormat/>
    <w:uiPriority w:val="0"/>
    <w:pPr>
      <w:keepNext/>
      <w:keepLines/>
      <w:outlineLvl w:val="1"/>
    </w:pPr>
    <w:rPr>
      <w:rFonts w:ascii="Arial" w:hAnsi="Arial" w:eastAsia="黑体"/>
      <w:b/>
      <w:bCs/>
      <w:sz w:val="28"/>
      <w:szCs w:val="32"/>
    </w:rPr>
  </w:style>
  <w:style w:type="paragraph" w:styleId="4">
    <w:name w:val="heading 3"/>
    <w:basedOn w:val="1"/>
    <w:next w:val="1"/>
    <w:link w:val="191"/>
    <w:autoRedefine/>
    <w:semiHidden/>
    <w:unhideWhenUsed/>
    <w:qFormat/>
    <w:uiPriority w:val="9"/>
    <w:pPr>
      <w:keepNext/>
      <w:keepLines/>
      <w:spacing w:before="260" w:after="260" w:line="416" w:lineRule="auto"/>
      <w:outlineLvl w:val="2"/>
    </w:pPr>
    <w:rPr>
      <w:b/>
      <w:bCs/>
      <w:sz w:val="32"/>
      <w:szCs w:val="32"/>
    </w:rPr>
  </w:style>
  <w:style w:type="character" w:default="1" w:styleId="37">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semiHidden/>
    <w:qFormat/>
    <w:uiPriority w:val="0"/>
    <w:pPr>
      <w:ind w:left="1260"/>
      <w:jc w:val="left"/>
    </w:pPr>
    <w:rPr>
      <w:sz w:val="18"/>
      <w:szCs w:val="18"/>
    </w:rPr>
  </w:style>
  <w:style w:type="paragraph" w:styleId="6">
    <w:name w:val="Normal Indent"/>
    <w:basedOn w:val="1"/>
    <w:link w:val="88"/>
    <w:autoRedefine/>
    <w:qFormat/>
    <w:uiPriority w:val="0"/>
    <w:pPr>
      <w:ind w:firstLine="420"/>
    </w:pPr>
    <w:rPr>
      <w:rFonts w:ascii="宋体"/>
      <w:kern w:val="0"/>
      <w:sz w:val="26"/>
      <w:szCs w:val="20"/>
    </w:rPr>
  </w:style>
  <w:style w:type="paragraph" w:styleId="7">
    <w:name w:val="Document Map"/>
    <w:basedOn w:val="1"/>
    <w:link w:val="84"/>
    <w:autoRedefine/>
    <w:unhideWhenUsed/>
    <w:qFormat/>
    <w:uiPriority w:val="99"/>
    <w:rPr>
      <w:rFonts w:ascii="宋体"/>
      <w:sz w:val="18"/>
      <w:szCs w:val="18"/>
    </w:rPr>
  </w:style>
  <w:style w:type="paragraph" w:styleId="8">
    <w:name w:val="annotation text"/>
    <w:basedOn w:val="1"/>
    <w:link w:val="69"/>
    <w:autoRedefine/>
    <w:qFormat/>
    <w:uiPriority w:val="99"/>
    <w:pPr>
      <w:jc w:val="left"/>
    </w:pPr>
  </w:style>
  <w:style w:type="paragraph" w:styleId="9">
    <w:name w:val="Body Text"/>
    <w:basedOn w:val="1"/>
    <w:link w:val="216"/>
    <w:autoRedefine/>
    <w:qFormat/>
    <w:uiPriority w:val="0"/>
    <w:pPr>
      <w:spacing w:after="120"/>
    </w:pPr>
  </w:style>
  <w:style w:type="paragraph" w:styleId="10">
    <w:name w:val="Body Text Indent"/>
    <w:basedOn w:val="1"/>
    <w:link w:val="198"/>
    <w:autoRedefine/>
    <w:qFormat/>
    <w:uiPriority w:val="0"/>
    <w:pPr>
      <w:spacing w:after="120"/>
      <w:ind w:left="420" w:leftChars="200"/>
    </w:pPr>
    <w:rPr>
      <w:szCs w:val="24"/>
    </w:rPr>
  </w:style>
  <w:style w:type="paragraph" w:styleId="11">
    <w:name w:val="toc 5"/>
    <w:basedOn w:val="1"/>
    <w:next w:val="1"/>
    <w:autoRedefine/>
    <w:semiHidden/>
    <w:qFormat/>
    <w:uiPriority w:val="0"/>
    <w:pPr>
      <w:ind w:left="840"/>
      <w:jc w:val="left"/>
    </w:pPr>
    <w:rPr>
      <w:sz w:val="18"/>
      <w:szCs w:val="18"/>
    </w:rPr>
  </w:style>
  <w:style w:type="paragraph" w:styleId="12">
    <w:name w:val="toc 3"/>
    <w:basedOn w:val="1"/>
    <w:next w:val="1"/>
    <w:autoRedefine/>
    <w:semiHidden/>
    <w:qFormat/>
    <w:uiPriority w:val="0"/>
    <w:pPr>
      <w:ind w:left="420"/>
      <w:jc w:val="left"/>
    </w:pPr>
    <w:rPr>
      <w:i/>
      <w:iCs/>
      <w:sz w:val="20"/>
      <w:szCs w:val="20"/>
    </w:rPr>
  </w:style>
  <w:style w:type="paragraph" w:styleId="13">
    <w:name w:val="Plain Text"/>
    <w:basedOn w:val="1"/>
    <w:link w:val="82"/>
    <w:autoRedefine/>
    <w:qFormat/>
    <w:uiPriority w:val="0"/>
    <w:rPr>
      <w:rFonts w:ascii="宋体" w:hAnsi="Courier New"/>
      <w:color w:val="000000"/>
      <w:kern w:val="0"/>
      <w:sz w:val="26"/>
      <w:szCs w:val="20"/>
    </w:rPr>
  </w:style>
  <w:style w:type="paragraph" w:styleId="14">
    <w:name w:val="toc 8"/>
    <w:basedOn w:val="1"/>
    <w:next w:val="1"/>
    <w:autoRedefine/>
    <w:semiHidden/>
    <w:qFormat/>
    <w:uiPriority w:val="0"/>
    <w:pPr>
      <w:ind w:left="1470"/>
      <w:jc w:val="left"/>
    </w:pPr>
    <w:rPr>
      <w:sz w:val="18"/>
      <w:szCs w:val="18"/>
    </w:rPr>
  </w:style>
  <w:style w:type="paragraph" w:styleId="15">
    <w:name w:val="Date"/>
    <w:basedOn w:val="1"/>
    <w:next w:val="1"/>
    <w:autoRedefine/>
    <w:qFormat/>
    <w:uiPriority w:val="0"/>
    <w:rPr>
      <w:sz w:val="24"/>
      <w:szCs w:val="20"/>
    </w:rPr>
  </w:style>
  <w:style w:type="paragraph" w:styleId="16">
    <w:name w:val="Body Text Indent 2"/>
    <w:basedOn w:val="1"/>
    <w:link w:val="233"/>
    <w:autoRedefine/>
    <w:qFormat/>
    <w:uiPriority w:val="0"/>
    <w:pPr>
      <w:spacing w:after="120" w:line="480" w:lineRule="auto"/>
      <w:ind w:left="420" w:leftChars="200"/>
    </w:pPr>
    <w:rPr>
      <w:szCs w:val="24"/>
    </w:rPr>
  </w:style>
  <w:style w:type="paragraph" w:styleId="17">
    <w:name w:val="Balloon Text"/>
    <w:basedOn w:val="1"/>
    <w:link w:val="80"/>
    <w:autoRedefine/>
    <w:unhideWhenUsed/>
    <w:qFormat/>
    <w:uiPriority w:val="99"/>
    <w:rPr>
      <w:kern w:val="0"/>
      <w:sz w:val="18"/>
      <w:szCs w:val="18"/>
    </w:rPr>
  </w:style>
  <w:style w:type="paragraph" w:styleId="18">
    <w:name w:val="footer"/>
    <w:basedOn w:val="1"/>
    <w:link w:val="85"/>
    <w:autoRedefine/>
    <w:unhideWhenUsed/>
    <w:qFormat/>
    <w:uiPriority w:val="99"/>
    <w:pPr>
      <w:tabs>
        <w:tab w:val="center" w:pos="4153"/>
        <w:tab w:val="right" w:pos="8306"/>
      </w:tabs>
      <w:snapToGrid w:val="0"/>
      <w:jc w:val="left"/>
    </w:pPr>
    <w:rPr>
      <w:kern w:val="0"/>
      <w:sz w:val="18"/>
      <w:szCs w:val="18"/>
    </w:rPr>
  </w:style>
  <w:style w:type="paragraph" w:styleId="19">
    <w:name w:val="header"/>
    <w:basedOn w:val="1"/>
    <w:link w:val="87"/>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semiHidden/>
    <w:qFormat/>
    <w:uiPriority w:val="0"/>
    <w:pPr>
      <w:spacing w:before="120" w:after="120"/>
      <w:jc w:val="left"/>
    </w:pPr>
    <w:rPr>
      <w:b/>
      <w:bCs/>
      <w:caps/>
      <w:sz w:val="20"/>
      <w:szCs w:val="20"/>
    </w:rPr>
  </w:style>
  <w:style w:type="paragraph" w:styleId="21">
    <w:name w:val="toc 4"/>
    <w:basedOn w:val="1"/>
    <w:next w:val="1"/>
    <w:autoRedefine/>
    <w:semiHidden/>
    <w:qFormat/>
    <w:uiPriority w:val="0"/>
    <w:pPr>
      <w:ind w:left="630"/>
      <w:jc w:val="left"/>
    </w:pPr>
    <w:rPr>
      <w:sz w:val="18"/>
      <w:szCs w:val="18"/>
    </w:rPr>
  </w:style>
  <w:style w:type="paragraph" w:styleId="22">
    <w:name w:val="toc 6"/>
    <w:basedOn w:val="1"/>
    <w:next w:val="1"/>
    <w:autoRedefine/>
    <w:semiHidden/>
    <w:qFormat/>
    <w:uiPriority w:val="0"/>
    <w:pPr>
      <w:ind w:left="1050"/>
      <w:jc w:val="left"/>
    </w:pPr>
    <w:rPr>
      <w:sz w:val="18"/>
      <w:szCs w:val="18"/>
    </w:rPr>
  </w:style>
  <w:style w:type="paragraph" w:styleId="23">
    <w:name w:val="Body Text Indent 3"/>
    <w:basedOn w:val="1"/>
    <w:link w:val="76"/>
    <w:autoRedefine/>
    <w:qFormat/>
    <w:uiPriority w:val="0"/>
    <w:pPr>
      <w:spacing w:after="120"/>
      <w:ind w:left="420" w:leftChars="200"/>
    </w:pPr>
    <w:rPr>
      <w:sz w:val="16"/>
      <w:szCs w:val="16"/>
    </w:rPr>
  </w:style>
  <w:style w:type="paragraph" w:styleId="24">
    <w:name w:val="toc 2"/>
    <w:basedOn w:val="1"/>
    <w:next w:val="1"/>
    <w:autoRedefine/>
    <w:semiHidden/>
    <w:qFormat/>
    <w:uiPriority w:val="0"/>
    <w:pPr>
      <w:ind w:left="210"/>
      <w:jc w:val="left"/>
    </w:pPr>
    <w:rPr>
      <w:smallCaps/>
      <w:sz w:val="20"/>
      <w:szCs w:val="20"/>
    </w:rPr>
  </w:style>
  <w:style w:type="paragraph" w:styleId="25">
    <w:name w:val="toc 9"/>
    <w:basedOn w:val="1"/>
    <w:next w:val="1"/>
    <w:autoRedefine/>
    <w:semiHidden/>
    <w:qFormat/>
    <w:uiPriority w:val="0"/>
    <w:pPr>
      <w:ind w:left="1680"/>
      <w:jc w:val="left"/>
    </w:pPr>
    <w:rPr>
      <w:sz w:val="18"/>
      <w:szCs w:val="18"/>
    </w:rPr>
  </w:style>
  <w:style w:type="paragraph" w:styleId="26">
    <w:name w:val="Body Text 2"/>
    <w:basedOn w:val="1"/>
    <w:autoRedefine/>
    <w:qFormat/>
    <w:uiPriority w:val="0"/>
    <w:pPr>
      <w:spacing w:after="120" w:line="480" w:lineRule="auto"/>
    </w:pPr>
  </w:style>
  <w:style w:type="paragraph" w:styleId="27">
    <w:name w:val="HTML Preformatted"/>
    <w:basedOn w:val="1"/>
    <w:link w:val="7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28">
    <w:name w:val="Normal (Web)"/>
    <w:basedOn w:val="1"/>
    <w:link w:val="230"/>
    <w:autoRedefine/>
    <w:unhideWhenUsed/>
    <w:qFormat/>
    <w:uiPriority w:val="0"/>
    <w:pPr>
      <w:widowControl/>
      <w:spacing w:before="100" w:beforeAutospacing="1" w:after="100" w:afterAutospacing="1"/>
      <w:jc w:val="left"/>
    </w:pPr>
    <w:rPr>
      <w:rFonts w:ascii="宋体" w:hAnsi="宋体"/>
      <w:kern w:val="0"/>
      <w:sz w:val="24"/>
      <w:szCs w:val="24"/>
    </w:rPr>
  </w:style>
  <w:style w:type="paragraph" w:styleId="29">
    <w:name w:val="index 1"/>
    <w:basedOn w:val="1"/>
    <w:next w:val="1"/>
    <w:autoRedefine/>
    <w:semiHidden/>
    <w:qFormat/>
    <w:uiPriority w:val="0"/>
    <w:pPr>
      <w:tabs>
        <w:tab w:val="left" w:pos="5580"/>
      </w:tabs>
      <w:spacing w:line="280" w:lineRule="exact"/>
    </w:pPr>
    <w:rPr>
      <w:rFonts w:ascii="宋体" w:hAnsi="宋体" w:cs="宋体"/>
      <w:spacing w:val="10"/>
      <w:szCs w:val="21"/>
    </w:rPr>
  </w:style>
  <w:style w:type="paragraph" w:styleId="30">
    <w:name w:val="Title"/>
    <w:basedOn w:val="1"/>
    <w:next w:val="1"/>
    <w:link w:val="78"/>
    <w:autoRedefine/>
    <w:qFormat/>
    <w:uiPriority w:val="10"/>
    <w:pPr>
      <w:spacing w:before="240" w:after="60"/>
      <w:jc w:val="center"/>
      <w:outlineLvl w:val="0"/>
    </w:pPr>
    <w:rPr>
      <w:rFonts w:ascii="Cambria" w:hAnsi="Cambria"/>
      <w:b/>
      <w:bCs/>
      <w:sz w:val="32"/>
      <w:szCs w:val="32"/>
    </w:rPr>
  </w:style>
  <w:style w:type="paragraph" w:styleId="31">
    <w:name w:val="annotation subject"/>
    <w:basedOn w:val="8"/>
    <w:next w:val="8"/>
    <w:autoRedefine/>
    <w:semiHidden/>
    <w:qFormat/>
    <w:uiPriority w:val="0"/>
    <w:rPr>
      <w:b/>
      <w:bCs/>
    </w:rPr>
  </w:style>
  <w:style w:type="paragraph" w:styleId="32">
    <w:name w:val="Body Text First Indent"/>
    <w:basedOn w:val="9"/>
    <w:link w:val="217"/>
    <w:autoRedefine/>
    <w:qFormat/>
    <w:uiPriority w:val="0"/>
    <w:pPr>
      <w:ind w:firstLine="420" w:firstLineChars="100"/>
    </w:pPr>
    <w:rPr>
      <w:rFonts w:ascii="Calibri" w:hAnsi="Calibri"/>
      <w:szCs w:val="24"/>
    </w:rPr>
  </w:style>
  <w:style w:type="paragraph" w:styleId="33">
    <w:name w:val="Body Text First Indent 2"/>
    <w:basedOn w:val="10"/>
    <w:link w:val="199"/>
    <w:autoRedefine/>
    <w:unhideWhenUsed/>
    <w:qFormat/>
    <w:uiPriority w:val="0"/>
    <w:pPr>
      <w:ind w:firstLine="420" w:firstLineChars="200"/>
    </w:pPr>
  </w:style>
  <w:style w:type="table" w:styleId="35">
    <w:name w:val="Table Grid"/>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36">
    <w:name w:val="Table Grid 1"/>
    <w:basedOn w:val="3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8">
    <w:name w:val="Strong"/>
    <w:autoRedefine/>
    <w:qFormat/>
    <w:uiPriority w:val="0"/>
    <w:rPr>
      <w:b/>
      <w:bCs/>
    </w:rPr>
  </w:style>
  <w:style w:type="character" w:styleId="39">
    <w:name w:val="page number"/>
    <w:basedOn w:val="37"/>
    <w:autoRedefine/>
    <w:qFormat/>
    <w:uiPriority w:val="0"/>
  </w:style>
  <w:style w:type="character" w:styleId="40">
    <w:name w:val="FollowedHyperlink"/>
    <w:autoRedefine/>
    <w:unhideWhenUsed/>
    <w:qFormat/>
    <w:uiPriority w:val="99"/>
    <w:rPr>
      <w:color w:val="282828"/>
      <w:u w:val="none"/>
    </w:rPr>
  </w:style>
  <w:style w:type="character" w:styleId="41">
    <w:name w:val="Emphasis"/>
    <w:autoRedefine/>
    <w:qFormat/>
    <w:uiPriority w:val="20"/>
    <w:rPr>
      <w:b/>
    </w:rPr>
  </w:style>
  <w:style w:type="character" w:styleId="42">
    <w:name w:val="HTML Definition"/>
    <w:autoRedefine/>
    <w:unhideWhenUsed/>
    <w:qFormat/>
    <w:uiPriority w:val="99"/>
  </w:style>
  <w:style w:type="character" w:styleId="43">
    <w:name w:val="HTML Variable"/>
    <w:autoRedefine/>
    <w:unhideWhenUsed/>
    <w:qFormat/>
    <w:uiPriority w:val="99"/>
  </w:style>
  <w:style w:type="character" w:styleId="44">
    <w:name w:val="Hyperlink"/>
    <w:autoRedefine/>
    <w:unhideWhenUsed/>
    <w:qFormat/>
    <w:uiPriority w:val="99"/>
    <w:rPr>
      <w:color w:val="282828"/>
      <w:u w:val="none"/>
    </w:rPr>
  </w:style>
  <w:style w:type="character" w:styleId="45">
    <w:name w:val="HTML Code"/>
    <w:autoRedefine/>
    <w:unhideWhenUsed/>
    <w:qFormat/>
    <w:uiPriority w:val="99"/>
    <w:rPr>
      <w:rFonts w:ascii="Courier New" w:hAnsi="Courier New"/>
      <w:sz w:val="20"/>
    </w:rPr>
  </w:style>
  <w:style w:type="character" w:styleId="46">
    <w:name w:val="annotation reference"/>
    <w:autoRedefine/>
    <w:qFormat/>
    <w:uiPriority w:val="99"/>
    <w:rPr>
      <w:sz w:val="21"/>
      <w:szCs w:val="21"/>
    </w:rPr>
  </w:style>
  <w:style w:type="character" w:styleId="47">
    <w:name w:val="HTML Cite"/>
    <w:autoRedefine/>
    <w:unhideWhenUsed/>
    <w:qFormat/>
    <w:uiPriority w:val="99"/>
  </w:style>
  <w:style w:type="character" w:styleId="48">
    <w:name w:val="HTML Keyboard"/>
    <w:autoRedefine/>
    <w:unhideWhenUsed/>
    <w:qFormat/>
    <w:uiPriority w:val="99"/>
    <w:rPr>
      <w:rFonts w:ascii="Courier New" w:hAnsi="Courier New"/>
      <w:sz w:val="20"/>
    </w:rPr>
  </w:style>
  <w:style w:type="character" w:styleId="49">
    <w:name w:val="HTML Sample"/>
    <w:autoRedefine/>
    <w:unhideWhenUsed/>
    <w:qFormat/>
    <w:uiPriority w:val="99"/>
    <w:rPr>
      <w:rFonts w:ascii="Courier New" w:hAnsi="Courier New"/>
    </w:rPr>
  </w:style>
  <w:style w:type="character" w:customStyle="1" w:styleId="50">
    <w:name w:val="weather"/>
    <w:basedOn w:val="37"/>
    <w:autoRedefine/>
    <w:qFormat/>
    <w:uiPriority w:val="0"/>
  </w:style>
  <w:style w:type="character" w:customStyle="1" w:styleId="51">
    <w:name w:val="样式 (符号) 宋体 四号 加粗 Char"/>
    <w:link w:val="52"/>
    <w:autoRedefine/>
    <w:qFormat/>
    <w:uiPriority w:val="0"/>
    <w:rPr>
      <w:rFonts w:hAnsi="宋体" w:eastAsia="宋体"/>
      <w:b/>
      <w:color w:val="000000"/>
      <w:sz w:val="24"/>
      <w:szCs w:val="28"/>
      <w:u w:color="000000"/>
      <w:lang w:val="en-US" w:eastAsia="zh-CN" w:bidi="ar-SA"/>
    </w:rPr>
  </w:style>
  <w:style w:type="paragraph" w:customStyle="1" w:styleId="52">
    <w:name w:val="样式 (符号) 宋体 四号 加粗"/>
    <w:basedOn w:val="1"/>
    <w:link w:val="51"/>
    <w:qFormat/>
    <w:uiPriority w:val="0"/>
    <w:pPr>
      <w:widowControl/>
      <w:spacing w:line="500" w:lineRule="exact"/>
      <w:ind w:firstLine="200" w:firstLineChars="200"/>
      <w:textAlignment w:val="baseline"/>
    </w:pPr>
    <w:rPr>
      <w:rFonts w:hAnsi="宋体"/>
      <w:b/>
      <w:color w:val="000000"/>
      <w:kern w:val="0"/>
      <w:sz w:val="24"/>
      <w:szCs w:val="28"/>
      <w:u w:color="000000"/>
    </w:rPr>
  </w:style>
  <w:style w:type="character" w:customStyle="1" w:styleId="53">
    <w:name w:val="正文1 Char"/>
    <w:link w:val="54"/>
    <w:autoRedefine/>
    <w:qFormat/>
    <w:uiPriority w:val="0"/>
    <w:rPr>
      <w:rFonts w:eastAsia="宋体" w:cs="宋体"/>
      <w:spacing w:val="10"/>
      <w:kern w:val="2"/>
      <w:sz w:val="24"/>
      <w:szCs w:val="24"/>
      <w:lang w:val="en-US" w:eastAsia="zh-CN" w:bidi="ar-SA"/>
    </w:rPr>
  </w:style>
  <w:style w:type="paragraph" w:customStyle="1" w:styleId="54">
    <w:name w:val="正文1"/>
    <w:basedOn w:val="1"/>
    <w:link w:val="53"/>
    <w:qFormat/>
    <w:uiPriority w:val="0"/>
    <w:pPr>
      <w:adjustRightInd w:val="0"/>
      <w:spacing w:line="360" w:lineRule="auto"/>
      <w:ind w:firstLine="200" w:firstLineChars="200"/>
      <w:textAlignment w:val="baseline"/>
    </w:pPr>
    <w:rPr>
      <w:rFonts w:cs="宋体"/>
      <w:spacing w:val="10"/>
      <w:sz w:val="24"/>
      <w:szCs w:val="24"/>
    </w:rPr>
  </w:style>
  <w:style w:type="character" w:customStyle="1" w:styleId="55">
    <w:name w:val="state5"/>
    <w:autoRedefine/>
    <w:qFormat/>
    <w:uiPriority w:val="0"/>
    <w:rPr>
      <w:color w:val="CF0303"/>
    </w:rPr>
  </w:style>
  <w:style w:type="character" w:customStyle="1" w:styleId="56">
    <w:name w:val="引用 Char"/>
    <w:link w:val="57"/>
    <w:autoRedefine/>
    <w:qFormat/>
    <w:uiPriority w:val="0"/>
    <w:rPr>
      <w:iCs/>
      <w:color w:val="000000"/>
      <w:kern w:val="2"/>
      <w:sz w:val="21"/>
      <w:szCs w:val="21"/>
    </w:rPr>
  </w:style>
  <w:style w:type="paragraph" w:customStyle="1" w:styleId="57">
    <w:name w:val="引用1"/>
    <w:basedOn w:val="1"/>
    <w:next w:val="1"/>
    <w:link w:val="56"/>
    <w:qFormat/>
    <w:uiPriority w:val="0"/>
    <w:pPr>
      <w:spacing w:line="360" w:lineRule="exact"/>
      <w:jc w:val="center"/>
    </w:pPr>
    <w:rPr>
      <w:iCs/>
      <w:color w:val="000000"/>
      <w:szCs w:val="21"/>
    </w:rPr>
  </w:style>
  <w:style w:type="character" w:customStyle="1" w:styleId="58">
    <w:name w:val="标题 2 Char1"/>
    <w:link w:val="3"/>
    <w:autoRedefine/>
    <w:qFormat/>
    <w:uiPriority w:val="0"/>
    <w:rPr>
      <w:rFonts w:ascii="Arial" w:hAnsi="Arial" w:eastAsia="黑体"/>
      <w:b/>
      <w:bCs/>
      <w:kern w:val="2"/>
      <w:sz w:val="28"/>
      <w:szCs w:val="32"/>
    </w:rPr>
  </w:style>
  <w:style w:type="character" w:customStyle="1" w:styleId="59">
    <w:name w:val="普通文字 Char3"/>
    <w:autoRedefine/>
    <w:qFormat/>
    <w:uiPriority w:val="0"/>
    <w:rPr>
      <w:rFonts w:ascii="宋体" w:hAnsi="Courier New" w:eastAsia="宋体"/>
      <w:kern w:val="2"/>
      <w:lang w:val="en-US" w:eastAsia="zh-CN" w:bidi="ar-SA"/>
    </w:rPr>
  </w:style>
  <w:style w:type="character" w:customStyle="1" w:styleId="60">
    <w:name w:val="state3"/>
    <w:basedOn w:val="37"/>
    <w:autoRedefine/>
    <w:qFormat/>
    <w:uiPriority w:val="0"/>
  </w:style>
  <w:style w:type="character" w:customStyle="1" w:styleId="61">
    <w:name w:val="Char Char8"/>
    <w:autoRedefine/>
    <w:qFormat/>
    <w:uiPriority w:val="0"/>
    <w:rPr>
      <w:rFonts w:ascii="Arial" w:hAnsi="Arial" w:eastAsia="黑体"/>
      <w:b/>
      <w:bCs/>
      <w:kern w:val="2"/>
      <w:sz w:val="28"/>
      <w:szCs w:val="32"/>
      <w:lang w:val="en-US" w:eastAsia="zh-CN" w:bidi="ar-SA"/>
    </w:rPr>
  </w:style>
  <w:style w:type="character" w:customStyle="1" w:styleId="62">
    <w:name w:val="end2"/>
    <w:autoRedefine/>
    <w:qFormat/>
    <w:uiPriority w:val="0"/>
    <w:rPr>
      <w:color w:val="03CA1B"/>
    </w:rPr>
  </w:style>
  <w:style w:type="character" w:customStyle="1" w:styleId="63">
    <w:name w:val="图表标注 Char"/>
    <w:link w:val="64"/>
    <w:autoRedefine/>
    <w:qFormat/>
    <w:uiPriority w:val="0"/>
    <w:rPr>
      <w:rFonts w:ascii="Times New Roman" w:eastAsia="黑体"/>
    </w:rPr>
  </w:style>
  <w:style w:type="paragraph" w:customStyle="1" w:styleId="64">
    <w:name w:val="图表标注"/>
    <w:basedOn w:val="1"/>
    <w:link w:val="63"/>
    <w:qFormat/>
    <w:uiPriority w:val="0"/>
    <w:pPr>
      <w:spacing w:line="480" w:lineRule="exact"/>
      <w:jc w:val="center"/>
    </w:pPr>
    <w:rPr>
      <w:rFonts w:eastAsia="黑体"/>
      <w:kern w:val="0"/>
      <w:sz w:val="20"/>
      <w:szCs w:val="20"/>
    </w:rPr>
  </w:style>
  <w:style w:type="character" w:customStyle="1" w:styleId="65">
    <w:name w:val="样式1 Char"/>
    <w:link w:val="66"/>
    <w:autoRedefine/>
    <w:qFormat/>
    <w:uiPriority w:val="0"/>
    <w:rPr>
      <w:rFonts w:eastAsia="宋体"/>
      <w:kern w:val="2"/>
      <w:sz w:val="24"/>
      <w:szCs w:val="28"/>
      <w:lang w:val="en-US" w:eastAsia="zh-CN" w:bidi="ar-SA"/>
    </w:rPr>
  </w:style>
  <w:style w:type="paragraph" w:customStyle="1" w:styleId="66">
    <w:name w:val="样式1"/>
    <w:basedOn w:val="6"/>
    <w:link w:val="65"/>
    <w:autoRedefine/>
    <w:qFormat/>
    <w:uiPriority w:val="0"/>
    <w:pPr>
      <w:spacing w:line="500" w:lineRule="exact"/>
      <w:ind w:firstLine="200" w:firstLineChars="200"/>
    </w:pPr>
    <w:rPr>
      <w:rFonts w:ascii="Times New Roman"/>
      <w:kern w:val="2"/>
      <w:sz w:val="24"/>
      <w:szCs w:val="28"/>
    </w:rPr>
  </w:style>
  <w:style w:type="character" w:customStyle="1" w:styleId="67">
    <w:name w:val="三级标题 Char"/>
    <w:link w:val="68"/>
    <w:autoRedefine/>
    <w:qFormat/>
    <w:uiPriority w:val="0"/>
    <w:rPr>
      <w:rFonts w:eastAsia="宋体"/>
      <w:b/>
      <w:kern w:val="2"/>
      <w:sz w:val="24"/>
      <w:szCs w:val="24"/>
      <w:lang w:val="en-US" w:eastAsia="zh-CN" w:bidi="ar-SA"/>
    </w:rPr>
  </w:style>
  <w:style w:type="paragraph" w:customStyle="1" w:styleId="68">
    <w:name w:val="三级标题"/>
    <w:basedOn w:val="1"/>
    <w:link w:val="67"/>
    <w:qFormat/>
    <w:uiPriority w:val="0"/>
    <w:pPr>
      <w:spacing w:before="300" w:line="460" w:lineRule="exact"/>
      <w:outlineLvl w:val="2"/>
    </w:pPr>
    <w:rPr>
      <w:b/>
      <w:sz w:val="24"/>
      <w:szCs w:val="24"/>
    </w:rPr>
  </w:style>
  <w:style w:type="character" w:customStyle="1" w:styleId="69">
    <w:name w:val="批注文字 Char"/>
    <w:link w:val="8"/>
    <w:autoRedefine/>
    <w:qFormat/>
    <w:uiPriority w:val="99"/>
    <w:rPr>
      <w:kern w:val="2"/>
      <w:sz w:val="21"/>
      <w:szCs w:val="22"/>
    </w:rPr>
  </w:style>
  <w:style w:type="character" w:customStyle="1" w:styleId="70">
    <w:name w:val="state4"/>
    <w:basedOn w:val="37"/>
    <w:autoRedefine/>
    <w:qFormat/>
    <w:uiPriority w:val="0"/>
  </w:style>
  <w:style w:type="character" w:customStyle="1" w:styleId="71">
    <w:name w:val="普通文字 Char2"/>
    <w:autoRedefine/>
    <w:qFormat/>
    <w:uiPriority w:val="0"/>
    <w:rPr>
      <w:rFonts w:ascii="宋体" w:hAnsi="Courier New" w:eastAsia="宋体"/>
      <w:color w:val="000000"/>
      <w:kern w:val="2"/>
      <w:sz w:val="26"/>
      <w:lang w:val="en-US" w:eastAsia="zh-CN" w:bidi="ar-SA"/>
    </w:rPr>
  </w:style>
  <w:style w:type="character" w:customStyle="1" w:styleId="72">
    <w:name w:val="num"/>
    <w:basedOn w:val="37"/>
    <w:autoRedefine/>
    <w:qFormat/>
    <w:uiPriority w:val="0"/>
  </w:style>
  <w:style w:type="character" w:customStyle="1" w:styleId="73">
    <w:name w:val="department1"/>
    <w:basedOn w:val="37"/>
    <w:autoRedefine/>
    <w:qFormat/>
    <w:uiPriority w:val="0"/>
  </w:style>
  <w:style w:type="character" w:customStyle="1" w:styleId="74">
    <w:name w:val="end"/>
    <w:autoRedefine/>
    <w:qFormat/>
    <w:uiPriority w:val="0"/>
    <w:rPr>
      <w:color w:val="03CA1B"/>
    </w:rPr>
  </w:style>
  <w:style w:type="character" w:customStyle="1" w:styleId="75">
    <w:name w:val="HTML 预设格式 Char"/>
    <w:link w:val="27"/>
    <w:autoRedefine/>
    <w:qFormat/>
    <w:uiPriority w:val="0"/>
    <w:rPr>
      <w:rFonts w:ascii="Arial" w:hAnsi="Arial" w:cs="Arial"/>
      <w:sz w:val="21"/>
      <w:szCs w:val="21"/>
    </w:rPr>
  </w:style>
  <w:style w:type="character" w:customStyle="1" w:styleId="76">
    <w:name w:val="正文文本缩进 3 Char"/>
    <w:link w:val="23"/>
    <w:autoRedefine/>
    <w:qFormat/>
    <w:uiPriority w:val="0"/>
    <w:rPr>
      <w:rFonts w:ascii="Times New Roman" w:hAnsi="Times New Roman"/>
      <w:kern w:val="2"/>
      <w:sz w:val="16"/>
      <w:szCs w:val="16"/>
    </w:rPr>
  </w:style>
  <w:style w:type="character" w:customStyle="1" w:styleId="77">
    <w:name w:val="标题 2 Char"/>
    <w:autoRedefine/>
    <w:qFormat/>
    <w:uiPriority w:val="0"/>
    <w:rPr>
      <w:rFonts w:ascii="Arial" w:hAnsi="Arial" w:eastAsia="黑体"/>
      <w:b/>
      <w:bCs/>
      <w:kern w:val="2"/>
      <w:sz w:val="28"/>
      <w:szCs w:val="32"/>
    </w:rPr>
  </w:style>
  <w:style w:type="character" w:customStyle="1" w:styleId="78">
    <w:name w:val="标题 Char"/>
    <w:link w:val="30"/>
    <w:autoRedefine/>
    <w:qFormat/>
    <w:uiPriority w:val="10"/>
    <w:rPr>
      <w:rFonts w:ascii="Cambria" w:hAnsi="Cambria" w:cs="Times New Roman"/>
      <w:b/>
      <w:bCs/>
      <w:kern w:val="2"/>
      <w:sz w:val="32"/>
      <w:szCs w:val="32"/>
    </w:rPr>
  </w:style>
  <w:style w:type="character" w:customStyle="1" w:styleId="79">
    <w:name w:val="state2"/>
    <w:autoRedefine/>
    <w:qFormat/>
    <w:uiPriority w:val="0"/>
    <w:rPr>
      <w:color w:val="CF0303"/>
    </w:rPr>
  </w:style>
  <w:style w:type="character" w:customStyle="1" w:styleId="80">
    <w:name w:val="批注框文本 Char"/>
    <w:link w:val="17"/>
    <w:autoRedefine/>
    <w:semiHidden/>
    <w:qFormat/>
    <w:uiPriority w:val="99"/>
    <w:rPr>
      <w:sz w:val="18"/>
      <w:szCs w:val="18"/>
    </w:rPr>
  </w:style>
  <w:style w:type="character" w:customStyle="1" w:styleId="81">
    <w:name w:val="txt_color"/>
    <w:autoRedefine/>
    <w:qFormat/>
    <w:uiPriority w:val="0"/>
    <w:rPr>
      <w:color w:val="C0C0C0"/>
    </w:rPr>
  </w:style>
  <w:style w:type="character" w:customStyle="1" w:styleId="82">
    <w:name w:val="纯文本 Char1"/>
    <w:link w:val="13"/>
    <w:autoRedefine/>
    <w:qFormat/>
    <w:uiPriority w:val="0"/>
    <w:rPr>
      <w:rFonts w:ascii="宋体" w:hAnsi="Courier New" w:eastAsia="宋体" w:cs="Times New Roman"/>
      <w:color w:val="000000"/>
      <w:sz w:val="26"/>
      <w:szCs w:val="20"/>
    </w:rPr>
  </w:style>
  <w:style w:type="character" w:customStyle="1" w:styleId="83">
    <w:name w:val="name"/>
    <w:basedOn w:val="37"/>
    <w:autoRedefine/>
    <w:qFormat/>
    <w:uiPriority w:val="0"/>
  </w:style>
  <w:style w:type="character" w:customStyle="1" w:styleId="84">
    <w:name w:val="文档结构图 Char1"/>
    <w:link w:val="7"/>
    <w:autoRedefine/>
    <w:semiHidden/>
    <w:qFormat/>
    <w:uiPriority w:val="99"/>
    <w:rPr>
      <w:rFonts w:ascii="宋体"/>
      <w:kern w:val="2"/>
      <w:sz w:val="18"/>
      <w:szCs w:val="18"/>
    </w:rPr>
  </w:style>
  <w:style w:type="character" w:customStyle="1" w:styleId="85">
    <w:name w:val="页脚 Char"/>
    <w:link w:val="18"/>
    <w:autoRedefine/>
    <w:qFormat/>
    <w:uiPriority w:val="99"/>
    <w:rPr>
      <w:sz w:val="18"/>
      <w:szCs w:val="18"/>
    </w:rPr>
  </w:style>
  <w:style w:type="character" w:customStyle="1" w:styleId="86">
    <w:name w:val="apple-converted-space"/>
    <w:basedOn w:val="37"/>
    <w:autoRedefine/>
    <w:qFormat/>
    <w:uiPriority w:val="0"/>
  </w:style>
  <w:style w:type="character" w:customStyle="1" w:styleId="87">
    <w:name w:val="页眉 Char"/>
    <w:link w:val="19"/>
    <w:autoRedefine/>
    <w:qFormat/>
    <w:uiPriority w:val="99"/>
    <w:rPr>
      <w:sz w:val="18"/>
      <w:szCs w:val="18"/>
    </w:rPr>
  </w:style>
  <w:style w:type="character" w:customStyle="1" w:styleId="88">
    <w:name w:val="正文缩进 Char"/>
    <w:link w:val="6"/>
    <w:autoRedefine/>
    <w:qFormat/>
    <w:uiPriority w:val="0"/>
    <w:rPr>
      <w:rFonts w:ascii="宋体" w:hAnsi="Times New Roman" w:eastAsia="宋体" w:cs="Times New Roman"/>
      <w:sz w:val="26"/>
      <w:szCs w:val="20"/>
    </w:rPr>
  </w:style>
  <w:style w:type="character" w:customStyle="1" w:styleId="89">
    <w:name w:val="end1"/>
    <w:autoRedefine/>
    <w:qFormat/>
    <w:uiPriority w:val="0"/>
    <w:rPr>
      <w:color w:val="03CA1B"/>
    </w:rPr>
  </w:style>
  <w:style w:type="character" w:customStyle="1" w:styleId="90">
    <w:name w:val="文档结构图 Char"/>
    <w:autoRedefine/>
    <w:qFormat/>
    <w:uiPriority w:val="0"/>
    <w:rPr>
      <w:rFonts w:ascii="宋体"/>
      <w:kern w:val="2"/>
      <w:sz w:val="18"/>
      <w:szCs w:val="18"/>
    </w:rPr>
  </w:style>
  <w:style w:type="character" w:customStyle="1" w:styleId="91">
    <w:name w:val="正文(首行缩进) Char1"/>
    <w:link w:val="92"/>
    <w:autoRedefine/>
    <w:qFormat/>
    <w:uiPriority w:val="0"/>
    <w:rPr>
      <w:rFonts w:ascii="宋体"/>
      <w:snapToGrid w:val="0"/>
      <w:sz w:val="24"/>
      <w:szCs w:val="24"/>
      <w:lang w:bidi="ar-SA"/>
    </w:rPr>
  </w:style>
  <w:style w:type="paragraph" w:customStyle="1" w:styleId="92">
    <w:name w:val="正文(首行缩进)"/>
    <w:basedOn w:val="1"/>
    <w:link w:val="91"/>
    <w:qFormat/>
    <w:uiPriority w:val="0"/>
    <w:pPr>
      <w:spacing w:line="360" w:lineRule="auto"/>
      <w:ind w:firstLine="480" w:firstLineChars="200"/>
    </w:pPr>
    <w:rPr>
      <w:rFonts w:ascii="宋体"/>
      <w:snapToGrid w:val="0"/>
      <w:kern w:val="0"/>
      <w:sz w:val="24"/>
      <w:szCs w:val="24"/>
    </w:rPr>
  </w:style>
  <w:style w:type="character" w:customStyle="1" w:styleId="93">
    <w:name w:val="15"/>
    <w:autoRedefine/>
    <w:qFormat/>
    <w:uiPriority w:val="0"/>
    <w:rPr>
      <w:rFonts w:hint="default" w:ascii="Times New Roman" w:hAnsi="Times New Roman" w:cs="Times New Roman"/>
      <w:color w:val="0000FF"/>
      <w:sz w:val="20"/>
      <w:szCs w:val="20"/>
      <w:u w:val="single"/>
    </w:rPr>
  </w:style>
  <w:style w:type="character" w:customStyle="1" w:styleId="94">
    <w:name w:val="doc_title"/>
    <w:basedOn w:val="37"/>
    <w:autoRedefine/>
    <w:qFormat/>
    <w:uiPriority w:val="0"/>
  </w:style>
  <w:style w:type="character" w:customStyle="1" w:styleId="95">
    <w:name w:val="state"/>
    <w:autoRedefine/>
    <w:qFormat/>
    <w:uiPriority w:val="0"/>
    <w:rPr>
      <w:color w:val="CF0303"/>
    </w:rPr>
  </w:style>
  <w:style w:type="character" w:customStyle="1" w:styleId="96">
    <w:name w:val="样式 宋体 小四 Char"/>
    <w:link w:val="97"/>
    <w:autoRedefine/>
    <w:qFormat/>
    <w:uiPriority w:val="0"/>
    <w:rPr>
      <w:rFonts w:eastAsia="宋体"/>
      <w:color w:val="000000"/>
      <w:sz w:val="24"/>
      <w:u w:color="000000"/>
      <w:lang w:val="en-US" w:eastAsia="zh-CN" w:bidi="ar-SA"/>
    </w:rPr>
  </w:style>
  <w:style w:type="paragraph" w:customStyle="1" w:styleId="97">
    <w:name w:val="样式 宋体 小四"/>
    <w:basedOn w:val="1"/>
    <w:link w:val="96"/>
    <w:autoRedefine/>
    <w:qFormat/>
    <w:uiPriority w:val="0"/>
    <w:pPr>
      <w:widowControl/>
      <w:spacing w:line="500" w:lineRule="exact"/>
      <w:ind w:firstLine="200" w:firstLineChars="200"/>
      <w:textAlignment w:val="baseline"/>
    </w:pPr>
    <w:rPr>
      <w:color w:val="000000"/>
      <w:kern w:val="0"/>
      <w:sz w:val="24"/>
      <w:szCs w:val="20"/>
      <w:u w:color="000000"/>
    </w:rPr>
  </w:style>
  <w:style w:type="character" w:customStyle="1" w:styleId="98">
    <w:name w:val="纯文本 Char"/>
    <w:autoRedefine/>
    <w:qFormat/>
    <w:uiPriority w:val="99"/>
    <w:rPr>
      <w:rFonts w:ascii="宋体" w:hAnsi="Courier New" w:eastAsia="宋体" w:cs="Times New Roman"/>
      <w:color w:val="000000"/>
      <w:sz w:val="26"/>
      <w:szCs w:val="20"/>
    </w:rPr>
  </w:style>
  <w:style w:type="character" w:customStyle="1" w:styleId="99">
    <w:name w:val="标题 1 Char"/>
    <w:link w:val="2"/>
    <w:autoRedefine/>
    <w:qFormat/>
    <w:uiPriority w:val="9"/>
    <w:rPr>
      <w:b/>
      <w:bCs/>
      <w:kern w:val="44"/>
      <w:sz w:val="44"/>
      <w:szCs w:val="44"/>
    </w:rPr>
  </w:style>
  <w:style w:type="character" w:customStyle="1" w:styleId="100">
    <w:name w:val="state1"/>
    <w:basedOn w:val="37"/>
    <w:autoRedefine/>
    <w:qFormat/>
    <w:uiPriority w:val="0"/>
  </w:style>
  <w:style w:type="character" w:customStyle="1" w:styleId="101">
    <w:name w:val="gl"/>
    <w:autoRedefine/>
    <w:qFormat/>
    <w:uiPriority w:val="0"/>
    <w:rPr>
      <w:rFonts w:ascii="Verdana" w:hAnsi="Verdana" w:eastAsia="仿宋_GB2312" w:cs="”“Times New Roman”“"/>
      <w:kern w:val="0"/>
      <w:sz w:val="28"/>
      <w:szCs w:val="28"/>
      <w:lang w:eastAsia="en-US"/>
    </w:rPr>
  </w:style>
  <w:style w:type="character" w:customStyle="1" w:styleId="102">
    <w:name w:val="num1"/>
    <w:basedOn w:val="37"/>
    <w:autoRedefine/>
    <w:qFormat/>
    <w:uiPriority w:val="0"/>
  </w:style>
  <w:style w:type="character" w:customStyle="1" w:styleId="103">
    <w:name w:val="department"/>
    <w:basedOn w:val="37"/>
    <w:autoRedefine/>
    <w:qFormat/>
    <w:uiPriority w:val="0"/>
  </w:style>
  <w:style w:type="character" w:customStyle="1" w:styleId="104">
    <w:name w:val="font31"/>
    <w:autoRedefine/>
    <w:qFormat/>
    <w:uiPriority w:val="0"/>
    <w:rPr>
      <w:rFonts w:hint="default" w:ascii="Calibri" w:hAnsi="Calibri" w:eastAsia="仿宋_GB2312" w:cs="”“Times New Roman”“"/>
      <w:color w:val="000000"/>
      <w:kern w:val="0"/>
      <w:sz w:val="21"/>
      <w:szCs w:val="21"/>
      <w:u w:val="none"/>
      <w:vertAlign w:val="superscript"/>
      <w:lang w:eastAsia="en-US"/>
    </w:rPr>
  </w:style>
  <w:style w:type="paragraph" w:customStyle="1" w:styleId="105">
    <w:name w:val="表格正文"/>
    <w:basedOn w:val="1"/>
    <w:next w:val="1"/>
    <w:link w:val="188"/>
    <w:autoRedefine/>
    <w:qFormat/>
    <w:uiPriority w:val="0"/>
    <w:pPr>
      <w:spacing w:line="360" w:lineRule="exact"/>
      <w:jc w:val="center"/>
    </w:pPr>
    <w:rPr>
      <w:szCs w:val="20"/>
    </w:rPr>
  </w:style>
  <w:style w:type="paragraph" w:customStyle="1" w:styleId="106">
    <w:name w:val="p22"/>
    <w:basedOn w:val="1"/>
    <w:autoRedefine/>
    <w:qFormat/>
    <w:uiPriority w:val="0"/>
    <w:pPr>
      <w:widowControl/>
      <w:spacing w:before="100" w:after="100"/>
      <w:jc w:val="center"/>
    </w:pPr>
    <w:rPr>
      <w:rFonts w:ascii="宋体" w:hAnsi="宋体" w:cs="宋体"/>
      <w:color w:val="000000"/>
      <w:kern w:val="0"/>
      <w:sz w:val="24"/>
      <w:szCs w:val="24"/>
    </w:rPr>
  </w:style>
  <w:style w:type="paragraph" w:customStyle="1" w:styleId="107">
    <w:name w:val="reader-word-layer reader-word-s6-4"/>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08">
    <w:name w:val="Default"/>
    <w:link w:val="20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9">
    <w:name w:val="_Style 70"/>
    <w:basedOn w:val="1"/>
    <w:autoRedefine/>
    <w:qFormat/>
    <w:uiPriority w:val="0"/>
    <w:rPr>
      <w:rFonts w:eastAsia="仿宋_GB2312"/>
      <w:sz w:val="28"/>
      <w:szCs w:val="20"/>
    </w:rPr>
  </w:style>
  <w:style w:type="paragraph" w:customStyle="1" w:styleId="110">
    <w:name w:val="p0"/>
    <w:basedOn w:val="1"/>
    <w:autoRedefine/>
    <w:qFormat/>
    <w:uiPriority w:val="0"/>
    <w:pPr>
      <w:widowControl/>
    </w:pPr>
    <w:rPr>
      <w:kern w:val="0"/>
      <w:szCs w:val="21"/>
    </w:rPr>
  </w:style>
  <w:style w:type="paragraph" w:customStyle="1" w:styleId="111">
    <w:name w:val="样式 样式 标题 3 + 段前: 0.5 行 段后: 0.5 行1 + 宋体 段前: 0.5 行 段后: 0.5 行"/>
    <w:basedOn w:val="1"/>
    <w:autoRedefine/>
    <w:qFormat/>
    <w:uiPriority w:val="0"/>
    <w:pPr>
      <w:keepNext/>
      <w:keepLines/>
      <w:adjustRightInd w:val="0"/>
      <w:snapToGrid w:val="0"/>
      <w:spacing w:beforeLines="50" w:line="360" w:lineRule="auto"/>
      <w:ind w:firstLine="482" w:firstLineChars="200"/>
      <w:jc w:val="left"/>
      <w:outlineLvl w:val="2"/>
    </w:pPr>
    <w:rPr>
      <w:b/>
      <w:kern w:val="44"/>
      <w:sz w:val="24"/>
      <w:szCs w:val="24"/>
    </w:rPr>
  </w:style>
  <w:style w:type="paragraph" w:customStyle="1" w:styleId="112">
    <w:name w:val="Char Char Char Char"/>
    <w:basedOn w:val="1"/>
    <w:autoRedefine/>
    <w:qFormat/>
    <w:uiPriority w:val="0"/>
    <w:pPr>
      <w:spacing w:line="360" w:lineRule="auto"/>
      <w:ind w:firstLine="200" w:firstLineChars="200"/>
    </w:pPr>
    <w:rPr>
      <w:rFonts w:ascii="宋体" w:hAnsi="宋体" w:cs="宋体"/>
      <w:sz w:val="24"/>
      <w:szCs w:val="24"/>
    </w:rPr>
  </w:style>
  <w:style w:type="paragraph" w:customStyle="1" w:styleId="113">
    <w:name w:val="reader-word-layer reader-word-s1-28"/>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14">
    <w:name w:val="表头"/>
    <w:basedOn w:val="1"/>
    <w:next w:val="1"/>
    <w:autoRedefine/>
    <w:qFormat/>
    <w:uiPriority w:val="0"/>
    <w:pPr>
      <w:keepNext/>
      <w:snapToGrid w:val="0"/>
      <w:spacing w:before="60" w:after="60" w:line="400" w:lineRule="atLeast"/>
      <w:jc w:val="center"/>
    </w:pPr>
    <w:rPr>
      <w:rFonts w:hint="eastAsia" w:ascii="黑体" w:eastAsia="黑体"/>
      <w:spacing w:val="10"/>
      <w:w w:val="90"/>
      <w:kern w:val="21"/>
      <w:sz w:val="24"/>
      <w:szCs w:val="20"/>
    </w:rPr>
  </w:style>
  <w:style w:type="paragraph" w:customStyle="1" w:styleId="115">
    <w:name w:val="reader-word-layer reader-word-s1-1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16">
    <w:name w:val="样式 表格正文 + 黑色 段后: 0.1 行 行距: 最小值 12 磅"/>
    <w:basedOn w:val="1"/>
    <w:autoRedefine/>
    <w:qFormat/>
    <w:uiPriority w:val="0"/>
    <w:pPr>
      <w:spacing w:line="360" w:lineRule="atLeast"/>
      <w:jc w:val="center"/>
    </w:pPr>
    <w:rPr>
      <w:rFonts w:hint="eastAsia"/>
      <w:color w:val="000000"/>
      <w:szCs w:val="20"/>
    </w:rPr>
  </w:style>
  <w:style w:type="paragraph" w:customStyle="1" w:styleId="117">
    <w:name w:val="样式13"/>
    <w:basedOn w:val="1"/>
    <w:qFormat/>
    <w:uiPriority w:val="0"/>
    <w:pPr>
      <w:spacing w:line="360" w:lineRule="auto"/>
      <w:ind w:firstLine="480" w:firstLineChars="200"/>
    </w:pPr>
    <w:rPr>
      <w:color w:val="000000"/>
      <w:sz w:val="24"/>
      <w:szCs w:val="24"/>
    </w:rPr>
  </w:style>
  <w:style w:type="paragraph" w:customStyle="1" w:styleId="118">
    <w:name w:val="reader-word-layer reader-word-s4-17"/>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9">
    <w:name w:val="xl59"/>
    <w:basedOn w:val="1"/>
    <w:autoRedefine/>
    <w:qFormat/>
    <w:uiPriority w:val="0"/>
    <w:pPr>
      <w:widowControl/>
      <w:pBdr>
        <w:bottom w:val="single" w:color="auto" w:sz="8" w:space="0"/>
        <w:right w:val="single" w:color="000000" w:sz="8" w:space="0"/>
      </w:pBdr>
      <w:spacing w:before="100" w:beforeAutospacing="1" w:after="100" w:afterAutospacing="1"/>
      <w:textAlignment w:val="top"/>
    </w:pPr>
    <w:rPr>
      <w:rFonts w:ascii="Arial Unicode MS" w:hAnsi="Arial Unicode MS" w:eastAsia="Arial Unicode MS" w:cs="Arial Unicode MS"/>
      <w:kern w:val="0"/>
      <w:szCs w:val="21"/>
    </w:rPr>
  </w:style>
  <w:style w:type="paragraph" w:customStyle="1" w:styleId="120">
    <w:name w:val="xl26"/>
    <w:basedOn w:val="1"/>
    <w:autoRedefine/>
    <w:qFormat/>
    <w:uiPriority w:val="0"/>
    <w:pPr>
      <w:widowControl/>
      <w:spacing w:before="100" w:after="100"/>
      <w:jc w:val="center"/>
    </w:pPr>
    <w:rPr>
      <w:rFonts w:ascii="宋体"/>
      <w:color w:val="000000"/>
      <w:kern w:val="0"/>
      <w:sz w:val="24"/>
      <w:szCs w:val="20"/>
    </w:rPr>
  </w:style>
  <w:style w:type="paragraph" w:customStyle="1" w:styleId="121">
    <w:name w:val="reader-word-layer reader-word-s6-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2">
    <w:name w:val="1标题2级"/>
    <w:basedOn w:val="1"/>
    <w:autoRedefine/>
    <w:qFormat/>
    <w:uiPriority w:val="0"/>
    <w:pPr>
      <w:keepNext/>
      <w:snapToGrid w:val="0"/>
      <w:spacing w:line="420" w:lineRule="auto"/>
      <w:outlineLvl w:val="1"/>
    </w:pPr>
    <w:rPr>
      <w:rFonts w:eastAsia="黑体"/>
      <w:b/>
      <w:sz w:val="28"/>
      <w:szCs w:val="20"/>
    </w:rPr>
  </w:style>
  <w:style w:type="paragraph" w:customStyle="1" w:styleId="123">
    <w:name w:val="小四表格"/>
    <w:basedOn w:val="1"/>
    <w:qFormat/>
    <w:uiPriority w:val="0"/>
    <w:pPr>
      <w:jc w:val="center"/>
    </w:pPr>
    <w:rPr>
      <w:kern w:val="0"/>
      <w:sz w:val="24"/>
      <w:szCs w:val="20"/>
    </w:rPr>
  </w:style>
  <w:style w:type="paragraph" w:customStyle="1" w:styleId="124">
    <w:name w:val="Char"/>
    <w:basedOn w:val="1"/>
    <w:autoRedefine/>
    <w:qFormat/>
    <w:uiPriority w:val="0"/>
    <w:pPr>
      <w:widowControl/>
      <w:spacing w:after="160"/>
      <w:jc w:val="left"/>
    </w:pPr>
    <w:rPr>
      <w:rFonts w:ascii="Verdana" w:hAnsi="Verdana" w:eastAsia="仿宋_GB2312" w:cs="”“Times New Roman”“"/>
      <w:kern w:val="0"/>
      <w:sz w:val="28"/>
      <w:szCs w:val="28"/>
      <w:lang w:eastAsia="en-US"/>
    </w:rPr>
  </w:style>
  <w:style w:type="paragraph" w:customStyle="1" w:styleId="125">
    <w:name w:val="首行缩进:  2 字符"/>
    <w:basedOn w:val="1"/>
    <w:autoRedefine/>
    <w:qFormat/>
    <w:uiPriority w:val="0"/>
    <w:pPr>
      <w:spacing w:line="440" w:lineRule="exact"/>
      <w:ind w:firstLine="200" w:firstLineChars="200"/>
    </w:pPr>
    <w:rPr>
      <w:rFonts w:eastAsia="仿宋_GB2312" w:cs="宋体"/>
      <w:sz w:val="24"/>
      <w:szCs w:val="20"/>
    </w:rPr>
  </w:style>
  <w:style w:type="paragraph" w:customStyle="1" w:styleId="126">
    <w:name w:val="reader-word-layer reader-word-s1-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Char Char Char1 Char Char Char Char"/>
    <w:basedOn w:val="1"/>
    <w:autoRedefine/>
    <w:qFormat/>
    <w:uiPriority w:val="0"/>
    <w:pPr>
      <w:adjustRightInd w:val="0"/>
      <w:spacing w:line="360" w:lineRule="auto"/>
      <w:ind w:firstLine="200" w:firstLineChars="200"/>
    </w:pPr>
    <w:rPr>
      <w:rFonts w:eastAsia="楷体_GB2312"/>
      <w:sz w:val="24"/>
      <w:szCs w:val="24"/>
    </w:rPr>
  </w:style>
  <w:style w:type="paragraph" w:customStyle="1" w:styleId="128">
    <w:name w:val="reader-word-layer reader-word-s4-14"/>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9">
    <w:name w:val="Char Char Char Char Char Char Char"/>
    <w:basedOn w:val="1"/>
    <w:autoRedefine/>
    <w:qFormat/>
    <w:uiPriority w:val="0"/>
    <w:rPr>
      <w:sz w:val="24"/>
      <w:szCs w:val="24"/>
    </w:rPr>
  </w:style>
  <w:style w:type="paragraph" w:customStyle="1" w:styleId="130">
    <w:name w:val="p15"/>
    <w:basedOn w:val="1"/>
    <w:autoRedefine/>
    <w:qFormat/>
    <w:uiPriority w:val="0"/>
    <w:pPr>
      <w:widowControl/>
      <w:pBdr>
        <w:bottom w:val="single" w:color="000000" w:sz="6" w:space="1"/>
      </w:pBdr>
      <w:snapToGrid w:val="0"/>
      <w:spacing w:after="200"/>
      <w:jc w:val="center"/>
    </w:pPr>
    <w:rPr>
      <w:rFonts w:ascii="Tahoma" w:hAnsi="Tahoma" w:cs="Tahoma"/>
      <w:kern w:val="0"/>
      <w:sz w:val="18"/>
      <w:szCs w:val="18"/>
    </w:rPr>
  </w:style>
  <w:style w:type="paragraph" w:customStyle="1" w:styleId="131">
    <w:name w:val="reader-word-layer reader-word-s20-10 reader-word-s20-3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中文报告书样式"/>
    <w:basedOn w:val="1"/>
    <w:qFormat/>
    <w:uiPriority w:val="0"/>
    <w:pPr>
      <w:widowControl/>
      <w:adjustRightInd w:val="0"/>
      <w:spacing w:line="480" w:lineRule="atLeast"/>
      <w:ind w:firstLine="482"/>
      <w:jc w:val="left"/>
    </w:pPr>
    <w:rPr>
      <w:rFonts w:ascii="黑体" w:hAnsi="黑体" w:cs="黑体"/>
      <w:kern w:val="24"/>
      <w:sz w:val="24"/>
      <w:szCs w:val="20"/>
    </w:rPr>
  </w:style>
  <w:style w:type="paragraph" w:customStyle="1" w:styleId="133">
    <w:name w:val="reader-word-layer reader-word-s1-16"/>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34">
    <w:name w:val="reader-word-layer reader-word-s20-29"/>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35">
    <w:name w:val="reader-word-layer reader-word-s1-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6">
    <w:name w:val="p19"/>
    <w:basedOn w:val="1"/>
    <w:autoRedefine/>
    <w:qFormat/>
    <w:uiPriority w:val="0"/>
    <w:pPr>
      <w:widowControl/>
      <w:ind w:firstLine="420"/>
    </w:pPr>
    <w:rPr>
      <w:rFonts w:ascii="宋体" w:hAnsi="宋体" w:cs="宋体"/>
      <w:kern w:val="0"/>
      <w:sz w:val="26"/>
      <w:szCs w:val="26"/>
    </w:rPr>
  </w:style>
  <w:style w:type="paragraph" w:customStyle="1" w:styleId="137">
    <w:name w:val="reader-word-layer reader-word-s6-1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8">
    <w:name w:val="reader-word-layer reader-word-s6-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39">
    <w:name w:val="标题 41"/>
    <w:basedOn w:val="1"/>
    <w:qFormat/>
    <w:uiPriority w:val="0"/>
    <w:pPr>
      <w:spacing w:before="29"/>
      <w:ind w:left="120"/>
      <w:outlineLvl w:val="3"/>
    </w:pPr>
    <w:rPr>
      <w:rFonts w:ascii="宋体" w:cs="宋体"/>
      <w:b/>
      <w:bCs/>
    </w:rPr>
  </w:style>
  <w:style w:type="paragraph" w:customStyle="1" w:styleId="140">
    <w:name w:val="p24"/>
    <w:basedOn w:val="1"/>
    <w:autoRedefine/>
    <w:qFormat/>
    <w:uiPriority w:val="0"/>
    <w:pPr>
      <w:widowControl/>
      <w:spacing w:before="60" w:line="460" w:lineRule="atLeast"/>
      <w:ind w:firstLine="482"/>
    </w:pPr>
    <w:rPr>
      <w:kern w:val="0"/>
      <w:sz w:val="24"/>
      <w:szCs w:val="24"/>
    </w:rPr>
  </w:style>
  <w:style w:type="paragraph" w:customStyle="1" w:styleId="141">
    <w:name w:val="Char Char Char"/>
    <w:basedOn w:val="1"/>
    <w:autoRedefine/>
    <w:qFormat/>
    <w:uiPriority w:val="0"/>
    <w:rPr>
      <w:szCs w:val="24"/>
    </w:rPr>
  </w:style>
  <w:style w:type="paragraph" w:styleId="142">
    <w:name w:val="List Paragraph"/>
    <w:basedOn w:val="1"/>
    <w:qFormat/>
    <w:uiPriority w:val="0"/>
    <w:pPr>
      <w:ind w:firstLine="420" w:firstLineChars="200"/>
    </w:pPr>
  </w:style>
  <w:style w:type="paragraph" w:customStyle="1" w:styleId="143">
    <w:name w:val="char"/>
    <w:basedOn w:val="1"/>
    <w:autoRedefine/>
    <w:qFormat/>
    <w:uiPriority w:val="0"/>
    <w:pPr>
      <w:widowControl/>
      <w:spacing w:after="160" w:line="240" w:lineRule="atLeast"/>
      <w:ind w:right="533" w:rightChars="254"/>
    </w:pPr>
    <w:rPr>
      <w:szCs w:val="20"/>
    </w:rPr>
  </w:style>
  <w:style w:type="paragraph" w:customStyle="1" w:styleId="144">
    <w:name w:val="reader-word-layer reader-word-s6-1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45">
    <w:name w:val="样式12"/>
    <w:basedOn w:val="1"/>
    <w:autoRedefine/>
    <w:qFormat/>
    <w:uiPriority w:val="0"/>
    <w:pPr>
      <w:jc w:val="center"/>
    </w:pPr>
    <w:rPr>
      <w:szCs w:val="21"/>
    </w:rPr>
  </w:style>
  <w:style w:type="paragraph" w:customStyle="1" w:styleId="146">
    <w:name w:val="p25"/>
    <w:basedOn w:val="1"/>
    <w:qFormat/>
    <w:uiPriority w:val="0"/>
    <w:pPr>
      <w:widowControl/>
      <w:jc w:val="center"/>
    </w:pPr>
    <w:rPr>
      <w:kern w:val="0"/>
      <w:sz w:val="24"/>
      <w:szCs w:val="24"/>
    </w:rPr>
  </w:style>
  <w:style w:type="paragraph" w:customStyle="1" w:styleId="147">
    <w:name w:val="reader-word-layer reader-word-s1-12"/>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48">
    <w:name w:val="p17"/>
    <w:basedOn w:val="1"/>
    <w:autoRedefine/>
    <w:qFormat/>
    <w:uiPriority w:val="0"/>
    <w:pPr>
      <w:widowControl/>
      <w:snapToGrid w:val="0"/>
      <w:spacing w:line="312" w:lineRule="auto"/>
      <w:ind w:left="113" w:right="113" w:firstLine="482"/>
      <w:jc w:val="left"/>
    </w:pPr>
    <w:rPr>
      <w:kern w:val="0"/>
      <w:sz w:val="24"/>
      <w:szCs w:val="24"/>
    </w:rPr>
  </w:style>
  <w:style w:type="paragraph" w:customStyle="1" w:styleId="149">
    <w:name w:val="reader-word-layer reader-word-s1-9"/>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50">
    <w:name w:val="reader-word-layer reader-word-s6-15"/>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51">
    <w:name w:val="reader-word-layer reader-word-s2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2">
    <w:name w:val="p18"/>
    <w:basedOn w:val="1"/>
    <w:autoRedefine/>
    <w:qFormat/>
    <w:uiPriority w:val="0"/>
    <w:pPr>
      <w:widowControl/>
      <w:spacing w:before="78" w:after="78" w:line="360" w:lineRule="auto"/>
    </w:pPr>
    <w:rPr>
      <w:b/>
      <w:bCs/>
      <w:caps/>
      <w:kern w:val="0"/>
      <w:sz w:val="24"/>
      <w:szCs w:val="24"/>
    </w:rPr>
  </w:style>
  <w:style w:type="paragraph" w:customStyle="1" w:styleId="153">
    <w:name w:val="p20"/>
    <w:basedOn w:val="1"/>
    <w:qFormat/>
    <w:uiPriority w:val="0"/>
    <w:pPr>
      <w:pageBreakBefore/>
      <w:widowControl/>
      <w:spacing w:before="60" w:line="460" w:lineRule="atLeast"/>
    </w:pPr>
    <w:rPr>
      <w:rFonts w:ascii="Arial" w:hAnsi="Arial" w:cs="Arial"/>
      <w:b/>
      <w:bCs/>
      <w:color w:val="000000"/>
      <w:kern w:val="0"/>
      <w:sz w:val="24"/>
      <w:szCs w:val="24"/>
    </w:rPr>
  </w:style>
  <w:style w:type="paragraph" w:customStyle="1" w:styleId="154">
    <w:name w:val="标题111 Char Char Char Char Char Char Char"/>
    <w:basedOn w:val="1"/>
    <w:qFormat/>
    <w:uiPriority w:val="0"/>
    <w:pPr>
      <w:spacing w:before="60" w:line="460" w:lineRule="atLeast"/>
      <w:ind w:firstLine="200" w:firstLineChars="200"/>
    </w:pPr>
    <w:rPr>
      <w:rFonts w:ascii="宋体" w:hAnsi="宋体" w:cs="宋体"/>
      <w:sz w:val="24"/>
      <w:szCs w:val="24"/>
    </w:rPr>
  </w:style>
  <w:style w:type="paragraph" w:customStyle="1" w:styleId="155">
    <w:name w:val="样式3"/>
    <w:basedOn w:val="1"/>
    <w:autoRedefine/>
    <w:qFormat/>
    <w:uiPriority w:val="0"/>
    <w:pPr>
      <w:autoSpaceDE w:val="0"/>
      <w:autoSpaceDN w:val="0"/>
      <w:snapToGrid w:val="0"/>
      <w:spacing w:before="120" w:line="460" w:lineRule="atLeast"/>
      <w:jc w:val="center"/>
    </w:pPr>
    <w:rPr>
      <w:rFonts w:eastAsia="黑体"/>
      <w:sz w:val="28"/>
      <w:szCs w:val="24"/>
    </w:rPr>
  </w:style>
  <w:style w:type="paragraph" w:customStyle="1" w:styleId="156">
    <w:name w:val="reader-word-layer reader-word-s6-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57">
    <w:name w:val="表格"/>
    <w:basedOn w:val="1"/>
    <w:link w:val="221"/>
    <w:autoRedefine/>
    <w:qFormat/>
    <w:uiPriority w:val="0"/>
    <w:pPr>
      <w:jc w:val="center"/>
    </w:pPr>
    <w:rPr>
      <w:sz w:val="24"/>
      <w:szCs w:val="21"/>
    </w:rPr>
  </w:style>
  <w:style w:type="paragraph" w:customStyle="1" w:styleId="158">
    <w:name w:val="样式35"/>
    <w:basedOn w:val="1"/>
    <w:autoRedefine/>
    <w:qFormat/>
    <w:uiPriority w:val="0"/>
    <w:pPr>
      <w:adjustRightInd w:val="0"/>
      <w:spacing w:line="312" w:lineRule="auto"/>
      <w:ind w:firstLine="567"/>
    </w:pPr>
    <w:rPr>
      <w:rFonts w:ascii="宋体"/>
      <w:kern w:val="0"/>
      <w:sz w:val="28"/>
      <w:szCs w:val="24"/>
    </w:rPr>
  </w:style>
  <w:style w:type="paragraph" w:customStyle="1" w:styleId="159">
    <w:name w:val="列出段落1"/>
    <w:basedOn w:val="1"/>
    <w:qFormat/>
    <w:uiPriority w:val="0"/>
    <w:pPr>
      <w:spacing w:line="500" w:lineRule="exact"/>
      <w:ind w:firstLine="420" w:firstLineChars="200"/>
    </w:pPr>
    <w:rPr>
      <w:sz w:val="24"/>
      <w:szCs w:val="24"/>
    </w:rPr>
  </w:style>
  <w:style w:type="paragraph" w:customStyle="1" w:styleId="160">
    <w:name w:val="reader-word-layer reader-word-s1-8"/>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Char Char6 Char Char Char Char Char Char Char Char Char Char Char Char Char Char Char Char Char Char Char Char"/>
    <w:basedOn w:val="1"/>
    <w:qFormat/>
    <w:uiPriority w:val="0"/>
    <w:rPr>
      <w:sz w:val="24"/>
      <w:szCs w:val="24"/>
    </w:rPr>
  </w:style>
  <w:style w:type="paragraph" w:customStyle="1" w:styleId="162">
    <w:name w:val="Char Char1 Char Char Char Char Char Char"/>
    <w:basedOn w:val="1"/>
    <w:qFormat/>
    <w:uiPriority w:val="0"/>
    <w:rPr>
      <w:szCs w:val="20"/>
    </w:rPr>
  </w:style>
  <w:style w:type="paragraph" w:customStyle="1" w:styleId="163">
    <w:name w:val="reader-word-layer reader-word-s1-27"/>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64">
    <w:name w:val="reader-word-layer reader-word-s1-2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5">
    <w:name w:val="表文1"/>
    <w:basedOn w:val="1"/>
    <w:autoRedefine/>
    <w:qFormat/>
    <w:uiPriority w:val="0"/>
    <w:pPr>
      <w:spacing w:beforeLines="50" w:afterLines="50" w:line="360" w:lineRule="auto"/>
    </w:pPr>
    <w:rPr>
      <w:rFonts w:ascii="宋体" w:hAnsi="宋体"/>
      <w:szCs w:val="20"/>
    </w:rPr>
  </w:style>
  <w:style w:type="paragraph" w:customStyle="1" w:styleId="166">
    <w:name w:val="默认段落字体 Para Char Char Char Char"/>
    <w:basedOn w:val="162"/>
    <w:next w:val="5"/>
    <w:autoRedefine/>
    <w:qFormat/>
    <w:uiPriority w:val="0"/>
    <w:rPr>
      <w:sz w:val="24"/>
      <w:szCs w:val="24"/>
    </w:rPr>
  </w:style>
  <w:style w:type="paragraph" w:customStyle="1" w:styleId="167">
    <w:name w:val="正文2"/>
    <w:basedOn w:val="1"/>
    <w:qFormat/>
    <w:uiPriority w:val="0"/>
    <w:pPr>
      <w:adjustRightInd w:val="0"/>
      <w:snapToGrid w:val="0"/>
      <w:spacing w:line="440" w:lineRule="atLeast"/>
      <w:ind w:firstLine="510"/>
    </w:pPr>
    <w:rPr>
      <w:szCs w:val="20"/>
    </w:rPr>
  </w:style>
  <w:style w:type="paragraph" w:customStyle="1" w:styleId="168">
    <w:name w:val="reader-word-layer reader-word-s21-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69">
    <w:name w:val="reader-word-layer reader-word-s1-5"/>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70">
    <w:name w:val="标题3 Char Char Char Char"/>
    <w:basedOn w:val="1"/>
    <w:qFormat/>
    <w:uiPriority w:val="0"/>
    <w:pPr>
      <w:spacing w:afterLines="50" w:line="560" w:lineRule="exact"/>
    </w:pPr>
    <w:rPr>
      <w:rFonts w:eastAsia="黑体"/>
      <w:sz w:val="30"/>
      <w:szCs w:val="30"/>
    </w:rPr>
  </w:style>
  <w:style w:type="paragraph" w:customStyle="1" w:styleId="171">
    <w:name w:val="2"/>
    <w:basedOn w:val="1"/>
    <w:next w:val="1"/>
    <w:autoRedefine/>
    <w:qFormat/>
    <w:uiPriority w:val="0"/>
    <w:pPr>
      <w:spacing w:before="240" w:line="440" w:lineRule="exact"/>
    </w:pPr>
    <w:rPr>
      <w:rFonts w:ascii="黑体" w:eastAsia="黑体"/>
      <w:sz w:val="24"/>
      <w:szCs w:val="28"/>
    </w:rPr>
  </w:style>
  <w:style w:type="paragraph" w:customStyle="1" w:styleId="172">
    <w:name w:val="reader-word-layer reader-word-s6-32"/>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73">
    <w:name w:val="1"/>
    <w:basedOn w:val="1"/>
    <w:next w:val="6"/>
    <w:autoRedefine/>
    <w:qFormat/>
    <w:uiPriority w:val="0"/>
    <w:pPr>
      <w:ind w:firstLine="420"/>
    </w:pPr>
    <w:rPr>
      <w:rFonts w:ascii="宋体"/>
      <w:sz w:val="26"/>
      <w:szCs w:val="20"/>
    </w:rPr>
  </w:style>
  <w:style w:type="paragraph" w:customStyle="1" w:styleId="174">
    <w:name w:val="reader-word-layer reader-word-s1-19"/>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5">
    <w:name w:val="p16"/>
    <w:basedOn w:val="1"/>
    <w:autoRedefine/>
    <w:qFormat/>
    <w:uiPriority w:val="0"/>
    <w:pPr>
      <w:widowControl/>
      <w:jc w:val="center"/>
    </w:pPr>
    <w:rPr>
      <w:kern w:val="0"/>
      <w:szCs w:val="21"/>
    </w:rPr>
  </w:style>
  <w:style w:type="paragraph" w:customStyle="1" w:styleId="176">
    <w:name w:val="reader-word-layer reader-word-s6-7"/>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77">
    <w:name w:val="reader-word-layer reader-word-s1-2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8">
    <w:name w:val="报告表正文"/>
    <w:basedOn w:val="1"/>
    <w:link w:val="195"/>
    <w:autoRedefine/>
    <w:qFormat/>
    <w:uiPriority w:val="0"/>
    <w:pPr>
      <w:adjustRightInd w:val="0"/>
      <w:spacing w:line="312" w:lineRule="auto"/>
      <w:ind w:left="113" w:right="113" w:firstLine="482"/>
      <w:jc w:val="left"/>
    </w:pPr>
    <w:rPr>
      <w:kern w:val="0"/>
      <w:sz w:val="24"/>
      <w:szCs w:val="20"/>
    </w:rPr>
  </w:style>
  <w:style w:type="paragraph" w:customStyle="1" w:styleId="179">
    <w:name w:val="reader-word-layer reader-word-s6-1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80">
    <w:name w:val="reader-word-layer reader-word-s6-1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81">
    <w:name w:val="正文格式"/>
    <w:basedOn w:val="1"/>
    <w:autoRedefine/>
    <w:qFormat/>
    <w:uiPriority w:val="0"/>
    <w:pPr>
      <w:ind w:firstLine="480" w:firstLineChars="200"/>
    </w:pPr>
    <w:rPr>
      <w:rFonts w:ascii="仿宋_GB2312" w:eastAsia="仿宋_GB2312"/>
      <w:b/>
      <w:bCs/>
      <w:color w:val="FF6600"/>
      <w:sz w:val="24"/>
      <w:szCs w:val="24"/>
    </w:rPr>
  </w:style>
  <w:style w:type="paragraph" w:customStyle="1" w:styleId="182">
    <w:name w:val="reader-word-layer reader-word-s2-4"/>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83">
    <w:name w:val="Char Char Char Char Char Char Char Char2 Char"/>
    <w:basedOn w:val="1"/>
    <w:uiPriority w:val="0"/>
    <w:pPr>
      <w:widowControl/>
      <w:adjustRightInd w:val="0"/>
      <w:spacing w:after="160" w:line="240" w:lineRule="exact"/>
      <w:jc w:val="left"/>
    </w:pPr>
    <w:rPr>
      <w:sz w:val="24"/>
      <w:szCs w:val="20"/>
    </w:rPr>
  </w:style>
  <w:style w:type="paragraph" w:customStyle="1" w:styleId="184">
    <w:name w:val="p23"/>
    <w:basedOn w:val="1"/>
    <w:autoRedefine/>
    <w:qFormat/>
    <w:uiPriority w:val="0"/>
    <w:pPr>
      <w:widowControl/>
      <w:snapToGrid w:val="0"/>
      <w:spacing w:line="480" w:lineRule="atLeast"/>
      <w:ind w:firstLine="482"/>
    </w:pPr>
    <w:rPr>
      <w:kern w:val="0"/>
      <w:sz w:val="24"/>
      <w:szCs w:val="24"/>
    </w:rPr>
  </w:style>
  <w:style w:type="paragraph" w:customStyle="1" w:styleId="185">
    <w:name w:val="表格文字2"/>
    <w:basedOn w:val="1"/>
    <w:qFormat/>
    <w:uiPriority w:val="0"/>
    <w:pPr>
      <w:adjustRightInd w:val="0"/>
      <w:spacing w:before="60"/>
      <w:jc w:val="center"/>
      <w:textAlignment w:val="baseline"/>
    </w:pPr>
    <w:rPr>
      <w:rFonts w:ascii="宋体"/>
      <w:kern w:val="0"/>
      <w:sz w:val="24"/>
      <w:szCs w:val="20"/>
    </w:rPr>
  </w:style>
  <w:style w:type="paragraph" w:customStyle="1" w:styleId="186">
    <w:name w:val="reader-word-layer reader-word-s1-13"/>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87">
    <w:name w:val="p21"/>
    <w:basedOn w:val="1"/>
    <w:autoRedefine/>
    <w:qFormat/>
    <w:uiPriority w:val="0"/>
    <w:pPr>
      <w:widowControl/>
      <w:ind w:firstLine="420"/>
    </w:pPr>
    <w:rPr>
      <w:rFonts w:ascii="宋体" w:hAnsi="宋体" w:cs="宋体"/>
      <w:kern w:val="0"/>
      <w:sz w:val="26"/>
      <w:szCs w:val="26"/>
    </w:rPr>
  </w:style>
  <w:style w:type="character" w:customStyle="1" w:styleId="188">
    <w:name w:val="表格正文 Char Char"/>
    <w:link w:val="105"/>
    <w:autoRedefine/>
    <w:qFormat/>
    <w:uiPriority w:val="0"/>
    <w:rPr>
      <w:kern w:val="2"/>
      <w:sz w:val="21"/>
    </w:rPr>
  </w:style>
  <w:style w:type="paragraph" w:customStyle="1" w:styleId="189">
    <w:name w:val="Table Paragraph"/>
    <w:basedOn w:val="1"/>
    <w:autoRedefine/>
    <w:qFormat/>
    <w:uiPriority w:val="1"/>
    <w:pPr>
      <w:autoSpaceDE w:val="0"/>
      <w:autoSpaceDN w:val="0"/>
      <w:jc w:val="center"/>
    </w:pPr>
    <w:rPr>
      <w:rFonts w:ascii="Noto Sans CJK JP Regular" w:hAnsi="Noto Sans CJK JP Regular" w:eastAsia="Noto Sans CJK JP Regular" w:cs="Noto Sans CJK JP Regular"/>
      <w:kern w:val="0"/>
      <w:sz w:val="22"/>
      <w:lang w:eastAsia="en-US"/>
    </w:rPr>
  </w:style>
  <w:style w:type="paragraph" w:customStyle="1" w:styleId="190">
    <w:name w:val="表内容"/>
    <w:basedOn w:val="1"/>
    <w:next w:val="1"/>
    <w:autoRedefine/>
    <w:qFormat/>
    <w:uiPriority w:val="0"/>
    <w:pPr>
      <w:spacing w:line="320" w:lineRule="exact"/>
      <w:jc w:val="center"/>
    </w:pPr>
    <w:rPr>
      <w:szCs w:val="20"/>
    </w:rPr>
  </w:style>
  <w:style w:type="character" w:customStyle="1" w:styleId="191">
    <w:name w:val="标题 3 Char"/>
    <w:link w:val="4"/>
    <w:autoRedefine/>
    <w:semiHidden/>
    <w:qFormat/>
    <w:uiPriority w:val="9"/>
    <w:rPr>
      <w:b/>
      <w:bCs/>
      <w:kern w:val="2"/>
      <w:sz w:val="32"/>
      <w:szCs w:val="32"/>
    </w:rPr>
  </w:style>
  <w:style w:type="paragraph" w:customStyle="1" w:styleId="192">
    <w:name w:val="标2lcc"/>
    <w:basedOn w:val="1"/>
    <w:autoRedefine/>
    <w:qFormat/>
    <w:uiPriority w:val="0"/>
    <w:pPr>
      <w:outlineLvl w:val="1"/>
    </w:pPr>
    <w:rPr>
      <w:b/>
      <w:kern w:val="0"/>
      <w:sz w:val="28"/>
      <w:szCs w:val="24"/>
    </w:rPr>
  </w:style>
  <w:style w:type="paragraph" w:customStyle="1" w:styleId="193">
    <w:name w:val="正文 首行缩进:  2 字符"/>
    <w:basedOn w:val="1"/>
    <w:autoRedefine/>
    <w:qFormat/>
    <w:uiPriority w:val="99"/>
    <w:pPr>
      <w:ind w:firstLine="579" w:firstLineChars="200"/>
    </w:pPr>
    <w:rPr>
      <w:rFonts w:cs="宋体"/>
      <w:szCs w:val="20"/>
    </w:rPr>
  </w:style>
  <w:style w:type="character" w:customStyle="1" w:styleId="194">
    <w:name w:val="批注文字 Char1"/>
    <w:autoRedefine/>
    <w:qFormat/>
    <w:locked/>
    <w:uiPriority w:val="99"/>
    <w:rPr>
      <w:szCs w:val="24"/>
    </w:rPr>
  </w:style>
  <w:style w:type="character" w:customStyle="1" w:styleId="195">
    <w:name w:val="报告表正文 Char"/>
    <w:link w:val="178"/>
    <w:autoRedefine/>
    <w:qFormat/>
    <w:locked/>
    <w:uiPriority w:val="0"/>
    <w:rPr>
      <w:sz w:val="24"/>
    </w:rPr>
  </w:style>
  <w:style w:type="paragraph" w:customStyle="1" w:styleId="196">
    <w:name w:val="列出段落11"/>
    <w:basedOn w:val="1"/>
    <w:autoRedefine/>
    <w:qFormat/>
    <w:uiPriority w:val="0"/>
    <w:pPr>
      <w:spacing w:line="520" w:lineRule="exact"/>
      <w:ind w:firstLine="420" w:firstLineChars="200"/>
    </w:pPr>
    <w:rPr>
      <w:rFonts w:ascii="Calibri" w:hAnsi="Calibri"/>
      <w:sz w:val="24"/>
    </w:rPr>
  </w:style>
  <w:style w:type="paragraph" w:customStyle="1" w:styleId="197">
    <w:name w:val="正文首行缩进 2 + Times New Roman"/>
    <w:basedOn w:val="1"/>
    <w:autoRedefine/>
    <w:qFormat/>
    <w:uiPriority w:val="0"/>
    <w:pPr>
      <w:tabs>
        <w:tab w:val="left" w:pos="0"/>
        <w:tab w:val="left" w:pos="870"/>
        <w:tab w:val="left" w:pos="3150"/>
      </w:tabs>
      <w:autoSpaceDE w:val="0"/>
      <w:autoSpaceDN w:val="0"/>
      <w:spacing w:line="360" w:lineRule="auto"/>
      <w:ind w:firstLine="480" w:firstLineChars="200"/>
      <w:jc w:val="left"/>
    </w:pPr>
    <w:rPr>
      <w:kern w:val="0"/>
      <w:sz w:val="24"/>
      <w:szCs w:val="24"/>
    </w:rPr>
  </w:style>
  <w:style w:type="character" w:customStyle="1" w:styleId="198">
    <w:name w:val="正文文本缩进 Char"/>
    <w:link w:val="10"/>
    <w:autoRedefine/>
    <w:qFormat/>
    <w:uiPriority w:val="0"/>
    <w:rPr>
      <w:kern w:val="2"/>
      <w:sz w:val="21"/>
      <w:szCs w:val="24"/>
    </w:rPr>
  </w:style>
  <w:style w:type="character" w:customStyle="1" w:styleId="199">
    <w:name w:val="正文首行缩进 2 Char"/>
    <w:basedOn w:val="198"/>
    <w:link w:val="33"/>
    <w:autoRedefine/>
    <w:qFormat/>
    <w:uiPriority w:val="0"/>
    <w:rPr>
      <w:kern w:val="2"/>
      <w:sz w:val="21"/>
      <w:szCs w:val="24"/>
    </w:rPr>
  </w:style>
  <w:style w:type="character" w:customStyle="1" w:styleId="200">
    <w:name w:val="表头格式 Char"/>
    <w:link w:val="201"/>
    <w:autoRedefine/>
    <w:qFormat/>
    <w:locked/>
    <w:uiPriority w:val="0"/>
    <w:rPr>
      <w:b/>
      <w:color w:val="000000"/>
      <w:sz w:val="24"/>
      <w:szCs w:val="24"/>
    </w:rPr>
  </w:style>
  <w:style w:type="paragraph" w:customStyle="1" w:styleId="201">
    <w:name w:val="表头格式"/>
    <w:basedOn w:val="1"/>
    <w:link w:val="200"/>
    <w:autoRedefine/>
    <w:qFormat/>
    <w:uiPriority w:val="0"/>
    <w:pPr>
      <w:spacing w:line="480" w:lineRule="exact"/>
      <w:jc w:val="center"/>
    </w:pPr>
    <w:rPr>
      <w:b/>
      <w:color w:val="000000"/>
      <w:kern w:val="0"/>
      <w:sz w:val="24"/>
      <w:szCs w:val="24"/>
    </w:rPr>
  </w:style>
  <w:style w:type="character" w:customStyle="1" w:styleId="202">
    <w:name w:val="表格正文 Char"/>
    <w:autoRedefine/>
    <w:qFormat/>
    <w:locked/>
    <w:uiPriority w:val="0"/>
    <w:rPr>
      <w:kern w:val="2"/>
      <w:sz w:val="21"/>
      <w:szCs w:val="24"/>
    </w:rPr>
  </w:style>
  <w:style w:type="paragraph" w:customStyle="1" w:styleId="203">
    <w:name w:val="报告 Char"/>
    <w:basedOn w:val="1"/>
    <w:autoRedefine/>
    <w:qFormat/>
    <w:uiPriority w:val="0"/>
    <w:pPr>
      <w:adjustRightInd w:val="0"/>
      <w:spacing w:line="360" w:lineRule="auto"/>
      <w:ind w:firstLine="505" w:firstLineChars="200"/>
    </w:pPr>
    <w:rPr>
      <w:sz w:val="24"/>
      <w:szCs w:val="24"/>
    </w:rPr>
  </w:style>
  <w:style w:type="character" w:customStyle="1" w:styleId="204">
    <w:name w:val="Default Char Char"/>
    <w:link w:val="108"/>
    <w:autoRedefine/>
    <w:qFormat/>
    <w:locked/>
    <w:uiPriority w:val="0"/>
    <w:rPr>
      <w:color w:val="000000"/>
      <w:sz w:val="24"/>
      <w:szCs w:val="24"/>
      <w:lang w:bidi="ar-SA"/>
    </w:rPr>
  </w:style>
  <w:style w:type="character" w:customStyle="1" w:styleId="205">
    <w:name w:val="表格内容 Char Char"/>
    <w:link w:val="206"/>
    <w:autoRedefine/>
    <w:qFormat/>
    <w:locked/>
    <w:uiPriority w:val="0"/>
    <w:rPr>
      <w:rFonts w:ascii="宋体" w:hAnsi="宋体"/>
      <w:sz w:val="18"/>
    </w:rPr>
  </w:style>
  <w:style w:type="paragraph" w:customStyle="1" w:styleId="206">
    <w:name w:val="表格内容"/>
    <w:basedOn w:val="1"/>
    <w:link w:val="205"/>
    <w:autoRedefine/>
    <w:qFormat/>
    <w:uiPriority w:val="0"/>
    <w:pPr>
      <w:tabs>
        <w:tab w:val="left" w:pos="1535"/>
        <w:tab w:val="left" w:pos="3105"/>
        <w:tab w:val="left" w:pos="4676"/>
        <w:tab w:val="left" w:pos="6247"/>
        <w:tab w:val="left" w:pos="7740"/>
        <w:tab w:val="left" w:pos="9288"/>
      </w:tabs>
      <w:snapToGrid w:val="0"/>
      <w:ind w:left="-25" w:leftChars="-12"/>
    </w:pPr>
    <w:rPr>
      <w:rFonts w:ascii="宋体" w:hAnsi="宋体"/>
      <w:kern w:val="0"/>
      <w:sz w:val="18"/>
      <w:szCs w:val="20"/>
    </w:rPr>
  </w:style>
  <w:style w:type="paragraph" w:customStyle="1" w:styleId="207">
    <w:name w:val="表格标题"/>
    <w:basedOn w:val="1"/>
    <w:next w:val="1"/>
    <w:autoRedefine/>
    <w:qFormat/>
    <w:uiPriority w:val="0"/>
    <w:pPr>
      <w:spacing w:line="360" w:lineRule="auto"/>
      <w:jc w:val="center"/>
    </w:pPr>
    <w:rPr>
      <w:b/>
      <w:szCs w:val="20"/>
    </w:rPr>
  </w:style>
  <w:style w:type="paragraph" w:customStyle="1" w:styleId="208">
    <w:name w:val="样式 正文文本缩进 3 + 左侧:  2 字符"/>
    <w:basedOn w:val="23"/>
    <w:autoRedefine/>
    <w:qFormat/>
    <w:uiPriority w:val="0"/>
    <w:pPr>
      <w:widowControl/>
      <w:spacing w:line="360" w:lineRule="auto"/>
      <w:ind w:left="0" w:leftChars="0" w:firstLine="200" w:firstLineChars="200"/>
      <w:jc w:val="left"/>
    </w:pPr>
    <w:rPr>
      <w:rFonts w:cs="PMingLiU"/>
      <w:kern w:val="0"/>
      <w:sz w:val="24"/>
      <w:szCs w:val="20"/>
    </w:rPr>
  </w:style>
  <w:style w:type="character" w:customStyle="1" w:styleId="209">
    <w:name w:val="表格内容--1.15 Char"/>
    <w:link w:val="210"/>
    <w:autoRedefine/>
    <w:qFormat/>
    <w:locked/>
    <w:uiPriority w:val="0"/>
    <w:rPr>
      <w:color w:val="0D0D0D"/>
      <w:sz w:val="21"/>
      <w:szCs w:val="21"/>
    </w:rPr>
  </w:style>
  <w:style w:type="paragraph" w:customStyle="1" w:styleId="210">
    <w:name w:val="表格内容--1.15"/>
    <w:basedOn w:val="1"/>
    <w:link w:val="209"/>
    <w:autoRedefine/>
    <w:qFormat/>
    <w:uiPriority w:val="0"/>
    <w:pPr>
      <w:tabs>
        <w:tab w:val="left" w:pos="567"/>
        <w:tab w:val="left" w:pos="1134"/>
        <w:tab w:val="right" w:leader="middleDot" w:pos="7938"/>
      </w:tabs>
      <w:spacing w:line="276" w:lineRule="auto"/>
      <w:jc w:val="center"/>
    </w:pPr>
    <w:rPr>
      <w:color w:val="0D0D0D"/>
      <w:kern w:val="0"/>
      <w:szCs w:val="21"/>
    </w:rPr>
  </w:style>
  <w:style w:type="character" w:customStyle="1" w:styleId="211">
    <w:name w:val="正文文本 (2)_"/>
    <w:link w:val="212"/>
    <w:autoRedefine/>
    <w:qFormat/>
    <w:uiPriority w:val="99"/>
    <w:rPr>
      <w:rFonts w:ascii="微软雅黑" w:eastAsia="微软雅黑" w:cs="微软雅黑"/>
      <w:sz w:val="21"/>
      <w:szCs w:val="21"/>
      <w:shd w:val="clear" w:color="auto" w:fill="FFFFFF"/>
    </w:rPr>
  </w:style>
  <w:style w:type="paragraph" w:customStyle="1" w:styleId="212">
    <w:name w:val="正文文本 (2)1"/>
    <w:basedOn w:val="1"/>
    <w:link w:val="211"/>
    <w:autoRedefine/>
    <w:qFormat/>
    <w:uiPriority w:val="99"/>
    <w:pPr>
      <w:shd w:val="clear" w:color="auto" w:fill="FFFFFF"/>
      <w:spacing w:before="60" w:line="413" w:lineRule="exact"/>
      <w:ind w:firstLine="300"/>
      <w:jc w:val="left"/>
    </w:pPr>
    <w:rPr>
      <w:rFonts w:ascii="微软雅黑" w:eastAsia="微软雅黑"/>
      <w:kern w:val="0"/>
      <w:szCs w:val="21"/>
    </w:rPr>
  </w:style>
  <w:style w:type="paragraph" w:customStyle="1" w:styleId="213">
    <w:name w:val="纯文本1"/>
    <w:basedOn w:val="1"/>
    <w:autoRedefine/>
    <w:qFormat/>
    <w:uiPriority w:val="0"/>
    <w:pPr>
      <w:spacing w:line="480" w:lineRule="exact"/>
      <w:ind w:firstLine="480" w:firstLineChars="200"/>
    </w:pPr>
    <w:rPr>
      <w:rFonts w:ascii="宋体" w:hAnsi="Courier New"/>
      <w:kern w:val="0"/>
      <w:sz w:val="20"/>
      <w:szCs w:val="20"/>
    </w:rPr>
  </w:style>
  <w:style w:type="character" w:customStyle="1" w:styleId="214">
    <w:name w:val="表格字体 Char"/>
    <w:link w:val="215"/>
    <w:autoRedefine/>
    <w:qFormat/>
    <w:uiPriority w:val="0"/>
    <w:rPr>
      <w:spacing w:val="-2"/>
      <w:kern w:val="28"/>
      <w:sz w:val="21"/>
    </w:rPr>
  </w:style>
  <w:style w:type="paragraph" w:customStyle="1" w:styleId="215">
    <w:name w:val="表格字体"/>
    <w:basedOn w:val="13"/>
    <w:link w:val="214"/>
    <w:autoRedefine/>
    <w:qFormat/>
    <w:uiPriority w:val="0"/>
    <w:pPr>
      <w:adjustRightInd w:val="0"/>
      <w:snapToGrid w:val="0"/>
      <w:spacing w:before="120" w:line="400" w:lineRule="exact"/>
      <w:jc w:val="center"/>
      <w:textAlignment w:val="baseline"/>
    </w:pPr>
    <w:rPr>
      <w:rFonts w:ascii="Times New Roman" w:hAnsi="Times New Roman"/>
      <w:color w:val="auto"/>
      <w:spacing w:val="-2"/>
      <w:kern w:val="28"/>
      <w:sz w:val="21"/>
    </w:rPr>
  </w:style>
  <w:style w:type="character" w:customStyle="1" w:styleId="216">
    <w:name w:val="正文文本 Char"/>
    <w:link w:val="9"/>
    <w:autoRedefine/>
    <w:qFormat/>
    <w:uiPriority w:val="0"/>
    <w:rPr>
      <w:kern w:val="2"/>
      <w:sz w:val="21"/>
      <w:szCs w:val="22"/>
    </w:rPr>
  </w:style>
  <w:style w:type="character" w:customStyle="1" w:styleId="217">
    <w:name w:val="正文首行缩进 Char"/>
    <w:basedOn w:val="216"/>
    <w:link w:val="32"/>
    <w:autoRedefine/>
    <w:qFormat/>
    <w:uiPriority w:val="0"/>
    <w:rPr>
      <w:kern w:val="2"/>
      <w:sz w:val="21"/>
      <w:szCs w:val="22"/>
    </w:rPr>
  </w:style>
  <w:style w:type="paragraph" w:customStyle="1" w:styleId="218">
    <w:name w:val="图、表内容"/>
    <w:basedOn w:val="1"/>
    <w:autoRedefine/>
    <w:qFormat/>
    <w:uiPriority w:val="0"/>
    <w:pPr>
      <w:adjustRightInd w:val="0"/>
      <w:snapToGrid w:val="0"/>
      <w:spacing w:line="360" w:lineRule="auto"/>
      <w:ind w:firstLine="640" w:firstLineChars="200"/>
      <w:jc w:val="center"/>
    </w:pPr>
    <w:rPr>
      <w:rFonts w:cs="宋体"/>
      <w:spacing w:val="-2"/>
      <w:kern w:val="0"/>
      <w:sz w:val="20"/>
      <w:szCs w:val="20"/>
    </w:rPr>
  </w:style>
  <w:style w:type="paragraph" w:customStyle="1" w:styleId="219">
    <w:name w:val="+正文"/>
    <w:basedOn w:val="1"/>
    <w:autoRedefine/>
    <w:qFormat/>
    <w:uiPriority w:val="0"/>
    <w:pPr>
      <w:spacing w:line="360" w:lineRule="auto"/>
      <w:jc w:val="left"/>
    </w:pPr>
    <w:rPr>
      <w:rFonts w:cs="黑体"/>
      <w:sz w:val="24"/>
    </w:rPr>
  </w:style>
  <w:style w:type="table" w:customStyle="1" w:styleId="220">
    <w:name w:val="Table Normal"/>
    <w:autoRedefine/>
    <w:semiHidden/>
    <w:unhideWhenUsed/>
    <w:qFormat/>
    <w:uiPriority w:val="2"/>
    <w:pPr>
      <w:widowControl w:val="0"/>
    </w:pPr>
    <w:rPr>
      <w:rFonts w:ascii="Calibri" w:hAnsi="Calibri"/>
      <w:sz w:val="22"/>
      <w:szCs w:val="22"/>
      <w:lang w:eastAsia="en-US"/>
    </w:rPr>
    <w:tblPr>
      <w:tblCellMar>
        <w:top w:w="0" w:type="dxa"/>
        <w:left w:w="0" w:type="dxa"/>
        <w:bottom w:w="0" w:type="dxa"/>
        <w:right w:w="0" w:type="dxa"/>
      </w:tblCellMar>
    </w:tblPr>
  </w:style>
  <w:style w:type="character" w:customStyle="1" w:styleId="221">
    <w:name w:val="表格 Char"/>
    <w:link w:val="157"/>
    <w:autoRedefine/>
    <w:qFormat/>
    <w:locked/>
    <w:uiPriority w:val="0"/>
    <w:rPr>
      <w:kern w:val="2"/>
      <w:sz w:val="24"/>
      <w:szCs w:val="21"/>
    </w:rPr>
  </w:style>
  <w:style w:type="character" w:customStyle="1" w:styleId="222">
    <w:name w:val="S 正文 Char"/>
    <w:link w:val="223"/>
    <w:autoRedefine/>
    <w:qFormat/>
    <w:locked/>
    <w:uiPriority w:val="0"/>
    <w:rPr>
      <w:sz w:val="24"/>
      <w:lang w:val="en-US" w:eastAsia="en-US" w:bidi="en-US"/>
    </w:rPr>
  </w:style>
  <w:style w:type="paragraph" w:customStyle="1" w:styleId="223">
    <w:name w:val="S 正文"/>
    <w:link w:val="222"/>
    <w:autoRedefine/>
    <w:qFormat/>
    <w:uiPriority w:val="0"/>
    <w:pPr>
      <w:widowControl w:val="0"/>
      <w:adjustRightInd w:val="0"/>
      <w:snapToGrid w:val="0"/>
      <w:spacing w:line="360" w:lineRule="auto"/>
      <w:ind w:firstLine="480" w:firstLineChars="200"/>
    </w:pPr>
    <w:rPr>
      <w:rFonts w:ascii="Times New Roman" w:hAnsi="Times New Roman" w:eastAsia="宋体" w:cs="Times New Roman"/>
      <w:sz w:val="24"/>
      <w:lang w:val="en-US" w:eastAsia="en-US" w:bidi="en-US"/>
    </w:rPr>
  </w:style>
  <w:style w:type="character" w:customStyle="1" w:styleId="224">
    <w:name w:val="报告表正文 Char Char"/>
    <w:autoRedefine/>
    <w:qFormat/>
    <w:locked/>
    <w:uiPriority w:val="0"/>
    <w:rPr>
      <w:sz w:val="24"/>
    </w:rPr>
  </w:style>
  <w:style w:type="paragraph" w:customStyle="1" w:styleId="225">
    <w:name w:val="1正文段落"/>
    <w:basedOn w:val="1"/>
    <w:link w:val="226"/>
    <w:autoRedefine/>
    <w:qFormat/>
    <w:uiPriority w:val="0"/>
    <w:pPr>
      <w:spacing w:line="360" w:lineRule="auto"/>
      <w:ind w:firstLine="200" w:firstLineChars="200"/>
    </w:pPr>
    <w:rPr>
      <w:snapToGrid w:val="0"/>
      <w:kern w:val="0"/>
      <w:sz w:val="24"/>
      <w:szCs w:val="21"/>
    </w:rPr>
  </w:style>
  <w:style w:type="character" w:customStyle="1" w:styleId="226">
    <w:name w:val="1正文段落 Char"/>
    <w:link w:val="225"/>
    <w:autoRedefine/>
    <w:qFormat/>
    <w:uiPriority w:val="0"/>
    <w:rPr>
      <w:rFonts w:cs="Times New Roman"/>
      <w:snapToGrid w:val="0"/>
      <w:sz w:val="24"/>
      <w:szCs w:val="21"/>
    </w:rPr>
  </w:style>
  <w:style w:type="paragraph" w:customStyle="1" w:styleId="227">
    <w:name w:val="Revision"/>
    <w:autoRedefine/>
    <w:hidden/>
    <w:unhideWhenUsed/>
    <w:qFormat/>
    <w:uiPriority w:val="99"/>
    <w:rPr>
      <w:rFonts w:ascii="Times New Roman" w:hAnsi="Times New Roman" w:eastAsia="宋体" w:cs="Times New Roman"/>
      <w:kern w:val="2"/>
      <w:sz w:val="21"/>
      <w:szCs w:val="22"/>
      <w:lang w:val="en-US" w:eastAsia="zh-CN" w:bidi="ar-SA"/>
    </w:rPr>
  </w:style>
  <w:style w:type="character" w:customStyle="1" w:styleId="228">
    <w:name w:val="01正文 字符"/>
    <w:link w:val="229"/>
    <w:autoRedefine/>
    <w:qFormat/>
    <w:locked/>
    <w:uiPriority w:val="0"/>
    <w:rPr>
      <w:kern w:val="2"/>
      <w:sz w:val="24"/>
      <w:szCs w:val="21"/>
    </w:rPr>
  </w:style>
  <w:style w:type="paragraph" w:customStyle="1" w:styleId="229">
    <w:name w:val="01正文"/>
    <w:basedOn w:val="1"/>
    <w:link w:val="228"/>
    <w:autoRedefine/>
    <w:qFormat/>
    <w:uiPriority w:val="0"/>
    <w:pPr>
      <w:adjustRightInd w:val="0"/>
      <w:snapToGrid w:val="0"/>
      <w:spacing w:line="460" w:lineRule="exact"/>
      <w:ind w:firstLine="200" w:firstLineChars="200"/>
    </w:pPr>
    <w:rPr>
      <w:sz w:val="24"/>
      <w:szCs w:val="21"/>
    </w:rPr>
  </w:style>
  <w:style w:type="character" w:customStyle="1" w:styleId="230">
    <w:name w:val="普通(网站) Char"/>
    <w:link w:val="28"/>
    <w:autoRedefine/>
    <w:qFormat/>
    <w:locked/>
    <w:uiPriority w:val="0"/>
    <w:rPr>
      <w:rFonts w:ascii="宋体" w:hAnsi="宋体" w:cs="宋体"/>
      <w:sz w:val="24"/>
      <w:szCs w:val="24"/>
    </w:rPr>
  </w:style>
  <w:style w:type="character" w:customStyle="1" w:styleId="231">
    <w:name w:val="表 Char"/>
    <w:link w:val="232"/>
    <w:autoRedefine/>
    <w:qFormat/>
    <w:locked/>
    <w:uiPriority w:val="0"/>
    <w:rPr>
      <w:spacing w:val="2"/>
      <w:sz w:val="24"/>
    </w:rPr>
  </w:style>
  <w:style w:type="paragraph" w:customStyle="1" w:styleId="232">
    <w:name w:val="表"/>
    <w:basedOn w:val="1"/>
    <w:link w:val="231"/>
    <w:autoRedefine/>
    <w:qFormat/>
    <w:uiPriority w:val="0"/>
    <w:pPr>
      <w:snapToGrid w:val="0"/>
      <w:jc w:val="center"/>
    </w:pPr>
    <w:rPr>
      <w:spacing w:val="2"/>
      <w:kern w:val="0"/>
      <w:sz w:val="24"/>
      <w:szCs w:val="20"/>
    </w:rPr>
  </w:style>
  <w:style w:type="character" w:customStyle="1" w:styleId="233">
    <w:name w:val="正文文本缩进 2 Char"/>
    <w:basedOn w:val="37"/>
    <w:link w:val="16"/>
    <w:autoRedefine/>
    <w:qFormat/>
    <w:uiPriority w:val="0"/>
    <w:rPr>
      <w:kern w:val="2"/>
      <w:sz w:val="21"/>
      <w:szCs w:val="24"/>
    </w:rPr>
  </w:style>
  <w:style w:type="character" w:customStyle="1" w:styleId="234">
    <w:name w:val="表格内文字 Char"/>
    <w:link w:val="235"/>
    <w:autoRedefine/>
    <w:qFormat/>
    <w:locked/>
    <w:uiPriority w:val="0"/>
    <w:rPr>
      <w:rFonts w:ascii="仿宋_GB2312" w:hAnsi="Calibri" w:eastAsia="仿宋_GB2312"/>
      <w:spacing w:val="4"/>
      <w:kern w:val="18"/>
      <w:sz w:val="24"/>
      <w:szCs w:val="24"/>
    </w:rPr>
  </w:style>
  <w:style w:type="paragraph" w:customStyle="1" w:styleId="235">
    <w:name w:val="表格内文字"/>
    <w:basedOn w:val="1"/>
    <w:link w:val="234"/>
    <w:autoRedefine/>
    <w:qFormat/>
    <w:uiPriority w:val="0"/>
    <w:pPr>
      <w:tabs>
        <w:tab w:val="left" w:pos="0"/>
      </w:tabs>
      <w:adjustRightInd w:val="0"/>
      <w:snapToGrid w:val="0"/>
      <w:jc w:val="center"/>
    </w:pPr>
    <w:rPr>
      <w:rFonts w:ascii="仿宋_GB2312" w:hAnsi="Calibri" w:eastAsia="仿宋_GB2312"/>
      <w:spacing w:val="4"/>
      <w:kern w:val="18"/>
      <w:sz w:val="24"/>
      <w:szCs w:val="24"/>
    </w:rPr>
  </w:style>
  <w:style w:type="paragraph" w:customStyle="1" w:styleId="236">
    <w:name w:val="表格内容格式"/>
    <w:basedOn w:val="1"/>
    <w:autoRedefine/>
    <w:qFormat/>
    <w:uiPriority w:val="0"/>
    <w:pPr>
      <w:adjustRightInd w:val="0"/>
      <w:snapToGrid w:val="0"/>
      <w:jc w:val="center"/>
    </w:pPr>
    <w:rPr>
      <w:kern w:val="0"/>
      <w:szCs w:val="21"/>
    </w:rPr>
  </w:style>
  <w:style w:type="character" w:customStyle="1" w:styleId="237">
    <w:name w:val="2 表格内容 Char"/>
    <w:link w:val="238"/>
    <w:autoRedefine/>
    <w:qFormat/>
    <w:locked/>
    <w:uiPriority w:val="0"/>
    <w:rPr>
      <w:szCs w:val="21"/>
    </w:rPr>
  </w:style>
  <w:style w:type="paragraph" w:customStyle="1" w:styleId="238">
    <w:name w:val="2 表格内容"/>
    <w:basedOn w:val="1"/>
    <w:link w:val="237"/>
    <w:autoRedefine/>
    <w:qFormat/>
    <w:uiPriority w:val="0"/>
    <w:pPr>
      <w:adjustRightInd w:val="0"/>
      <w:snapToGrid w:val="0"/>
      <w:spacing w:line="320" w:lineRule="exact"/>
      <w:jc w:val="center"/>
    </w:pPr>
    <w:rPr>
      <w:kern w:val="0"/>
      <w:sz w:val="20"/>
      <w:szCs w:val="21"/>
    </w:rPr>
  </w:style>
  <w:style w:type="character" w:customStyle="1" w:styleId="239">
    <w:name w:val="正文文本缩进 Char1"/>
    <w:basedOn w:val="37"/>
    <w:autoRedefine/>
    <w:qFormat/>
    <w:locked/>
    <w:uiPriority w:val="0"/>
    <w:rPr>
      <w:kern w:val="2"/>
      <w:sz w:val="21"/>
      <w:szCs w:val="24"/>
    </w:rPr>
  </w:style>
  <w:style w:type="character" w:styleId="240">
    <w:name w:val="Placeholder Text"/>
    <w:basedOn w:val="37"/>
    <w:autoRedefine/>
    <w:unhideWhenUsed/>
    <w:qFormat/>
    <w:uiPriority w:val="99"/>
    <w:rPr>
      <w:color w:val="808080"/>
    </w:rPr>
  </w:style>
  <w:style w:type="paragraph" w:customStyle="1" w:styleId="241">
    <w:name w:val="正文缩近"/>
    <w:basedOn w:val="1"/>
    <w:autoRedefine/>
    <w:qFormat/>
    <w:uiPriority w:val="0"/>
    <w:pPr>
      <w:spacing w:line="360" w:lineRule="auto"/>
      <w:ind w:firstLine="560" w:firstLineChars="200"/>
    </w:pPr>
    <w:rPr>
      <w:rFonts w:ascii="宋体" w:hAnsi="宋体"/>
      <w:sz w:val="28"/>
      <w:szCs w:val="28"/>
    </w:rPr>
  </w:style>
  <w:style w:type="character" w:customStyle="1" w:styleId="242">
    <w:name w:val="fontstyle01"/>
    <w:autoRedefine/>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7645"/>
    <customShpInfo spid="_x0000_s7646"/>
    <customShpInfo spid="_x0000_s7647"/>
    <customShpInfo spid="_x0000_s7648"/>
    <customShpInfo spid="_x0000_s7649"/>
    <customShpInfo spid="_x0000_s7650"/>
    <customShpInfo spid="_x0000_s7651"/>
    <customShpInfo spid="_x0000_s7652"/>
    <customShpInfo spid="_x0000_s7653"/>
    <customShpInfo spid="_x0000_s7644"/>
    <customShpInfo spid="_x0000_s7553"/>
    <customShpInfo spid="_x0000_s7554"/>
    <customShpInfo spid="_x0000_s7555"/>
    <customShpInfo spid="_x0000_s7557"/>
    <customShpInfo spid="_x0000_s7558"/>
    <customShpInfo spid="_x0000_s7559"/>
    <customShpInfo spid="_x0000_s7560"/>
    <customShpInfo spid="_x0000_s7561"/>
    <customShpInfo spid="_x0000_s7562"/>
    <customShpInfo spid="_x0000_s7563"/>
    <customShpInfo spid="_x0000_s7565"/>
    <customShpInfo spid="_x0000_s7566"/>
    <customShpInfo spid="_x0000_s7552"/>
    <customShpInfo spid="_x0000_s7347"/>
    <customShpInfo spid="_x0000_s7349"/>
    <customShpInfo spid="_x0000_s7350"/>
    <customShpInfo spid="_x0000_s7351"/>
    <customShpInfo spid="_x0000_s7352"/>
    <customShpInfo spid="_x0000_s7354"/>
    <customShpInfo spid="_x0000_s7355"/>
    <customShpInfo spid="_x0000_s7356"/>
    <customShpInfo spid="_x0000_s7357"/>
    <customShpInfo spid="_x0000_s7358"/>
    <customShpInfo spid="_x0000_s7359"/>
    <customShpInfo spid="_x0000_s7360"/>
    <customShpInfo spid="_x0000_s7361"/>
    <customShpInfo spid="_x0000_s7362"/>
    <customShpInfo spid="_x0000_s7363"/>
    <customShpInfo spid="_x0000_s7364"/>
    <customShpInfo spid="_x0000_s7365"/>
    <customShpInfo spid="_x0000_s7366"/>
    <customShpInfo spid="_x0000_s7367"/>
    <customShpInfo spid="_x0000_s7369"/>
    <customShpInfo spid="_x0000_s7370"/>
    <customShpInfo spid="_x0000_s7371"/>
    <customShpInfo spid="_x0000_s7372"/>
    <customShpInfo spid="_x0000_s7373"/>
    <customShpInfo spid="_x0000_s7374"/>
    <customShpInfo spid="_x0000_s7375"/>
    <customShpInfo spid="_x0000_s7376"/>
    <customShpInfo spid="_x0000_s7377"/>
    <customShpInfo spid="_x0000_s7378"/>
    <customShpInfo spid="_x0000_s7379"/>
    <customShpInfo spid="_x0000_s7380"/>
    <customShpInfo spid="_x0000_s7381"/>
    <customShpInfo spid="_x0000_s7382"/>
    <customShpInfo spid="_x0000_s7388"/>
    <customShpInfo spid="_x0000_s7389"/>
    <customShpInfo spid="_x0000_s7390"/>
    <customShpInfo spid="_x0000_s7391"/>
    <customShpInfo spid="_x0000_s7392"/>
    <customShpInfo spid="_x0000_s7393"/>
    <customShpInfo spid="_x0000_s7394"/>
    <customShpInfo spid="_x0000_s7395"/>
    <customShpInfo spid="_x0000_s7396"/>
    <customShpInfo spid="_x0000_s7397"/>
    <customShpInfo spid="_x0000_s7399"/>
    <customShpInfo spid="_x0000_s7402"/>
    <customShpInfo spid="_x0000_s7405"/>
    <customShpInfo spid="_x0000_s7406"/>
    <customShpInfo spid="_x0000_s7415"/>
    <customShpInfo spid="_x0000_s7416"/>
    <customShpInfo spid="_x0000_s7417"/>
    <customShpInfo spid="_x0000_s7418"/>
    <customShpInfo spid="_x0000_s7419"/>
    <customShpInfo spid="_x0000_s7421"/>
    <customShpInfo spid="_x0000_s7430"/>
    <customShpInfo spid="_x0000_s7431"/>
    <customShpInfo spid="_x0000_s7569"/>
    <customShpInfo spid="_x0000_s7570"/>
    <customShpInfo spid="_x0000_s7573"/>
    <customShpInfo spid="_x0000_s7780"/>
    <customShpInfo spid="_x0000_s7781"/>
    <customShpInfo spid="_x0000_s7782"/>
    <customShpInfo spid="_x0000_s7783"/>
    <customShpInfo spid="_x0000_s7784"/>
    <customShpInfo spid="_x0000_s7785"/>
    <customShpInfo spid="_x0000_s7346"/>
    <customShpInfo spid="_x0000_s7603"/>
    <customShpInfo spid="_x0000_s7605"/>
    <customShpInfo spid="_x0000_s7606"/>
    <customShpInfo spid="_x0000_s7607"/>
    <customShpInfo spid="_x0000_s7608"/>
    <customShpInfo spid="_x0000_s7609"/>
    <customShpInfo spid="_x0000_s7611"/>
    <customShpInfo spid="_x0000_s7612"/>
    <customShpInfo spid="_x0000_s7620"/>
    <customShpInfo spid="_x0000_s7621"/>
    <customShpInfo spid="_x0000_s7622"/>
    <customShpInfo spid="_x0000_s7627"/>
    <customShpInfo spid="_x0000_s7628"/>
    <customShpInfo spid="_x0000_s7629"/>
    <customShpInfo spid="_x0000_s7630"/>
    <customShpInfo spid="_x0000_s7631"/>
    <customShpInfo spid="_x0000_s7632"/>
    <customShpInfo spid="_x0000_s7633"/>
    <customShpInfo spid="_x0000_s7635"/>
    <customShpInfo spid="_x0000_s7636"/>
    <customShpInfo spid="_x0000_s7637"/>
    <customShpInfo spid="_x0000_s7639"/>
    <customShpInfo spid="_x0000_s7640"/>
    <customShpInfo spid="_x0000_s7641"/>
    <customShpInfo spid="_x0000_s7642"/>
    <customShpInfo spid="_x0000_s7634"/>
    <customShpInfo spid="_x0000_s7604"/>
    <customShpInfo spid="_x0000_s7579"/>
    <customShpInfo spid="_x0000_s7580"/>
    <customShpInfo spid="_x0000_s7774"/>
    <customShpInfo spid="_x0000_s7776"/>
    <customShpInfo spid="_x0000_s7777"/>
    <customShpInfo spid="_x0000_s7791"/>
    <customShpInfo spid="_x0000_s7666"/>
    <customShpInfo spid="_x0000_s7667"/>
    <customShpInfo spid="_x0000_s7793"/>
    <customShpInfo spid="_x0000_s7799"/>
    <customShpInfo spid="_x0000_s7798"/>
    <customShpInfo spid="_x0000_s7663"/>
    <customShpInfo spid="_x0000_s7661"/>
    <customShpInfo spid="_x0000_s7794"/>
    <customShpInfo spid="_x0000_s7584"/>
    <customShpInfo spid="_x0000_s7665"/>
    <customShpInfo spid="_x0000_s7664"/>
    <customShpInfo spid="_x0000_s7796"/>
    <customShpInfo spid="_x0000_s7585"/>
    <customShpInfo spid="_x0000_s7657"/>
    <customShpInfo spid="_x0000_s7656"/>
    <customShpInfo spid="_x0000_s7489"/>
    <customShpInfo spid="_x0000_s7491"/>
    <customShpInfo spid="_x0000_s7492"/>
    <customShpInfo spid="_x0000_s7493"/>
    <customShpInfo spid="_x0000_s7494"/>
    <customShpInfo spid="_x0000_s7495"/>
    <customShpInfo spid="_x0000_s7496"/>
    <customShpInfo spid="_x0000_s7497"/>
    <customShpInfo spid="_x0000_s7498"/>
    <customShpInfo spid="_x0000_s7499"/>
    <customShpInfo spid="_x0000_s7500"/>
    <customShpInfo spid="_x0000_s7501"/>
    <customShpInfo spid="_x0000_s7502"/>
    <customShpInfo spid="_x0000_s7503"/>
    <customShpInfo spid="_x0000_s7504"/>
    <customShpInfo spid="_x0000_s7505"/>
    <customShpInfo spid="_x0000_s7506"/>
    <customShpInfo spid="_x0000_s7507"/>
    <customShpInfo spid="_x0000_s7508"/>
    <customShpInfo spid="_x0000_s7510"/>
    <customShpInfo spid="_x0000_s7511"/>
    <customShpInfo spid="_x0000_s7512"/>
    <customShpInfo spid="_x0000_s7513"/>
    <customShpInfo spid="_x0000_s7515"/>
    <customShpInfo spid="_x0000_s7516"/>
    <customShpInfo spid="_x0000_s7517"/>
    <customShpInfo spid="_x0000_s7518"/>
    <customShpInfo spid="_x0000_s7519"/>
    <customShpInfo spid="_x0000_s7520"/>
    <customShpInfo spid="_x0000_s7521"/>
    <customShpInfo spid="_x0000_s7522"/>
    <customShpInfo spid="_x0000_s7523"/>
    <customShpInfo spid="_x0000_s7525"/>
    <customShpInfo spid="_x0000_s7526"/>
    <customShpInfo spid="_x0000_s7527"/>
    <customShpInfo spid="_x0000_s7528"/>
    <customShpInfo spid="_x0000_s7529"/>
    <customShpInfo spid="_x0000_s7530"/>
    <customShpInfo spid="_x0000_s7531"/>
    <customShpInfo spid="_x0000_s7532"/>
    <customShpInfo spid="_x0000_s7533"/>
    <customShpInfo spid="_x0000_s749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BEC0F8-8429-4939-8D0D-DE13084ED2B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78</Pages>
  <Words>116</Words>
  <Characters>149</Characters>
  <Lines>340</Lines>
  <Paragraphs>95</Paragraphs>
  <TotalTime>0</TotalTime>
  <ScaleCrop>false</ScaleCrop>
  <LinksUpToDate>false</LinksUpToDate>
  <CharactersWithSpaces>149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2023-11-08T06:34:00Z</dcterms:created>
  <dc:creator>微软用户</dc:creator>
  <cp:lastModifiedBy>悠悠然</cp:lastModifiedBy>
  <cp:lastPrinted>2021-04-20T01:03:00Z</cp:lastPrinted>
  <dcterms:modified xsi:type="dcterms:W3CDTF">2025-04-30T01:56:40Z</dcterms:modified>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C476112D7FBC482AA1BB22BD3C23338C_13</vt:lpwstr>
  </property>
  <property fmtid="{D5CDD505-2E9C-101B-9397-08002B2CF9AE}" pid="4" name="KSOTemplateDocerSaveRecord">
    <vt:lpwstr>eyJoZGlkIjoiMjVjYmY5M2JmMmY2NjBjZGM5MDMxODI3NjhjMzE5OWEiLCJ1c2VySWQiOiIyOTUzNDgyNDIifQ==</vt:lpwstr>
  </property>
</Properties>
</file>