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B2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</w:p>
    <w:p w14:paraId="60B6E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淮南市毛集社会发展综合实验区管理委员会202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年政府信息公开工作年度报告</w:t>
      </w:r>
    </w:p>
    <w:p w14:paraId="7EB3A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F523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报告依据《中华人民共和国政府信息公开条例》（国务院令第711号，以下简称《条例》）、《国务院办公厅政府信息与政务公开办公室关于印发〈中华人民共和国政府信息公开工作年度报告格式〉的通知》（国办公开办函〔2021〕30号），结合上级文件精神编制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报告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总体情况、主动公开政府信息情况、收到和处理政府信息公开申请情况、政府信息公开行政复议和行政诉讼情况、存在的主要问题及改进情况、其他需要报告事项等六部分组成。本报告中使用数据统计期限为202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年1月1日至202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年12月31日。报告的电子版可在毛集实验区管委会网站下载（https://www.maoji.gov.cn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。如疑问，请与毛集实验区管委会办公室联系（地址：毛集实验区焦岗湖大道66号731室，电话：0554-8272564，邮编：232181）。</w:t>
      </w:r>
    </w:p>
    <w:p w14:paraId="4AB2B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一、总体情况</w:t>
      </w:r>
    </w:p>
    <w:p w14:paraId="6B01F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（一）主动公开</w:t>
      </w:r>
    </w:p>
    <w:p w14:paraId="7C46B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，共发布各类公开信息6961条，更新完善企业办事一通、个人办事一本通，发布各类政策解读22条信息。制定《毛集实验区管理委员会办公室关于印发2024年度政务公开重点工作清单的通知》（毛管办秘〔2024〕11号），设立惠民惠农专栏，主动清理各类失效过期信息3000多条，举办“政府开放日”17次，主动回应热点信息94条，推进公共企事业单位信息公开向规范化、标准化迈进，开展在线访谈6期。</w:t>
      </w:r>
    </w:p>
    <w:p w14:paraId="25D02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（二）依申请公开</w:t>
      </w:r>
    </w:p>
    <w:p w14:paraId="404CE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2024年接到依申请公开55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上年结转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2件，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其中自然人通过网上申请33件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，信函邮寄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23件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，商业企业通过邮寄申请1件。予以公开1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件，部分公开3件，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属于行政查询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1件，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本机关不掌握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信息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重复申请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件，其他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16件，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结转下年办理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按照依申请公开类别分：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土地征收类22个，搬迁安置类4个，数据研究类1个，其他类30个</w:t>
      </w:r>
    </w:p>
    <w:p w14:paraId="7A0E3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因政府信息公开引起的行政复议8个，结果维持6个、结果纠正2个，行政诉讼0个</w:t>
      </w:r>
    </w:p>
    <w:p w14:paraId="33782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（三）政府信息管理</w:t>
      </w:r>
    </w:p>
    <w:p w14:paraId="19CF7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按照“谁发布谁负责”“先审查后公开”的原则，严格落实政府信息公开主体责任，健全信息公开三审制。按照从源头认定原则，从公文起草时就确定公开属性。结合读网抽查、监测巡查、督促核查，多措并举筑牢政府信息内容安全防线。严格执行政府信息公开保密审查制度，坚决杜绝信息公开工作中的泄密风险。及时清理过期、失效信息，防止误导公众现象发生。2024年新增加行政规范性文件2件、废止失效2件，继续有效7件，及时公开规范性文件清理结果。</w:t>
      </w:r>
    </w:p>
    <w:p w14:paraId="3B567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（四）政府信息公开平台建设</w:t>
      </w:r>
    </w:p>
    <w:p w14:paraId="235DE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中心工作，及时调整主动调整优化目录，按照“数据同源、信息共享、服务同根”要求，对于涉及群众面广、影响大的政策及政策解读进行多账号协同发布，形成信息传播和公共服务合力，强化政务公开专区功能建设，加强政策咨询窗口建设。提升平台安全防护能力，全年开展12次安全巡检，及时解决发现的问题。2024年通过毛集实验区管委会发布政务新媒体平台发布信息1072条。</w:t>
      </w:r>
    </w:p>
    <w:p w14:paraId="5624E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（五）监督保障</w:t>
      </w:r>
    </w:p>
    <w:p w14:paraId="5FE4B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加强对政府信息公开网的日常巡检工作，落实日常值班读网制度。通过在线调查，意见征集、政府开放日等活动，开展社会公众评议，全年未发生因政府信息公开工作责任追究情况。全年共开展政务公开培训6次，定期开展政务公开交流促进会。扎实开展“政府开放日”活动，切实提升部门履职效能和政务服务水平。</w:t>
      </w:r>
    </w:p>
    <w:p w14:paraId="02040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二、主动公开政府信息情况</w:t>
      </w:r>
    </w:p>
    <w:tbl>
      <w:tblPr>
        <w:tblStyle w:val="9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 w14:paraId="7EFE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02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915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FA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E6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98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53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6C26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AB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36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FF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4B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2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7C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FD1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75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1D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BE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 w14:paraId="05F48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80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7AA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FA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9DF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743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66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07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E2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330</w:t>
            </w:r>
          </w:p>
        </w:tc>
      </w:tr>
      <w:tr w14:paraId="4973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E7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96D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30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B8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73D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72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07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2320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</w:tr>
      <w:tr w14:paraId="48A5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91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07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E9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5E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E1C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A3A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C9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D0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BC9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30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07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07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48.28</w:t>
            </w:r>
          </w:p>
        </w:tc>
      </w:tr>
    </w:tbl>
    <w:p w14:paraId="30222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三、收到和处理政府信息公开申请情况</w:t>
      </w:r>
    </w:p>
    <w:tbl>
      <w:tblPr>
        <w:tblStyle w:val="9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1200"/>
        <w:gridCol w:w="3284"/>
        <w:gridCol w:w="427"/>
        <w:gridCol w:w="502"/>
        <w:gridCol w:w="428"/>
        <w:gridCol w:w="623"/>
        <w:gridCol w:w="600"/>
        <w:gridCol w:w="449"/>
        <w:gridCol w:w="451"/>
      </w:tblGrid>
      <w:tr w14:paraId="3360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5509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5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3480" w:type="dxa"/>
            <w:gridSpan w:val="7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F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申请人情况</w:t>
            </w:r>
          </w:p>
        </w:tc>
      </w:tr>
      <w:tr w14:paraId="7586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509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ECF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2602" w:type="dxa"/>
            <w:gridSpan w:val="5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12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451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F9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总计</w:t>
            </w:r>
          </w:p>
        </w:tc>
      </w:tr>
      <w:tr w14:paraId="1009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5509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C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3D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C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业</w:t>
            </w:r>
          </w:p>
          <w:p w14:paraId="182BA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企业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C6B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科研</w:t>
            </w:r>
          </w:p>
          <w:p w14:paraId="6C28D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机构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0C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F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04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其他</w:t>
            </w:r>
          </w:p>
        </w:tc>
        <w:tc>
          <w:tcPr>
            <w:tcW w:w="451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8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AAA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509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C0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8E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24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1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6F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E6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74C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3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</w:tr>
      <w:tr w14:paraId="4F44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509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A9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F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08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7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AB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D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DA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0C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3612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17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三、</w:t>
            </w:r>
          </w:p>
          <w:p w14:paraId="4F88D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本</w:t>
            </w:r>
          </w:p>
          <w:p w14:paraId="6D189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年</w:t>
            </w:r>
          </w:p>
          <w:p w14:paraId="6729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度</w:t>
            </w:r>
          </w:p>
          <w:p w14:paraId="2CEA5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办</w:t>
            </w:r>
          </w:p>
          <w:p w14:paraId="638E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理</w:t>
            </w:r>
          </w:p>
          <w:p w14:paraId="69B76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结</w:t>
            </w:r>
          </w:p>
          <w:p w14:paraId="7FCD9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果</w:t>
            </w:r>
          </w:p>
        </w:tc>
        <w:tc>
          <w:tcPr>
            <w:tcW w:w="4484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23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3C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EED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3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3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2DC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0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32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 w14:paraId="3417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CD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84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0D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AB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80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D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A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1B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92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883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66CF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40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87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9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1E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02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92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67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85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9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CC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6806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49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3EA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2F8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23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67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2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7C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F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1B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25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3382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19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C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B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1A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05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26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1E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1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6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27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325B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38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59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13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D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AC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31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8C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55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A4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B0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6A2A7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E2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D0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7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AD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35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7B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4A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C59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61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88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19F9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2A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31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74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14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74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B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A8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61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D7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915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5010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27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4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AF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2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D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E1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AF5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11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42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66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3821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1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A2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33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FA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7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C3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BD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A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5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78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884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A7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28D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EC0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F3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27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E9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0C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DC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608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16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 w14:paraId="39C8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4E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1A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C1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B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06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8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27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F7C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B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F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7A3E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AD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C3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B7C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9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3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09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CE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B0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64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C1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4665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90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87B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16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38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02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61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0D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D1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C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74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2AA1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6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F2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9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DE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13C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CC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0C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F8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6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D5B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633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90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76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E1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B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92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A5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C5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7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67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59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42D3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3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E6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B8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A22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92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67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A7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B0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0EC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64A8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C5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45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ED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8B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5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27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62C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29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00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8EF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72E1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98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69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C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D4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500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3C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C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16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0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4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0A0B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7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6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6B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1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5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C7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91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9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4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4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14:paraId="4351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D1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6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78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3.其他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5B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15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48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EC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C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89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FF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 w14:paraId="3537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025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8E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84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2D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E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0BF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EA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24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B9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48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8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</w:tr>
      <w:tr w14:paraId="1B4C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509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4E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4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78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57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1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AC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78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88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95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557F9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9"/>
        <w:tblpPr w:leftFromText="181" w:rightFromText="181" w:vertAnchor="text" w:horzAnchor="page" w:tblpXSpec="center" w:tblpY="1"/>
        <w:tblOverlap w:val="never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463"/>
        <w:gridCol w:w="468"/>
        <w:gridCol w:w="644"/>
        <w:gridCol w:w="508"/>
        <w:gridCol w:w="576"/>
        <w:gridCol w:w="576"/>
        <w:gridCol w:w="576"/>
        <w:gridCol w:w="576"/>
        <w:gridCol w:w="576"/>
        <w:gridCol w:w="576"/>
        <w:gridCol w:w="577"/>
        <w:gridCol w:w="577"/>
        <w:gridCol w:w="577"/>
        <w:gridCol w:w="1005"/>
      </w:tblGrid>
      <w:tr w14:paraId="4AD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71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80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19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行政诉讼</w:t>
            </w:r>
          </w:p>
        </w:tc>
      </w:tr>
      <w:tr w14:paraId="4505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3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4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6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结果</w:t>
            </w:r>
          </w:p>
          <w:p w14:paraId="15997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纠正</w:t>
            </w:r>
          </w:p>
        </w:tc>
        <w:tc>
          <w:tcPr>
            <w:tcW w:w="4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其他</w:t>
            </w:r>
          </w:p>
          <w:p w14:paraId="7D61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结果</w:t>
            </w:r>
          </w:p>
        </w:tc>
        <w:tc>
          <w:tcPr>
            <w:tcW w:w="6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尚未</w:t>
            </w:r>
          </w:p>
          <w:p w14:paraId="73CCF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审结</w:t>
            </w:r>
          </w:p>
        </w:tc>
        <w:tc>
          <w:tcPr>
            <w:tcW w:w="5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1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28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5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31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复议后起诉</w:t>
            </w:r>
          </w:p>
        </w:tc>
      </w:tr>
      <w:tr w14:paraId="3063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32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0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8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D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8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BC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F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结果</w:t>
            </w:r>
          </w:p>
          <w:p w14:paraId="55139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维持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7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结果</w:t>
            </w:r>
          </w:p>
          <w:p w14:paraId="37E4A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纠正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2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其他</w:t>
            </w:r>
          </w:p>
          <w:p w14:paraId="5121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结果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A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尚未</w:t>
            </w:r>
          </w:p>
          <w:p w14:paraId="311B1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审结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0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结果</w:t>
            </w:r>
          </w:p>
          <w:p w14:paraId="203E0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维持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A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结果</w:t>
            </w:r>
          </w:p>
          <w:p w14:paraId="5E21D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纠正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1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其他</w:t>
            </w:r>
          </w:p>
          <w:p w14:paraId="35B22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结果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A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尚未</w:t>
            </w:r>
          </w:p>
          <w:p w14:paraId="2E1C4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审结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2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总计</w:t>
            </w:r>
          </w:p>
        </w:tc>
      </w:tr>
      <w:tr w14:paraId="0F4D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7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3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D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F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2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C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B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1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F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F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3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2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</w:tr>
    </w:tbl>
    <w:p w14:paraId="6BC69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五、存在的主要问题及改进情况</w:t>
      </w:r>
    </w:p>
    <w:p w14:paraId="3BDEE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2024年，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区管委会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认真落实各项政务公开的工作，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取得了一定的成效，但仍存在不足之处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：一是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政策解读的创新性、针对性有待提升，政策的精准推送力度有待加强。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是政策宣传手段需要进一步丰富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工作创新能力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需要进一步提升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，需进一步提高准确把握政策精神，切实增强政务公开工作的能力。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政务公开队伍建设的稳定性和专业性仍需进一步提高，各单位政务公开工作推进存在不平衡。</w:t>
      </w:r>
    </w:p>
    <w:p w14:paraId="3EC1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针对上述存在的主要问题，今后将改进如下：</w:t>
      </w:r>
    </w:p>
    <w:p w14:paraId="09D2C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做好政策解读的提质增效。把握政务公开工作重点，拓宽政务公开的形式，丰富政务公开的内容，增加政策解读趣味性，不断提高政务公开的质量和水平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广泛开展调查研究，针对不同的群体，推出不同的解读形式，加快AI在政务公开中的应用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二是进一步充实政策宣传工具箱，根据不同的受众，对政策进行细分，向不同受众群体，采用不同推送形式，推送不同政策，实现形式与内容精准投送，除采用新媒体进行，要充分利用广播、地方无线电视、有线网络电视、公示栏等形式，加强政策宣传，举办政务公开政策学习班，强化政策学习，吃透政策精神，提升政务公开工作能力，做到有的放矢。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加强政务公开工作队伍建设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健全“传帮带”机制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增强工作人员主动学习意识，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加大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培训指导力度，全面提升政务公开工作队伍能力和水平。</w:t>
      </w:r>
    </w:p>
    <w:p w14:paraId="0A4FB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六、其他需要报告的事项</w:t>
      </w:r>
    </w:p>
    <w:p w14:paraId="5CA2A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按照《国务院办公厅关于印发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政府信息公开信息处理费管理办法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的通知》（国办函〔2020〕109号）规定的按件、按量收费标准，本年度没有产生信息公开处理费。</w:t>
      </w:r>
    </w:p>
    <w:p w14:paraId="0F280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2024年按照卫生、教育、水电气、交通行业分类开展公共企事业单位信息公开培训4次，详细讲解目录要求，要求各公共企事业单位完善信息公开制度，建立严格的信息发布审核流程，主动回复群众关心的问题。</w:t>
      </w:r>
    </w:p>
    <w:bookmarkEnd w:id="0"/>
    <w:sectPr>
      <w:headerReference r:id="rId3" w:type="default"/>
      <w:footerReference r:id="rId4" w:type="default"/>
      <w:pgSz w:w="11906" w:h="16838"/>
      <w:pgMar w:top="1962" w:right="1474" w:bottom="1848" w:left="1587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3602A">
    <w:pPr>
      <w:pStyle w:val="6"/>
      <w:framePr w:wrap="around" w:vAnchor="text" w:hAnchor="margin" w:xAlign="center" w:y="1"/>
      <w:rPr>
        <w:rStyle w:val="11"/>
        <w:rFonts w:ascii="宋体" w:hAnsi="宋体" w:eastAsia="宋体" w:cs="Times New Roman"/>
        <w:sz w:val="28"/>
        <w:szCs w:val="28"/>
      </w:rPr>
    </w:pPr>
    <w:r>
      <w:rPr>
        <w:rStyle w:val="11"/>
        <w:rFonts w:ascii="宋体" w:hAnsi="宋体" w:eastAsia="宋体" w:cs="Times New Roman"/>
        <w:sz w:val="28"/>
        <w:szCs w:val="28"/>
      </w:rPr>
      <w:fldChar w:fldCharType="begin"/>
    </w:r>
    <w:r>
      <w:rPr>
        <w:rStyle w:val="11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11"/>
        <w:rFonts w:ascii="宋体" w:hAnsi="宋体" w:eastAsia="宋体" w:cs="Times New Roman"/>
        <w:sz w:val="28"/>
        <w:szCs w:val="28"/>
      </w:rPr>
      <w:fldChar w:fldCharType="separate"/>
    </w:r>
    <w:r>
      <w:rPr>
        <w:rStyle w:val="11"/>
        <w:rFonts w:ascii="宋体" w:hAnsi="宋体" w:eastAsia="宋体" w:cs="Times New Roman"/>
        <w:sz w:val="28"/>
        <w:szCs w:val="28"/>
      </w:rPr>
      <w:t>- 4 -</w:t>
    </w:r>
    <w:r>
      <w:rPr>
        <w:rStyle w:val="11"/>
        <w:rFonts w:ascii="宋体" w:hAnsi="宋体" w:eastAsia="宋体" w:cs="Times New Roman"/>
        <w:sz w:val="28"/>
        <w:szCs w:val="28"/>
      </w:rPr>
      <w:fldChar w:fldCharType="end"/>
    </w:r>
  </w:p>
  <w:p w14:paraId="3E7ABEDB">
    <w:pPr>
      <w:pStyle w:val="6"/>
      <w:ind w:right="360" w:firstLine="360"/>
      <w:rPr>
        <w:rFonts w:ascii="Calibri" w:hAnsi="Calibri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6A873">
    <w:pPr>
      <w:pStyle w:val="7"/>
      <w:pBdr>
        <w:bottom w:val="none" w:color="auto" w:sz="0" w:space="0"/>
      </w:pBdr>
      <w:rPr>
        <w:rFonts w:ascii="Calibri" w:hAnsi="Calibri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5xumycqZz5mJerj9eBnHdTdfP2E=" w:salt="Dau5g1aqSJs0bgc4dgaGE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C20F0"/>
    <w:rsid w:val="3A8E189D"/>
    <w:rsid w:val="57B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  <w:lang w:val="en-US" w:eastAsia="zh-CN" w:bidi="ar-SA"/>
    </w:rPr>
  </w:style>
  <w:style w:type="paragraph" w:styleId="4">
    <w:name w:val="heading 3"/>
    <w:next w:val="1"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99"/>
    <w:pPr>
      <w:widowControl w:val="0"/>
      <w:jc w:val="both"/>
    </w:pPr>
    <w:rPr>
      <w:rFonts w:ascii="文星仿宋" w:hAnsi="文星仿宋" w:eastAsia="文星仿宋" w:cs="Times New Roman"/>
      <w:kern w:val="2"/>
      <w:sz w:val="24"/>
      <w:szCs w:val="20"/>
      <w:lang w:val="en-US" w:eastAsia="zh-CN" w:bidi="ar-SA"/>
    </w:rPr>
  </w:style>
  <w:style w:type="paragraph" w:styleId="6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8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styleId="11">
    <w:name w:val="page number"/>
    <w:uiPriority w:val="0"/>
  </w:style>
  <w:style w:type="paragraph" w:styleId="12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List Paragraph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2025-02-19T01:48:00Z</dcterms:created>
  <dc:creator>随意吧</dc:creator>
  <cp:lastModifiedBy>随意吧</cp:lastModifiedBy>
  <dcterms:modified xsi:type="dcterms:W3CDTF">2025-02-19T07:07:55Z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078F03F6AAC04A7EAA9AA544CE29A45A_11</vt:lpwstr>
  </property>
  <property fmtid="{D5CDD505-2E9C-101B-9397-08002B2CF9AE}" pid="4" name="KSOTemplateDocerSaveRecord">
    <vt:lpwstr>eyJoZGlkIjoiZjNjNjE1MWMzNmQxOGJlNDRkNGM4OGI3NDQ2Yjk3Y2IiLCJ1c2VySWQiOiIzMzA5NTk4MjcifQ==</vt:lpwstr>
  </property>
</Properties>
</file>