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9A446">
      <w:pPr>
        <w:jc w:val="center"/>
        <w:rPr>
          <w:rFonts w:ascii="仿宋" w:hAnsi="仿宋" w:eastAsia="仿宋" w:cs="宋体"/>
          <w:b/>
          <w:bCs/>
          <w:color w:val="FF0000"/>
          <w:sz w:val="36"/>
          <w:szCs w:val="36"/>
        </w:rPr>
      </w:pPr>
      <w:bookmarkStart w:id="0" w:name="_GoBack"/>
      <w:bookmarkEnd w:id="0"/>
    </w:p>
    <w:p w14:paraId="0A6FCAFA">
      <w:pPr>
        <w:jc w:val="center"/>
        <w:rPr>
          <w:rFonts w:ascii="仿宋" w:hAnsi="仿宋" w:eastAsia="仿宋" w:cs="宋体"/>
          <w:b/>
          <w:bCs/>
          <w:color w:val="FF0000"/>
          <w:sz w:val="36"/>
          <w:szCs w:val="36"/>
        </w:rPr>
      </w:pPr>
    </w:p>
    <w:p w14:paraId="7DCA9F79">
      <w:pPr>
        <w:jc w:val="center"/>
        <w:rPr>
          <w:rFonts w:ascii="仿宋" w:hAnsi="仿宋" w:eastAsia="仿宋" w:cs="宋体"/>
          <w:b/>
          <w:bCs/>
          <w:color w:val="FF0000"/>
          <w:sz w:val="36"/>
          <w:szCs w:val="36"/>
        </w:rPr>
      </w:pPr>
    </w:p>
    <w:p w14:paraId="6154F02C">
      <w:pPr>
        <w:jc w:val="center"/>
        <w:rPr>
          <w:rFonts w:ascii="仿宋" w:hAnsi="仿宋" w:eastAsia="仿宋" w:cs="宋体"/>
          <w:b/>
          <w:bCs/>
          <w:color w:val="FF0000"/>
          <w:sz w:val="36"/>
          <w:szCs w:val="36"/>
        </w:rPr>
      </w:pPr>
    </w:p>
    <w:p w14:paraId="128EB4B5">
      <w:pPr>
        <w:jc w:val="center"/>
        <w:rPr>
          <w:rFonts w:ascii="仿宋" w:hAnsi="仿宋" w:eastAsia="仿宋" w:cs="宋体"/>
          <w:b/>
          <w:bCs/>
          <w:color w:val="FF0000"/>
          <w:sz w:val="36"/>
          <w:szCs w:val="36"/>
        </w:rPr>
      </w:pPr>
    </w:p>
    <w:p w14:paraId="07B74CBD">
      <w:pPr>
        <w:jc w:val="center"/>
        <w:rPr>
          <w:rFonts w:ascii="仿宋" w:hAnsi="仿宋" w:eastAsia="仿宋" w:cs="宋体"/>
          <w:b/>
          <w:bCs/>
          <w:color w:val="FF0000"/>
          <w:sz w:val="36"/>
          <w:szCs w:val="36"/>
        </w:rPr>
      </w:pPr>
    </w:p>
    <w:p w14:paraId="1E079EFE">
      <w:pPr>
        <w:jc w:val="center"/>
        <w:rPr>
          <w:rFonts w:ascii="仿宋" w:hAnsi="仿宋" w:eastAsia="仿宋" w:cs="宋体"/>
          <w:b/>
          <w:bCs/>
          <w:color w:val="FF0000"/>
          <w:sz w:val="36"/>
          <w:szCs w:val="36"/>
        </w:rPr>
      </w:pPr>
    </w:p>
    <w:p w14:paraId="256B2FD2">
      <w:pPr>
        <w:jc w:val="center"/>
        <w:rPr>
          <w:rFonts w:ascii="仿宋" w:hAnsi="仿宋" w:eastAsia="仿宋" w:cs="宋体"/>
          <w:b/>
          <w:bCs/>
          <w:color w:val="FF0000"/>
          <w:sz w:val="36"/>
          <w:szCs w:val="36"/>
        </w:rPr>
      </w:pPr>
    </w:p>
    <w:p w14:paraId="1C1651F3">
      <w:pPr>
        <w:jc w:val="center"/>
        <w:rPr>
          <w:rFonts w:ascii="仿宋" w:hAnsi="仿宋" w:eastAsia="仿宋" w:cs="仿宋"/>
          <w:sz w:val="32"/>
          <w:szCs w:val="32"/>
        </w:rPr>
      </w:pPr>
      <w:r>
        <w:rPr>
          <w:rFonts w:hint="eastAsia" w:ascii="仿宋" w:hAnsi="仿宋" w:eastAsia="仿宋" w:cs="仿宋"/>
          <w:sz w:val="32"/>
          <w:szCs w:val="32"/>
        </w:rPr>
        <w:t>毛环审复</w:t>
      </w:r>
      <w:r>
        <w:rPr>
          <w:rFonts w:hint="eastAsia" w:ascii="仿宋_GB2312" w:hAnsi="仿宋" w:cs="仿宋"/>
          <w:b w:val="0"/>
          <w:bCs w:val="0"/>
          <w:sz w:val="32"/>
          <w:szCs w:val="32"/>
        </w:rPr>
        <w:t>〔2024〕</w:t>
      </w:r>
      <w:r>
        <w:rPr>
          <w:rFonts w:ascii="仿宋" w:hAnsi="仿宋" w:eastAsia="仿宋" w:cs="仿宋"/>
          <w:sz w:val="32"/>
          <w:szCs w:val="32"/>
        </w:rPr>
        <w:t>11</w:t>
      </w:r>
      <w:r>
        <w:rPr>
          <w:rFonts w:hint="eastAsia" w:ascii="仿宋" w:hAnsi="仿宋" w:eastAsia="仿宋" w:cs="仿宋"/>
          <w:sz w:val="32"/>
          <w:szCs w:val="32"/>
        </w:rPr>
        <w:t>号</w:t>
      </w:r>
    </w:p>
    <w:p w14:paraId="16AABA6D">
      <w:pPr>
        <w:rPr>
          <w:b/>
          <w:bCs/>
          <w:color w:val="000000"/>
          <w:spacing w:val="-20"/>
          <w:kern w:val="44"/>
          <w:sz w:val="44"/>
          <w:szCs w:val="44"/>
        </w:rPr>
      </w:pPr>
    </w:p>
    <w:p w14:paraId="7B81C955">
      <w:pPr>
        <w:jc w:val="center"/>
        <w:rPr>
          <w:b/>
          <w:bCs/>
          <w:color w:val="000000"/>
          <w:spacing w:val="-20"/>
          <w:kern w:val="44"/>
          <w:sz w:val="44"/>
          <w:szCs w:val="44"/>
        </w:rPr>
      </w:pPr>
      <w:r>
        <w:rPr>
          <w:b/>
          <w:bCs/>
          <w:color w:val="000000"/>
          <w:spacing w:val="-20"/>
          <w:kern w:val="44"/>
          <w:sz w:val="44"/>
          <w:szCs w:val="44"/>
        </w:rPr>
        <w:t>关于国纳高新科技(安徽)有限公司年产500万米纳米纤维膜生产项目（一期）环境影响</w:t>
      </w:r>
    </w:p>
    <w:p w14:paraId="761D60C6">
      <w:pPr>
        <w:jc w:val="center"/>
        <w:rPr>
          <w:b/>
          <w:bCs/>
          <w:color w:val="000000"/>
          <w:spacing w:val="-20"/>
          <w:kern w:val="44"/>
          <w:sz w:val="44"/>
          <w:szCs w:val="44"/>
        </w:rPr>
      </w:pPr>
      <w:r>
        <w:rPr>
          <w:b/>
          <w:bCs/>
          <w:color w:val="000000"/>
          <w:spacing w:val="-20"/>
          <w:kern w:val="44"/>
          <w:sz w:val="44"/>
          <w:szCs w:val="44"/>
        </w:rPr>
        <w:t>报告表的批复</w:t>
      </w:r>
    </w:p>
    <w:p w14:paraId="03EE1738"/>
    <w:p w14:paraId="52F8513F">
      <w:pPr>
        <w:spacing w:line="520" w:lineRule="exact"/>
        <w:rPr>
          <w:rFonts w:hint="eastAsia" w:ascii="仿宋" w:hAnsi="仿宋" w:eastAsia="仿宋" w:cs="仿宋"/>
          <w:color w:val="000000"/>
          <w:sz w:val="32"/>
          <w:szCs w:val="32"/>
        </w:rPr>
      </w:pPr>
      <w:r>
        <w:rPr>
          <w:rFonts w:hint="eastAsia" w:ascii="仿宋" w:hAnsi="仿宋" w:eastAsia="仿宋" w:cs="仿宋"/>
          <w:color w:val="000000"/>
          <w:sz w:val="32"/>
          <w:szCs w:val="32"/>
        </w:rPr>
        <w:t>国纳高新科技(安徽)有限公司：</w:t>
      </w:r>
    </w:p>
    <w:p w14:paraId="765B29CB">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你公司报来的《年产500万米纳米纤维膜生产项目（一期）环境影响报告表》（以下简称《报告表》）已收悉，经审查批复如下：</w:t>
      </w:r>
    </w:p>
    <w:p w14:paraId="11B23CD7">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在全面落实环评文件提出的各项污染防治措施和风险防范措施的前提下，原则同意该项目按照安徽应天环保科技咨询有限公司编制的《报告表》及文本审批意见要求进行建设。</w:t>
      </w:r>
    </w:p>
    <w:p w14:paraId="1451B235">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一、项目概况</w:t>
      </w:r>
    </w:p>
    <w:p w14:paraId="1A8205AA">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国纳高新科技(安徽)有限公司拟投资25600万元，在淮南市毛集经济开发区先进制造产业园2号楼新建年产500万米纳米纤维膜生产项目，项目一期租赁并改造厂房面积约6000平方米，新建静电纺丝纳米纤维防水透气膜生产线6条、纳米纤维复合滤材生产线1条以及产品研发展示中心，年产150万米静电纺丝纳米纤维防水透气膜及800吨纳米纤维复合滤材。项目二期使用厂房面积约10000平方米，新建静电纺丝纳米纤维防水透气膜生产线14条、纳米纤维复合滤材生产线1条，年产350万米静电纺丝纳米纤维防水透气膜及1200吨纳米纤维复合滤材。本次环评仅针对一期建设内容进行评价，二期建设不属于本次评价内容，本项目一期工程建成后预计形成年产150万米静电纺丝纳米纤维防水透气膜及800吨纳米纤维复合滤材的生产能力。该项目已取得毛集实验区发展改革局备案备案（项目代码为2403-340407-04-01-571119）。</w:t>
      </w:r>
    </w:p>
    <w:p w14:paraId="14F16C49">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二、污染防治措施要求</w:t>
      </w:r>
    </w:p>
    <w:p w14:paraId="57934DEC">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为保护区域环境质量不因本项目建设而降低，项目设计、建设和运行必须做到以下要求：</w:t>
      </w:r>
    </w:p>
    <w:p w14:paraId="097BB6E8">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themeColor="text1"/>
          <w:sz w:val="32"/>
          <w:szCs w:val="32"/>
          <w14:textFill>
            <w14:solidFill>
              <w14:schemeClr w14:val="tx1"/>
            </w14:solidFill>
          </w14:textFill>
        </w:rPr>
        <w:t>大气污染防治措施</w:t>
      </w:r>
    </w:p>
    <w:p w14:paraId="71436ED9">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2号楼一层清洗间清洗废气由全密闭车间负压收集后经1套水喷淋+活性炭吸附装置处理后通过1根25m高排气筒排放（DA001）；2号楼二层清洗间清洗废气由全密闭车间负压收集后与一层清洗间清洗废气共用1套水喷淋+活性炭吸附装置处理后通过1根25m高排气筒排放（DA001）。</w:t>
      </w:r>
    </w:p>
    <w:p w14:paraId="0D0C47E7">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2号楼一层空气滤材生产车间静电纺丝过程产生的纺丝废气由全密闭设备上方集气管道负压收集后经1套二级水喷淋装置处理后通过1根25m高排气筒排放（DA002）；2号楼二层防水透气膜生产车间静电纺丝过程产生的纺丝废气由全密闭设备上方集气管道负压收集后与一层空气滤材生产车间纺丝废气共用1套二级水喷淋装置处理后通过1根25m高排气筒排放（DA002）</w:t>
      </w:r>
    </w:p>
    <w:p w14:paraId="599851F0">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③2号楼一层配料间搅拌废气由全密闭车间负压收集后经1套水喷淋+活性炭吸附装置处理后通过1根25m高排气筒排放（DA003）；2号楼二层配料间搅拌废气经全密闭车间负压收集后与一层配料间搅拌废气共用1套水喷淋+活性炭吸附装置处理后通过1根25m高排气筒排放（DA003）。</w:t>
      </w:r>
    </w:p>
    <w:p w14:paraId="6BE0C431">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④2号楼一层压模车间加热烘干产生的烘干废气由全密闭车间负压收集后经1套二级水喷淋装置处理后通过1根25m高排气筒排放（DA004）；2号楼二层压模车间加热烘干产生的烘干废气经全密闭车间负压收集后与一层压模车间加热烘干产生的烘干废气共用1套二级水喷淋装置处理后通过1根25m高排气筒排放（DA004）</w:t>
      </w:r>
    </w:p>
    <w:p w14:paraId="47CF6929">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水污染防治措施。项目采用雨、污分流的排水体制。生活污水依托园区化粪池预处理与车间保洁废水、检测室测试废水汇合后满足毛集实验区污水处理厂接管标准，通过市政污水管网经毛集实验区污水处理厂深度处理后排入丁家沟。</w:t>
      </w:r>
    </w:p>
    <w:p w14:paraId="0B9B5B80">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3、噪声污染防治措施。对噪声较高的设备采取厂房隔声和基础减振等措施；同时合理布置厂区功能。</w:t>
      </w:r>
    </w:p>
    <w:p w14:paraId="1BC192A9">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4、固废污染防治措施。</w:t>
      </w:r>
    </w:p>
    <w:p w14:paraId="4CF36CF3">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①生活垃圾：设置垃圾桶暂存，定期由环卫部门统一清运处理</w:t>
      </w:r>
    </w:p>
    <w:p w14:paraId="440CA9C3">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②一般固体废物：废包装袋（未沾染化学试剂）、废边角料、不合格品等，委托物资公司回收利用。</w:t>
      </w:r>
    </w:p>
    <w:p w14:paraId="23F77F32">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③危险废物：废有机溶剂、废包装桶（沾染化学试剂）、废活性炭、废液压油，贮存在危废暂存间委托有资质单位处理。回收液暂存于储罐区回收液储罐中，定期委托回收单位（DMF原液供应商）利用处置。危废暂存间位于2号楼1层东北侧，占地面积约50m</w:t>
      </w:r>
      <w:r>
        <w:rPr>
          <w:rFonts w:hint="eastAsia" w:ascii="仿宋" w:hAnsi="仿宋" w:eastAsia="仿宋" w:cs="仿宋"/>
          <w:color w:val="000000"/>
          <w:sz w:val="32"/>
          <w:szCs w:val="32"/>
          <w:vertAlign w:val="superscript"/>
        </w:rPr>
        <w:t>2</w:t>
      </w:r>
      <w:r>
        <w:rPr>
          <w:rFonts w:hint="eastAsia" w:ascii="仿宋" w:hAnsi="仿宋" w:eastAsia="仿宋" w:cs="仿宋"/>
          <w:color w:val="000000"/>
          <w:sz w:val="32"/>
          <w:szCs w:val="32"/>
        </w:rPr>
        <w:t>，最大暂存量为20t。</w:t>
      </w:r>
    </w:p>
    <w:p w14:paraId="3BF33638">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5、项目应加强环境保护管理，落实环境保护的各项应急措施及制度，加强风险管理，有关本项目的污染物排放总量控制及其他环境影响减缓措施，按环评报告要求认真落实。</w:t>
      </w:r>
    </w:p>
    <w:p w14:paraId="6E9BB689">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三、环境管理要求</w:t>
      </w:r>
    </w:p>
    <w:p w14:paraId="1C1ED68D">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项目建设过程中应严格执行环境保护“三同时”制度，按国家要求依法登记管理排污许可；项目竣工后，建设单位应当按照国务院生态环境行政主管部门规定的标准和程序，对配套建设的环境保护设施进行验收，编制验收报告，合格后方可投入生产。</w:t>
      </w:r>
    </w:p>
    <w:p w14:paraId="2353C1D3">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四、环评执行标准</w:t>
      </w:r>
    </w:p>
    <w:p w14:paraId="1EBD0E80">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themeColor="text1"/>
          <w:sz w:val="32"/>
          <w:szCs w:val="32"/>
          <w14:textFill>
            <w14:solidFill>
              <w14:schemeClr w14:val="tx1"/>
            </w14:solidFill>
          </w14:textFill>
        </w:rPr>
        <w:t>环境空气及废气排放</w:t>
      </w:r>
    </w:p>
    <w:p w14:paraId="6659AA53">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评价区域环境空气质量执行《环境空气质量标准》（GB3095-2012）中的二级标准。本项目非甲烷总烃排放执行《合成树脂工业污染物排放标准》（GB31572-2015）中表5、表9标准限值；厂区内厂房外非甲烷总烃无组织排放执行《挥发性有机物无组织排放控制标准》（GB37822-2019）中特别排放限值。</w:t>
      </w:r>
    </w:p>
    <w:p w14:paraId="5018EB16">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2、地表水和污水排放</w:t>
      </w:r>
    </w:p>
    <w:p w14:paraId="6A83AB0F">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评价区域地表水丁家沟水质执行《地表水环境质量标准》（GB3838-2002）Ⅲ类标准。</w:t>
      </w:r>
    </w:p>
    <w:p w14:paraId="48473702">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生活污水依托园区化粪池预处理与车间保洁废水、检测室测试废水汇合后满足毛集实验区污水处理厂接管标准，通过市政污水管网经毛集实验区污水处理厂深度处理后排入丁家沟。本项目废水总排放口污染物排放执行毛集实验区污水处理厂接管标准。</w:t>
      </w:r>
    </w:p>
    <w:p w14:paraId="218F8676">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3、声环境及噪声排放</w:t>
      </w:r>
    </w:p>
    <w:p w14:paraId="2C161199">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运营期厂界噪声执行《工业企业厂界环境噪声排放标准》（GB12348-2008）中3类标准。</w:t>
      </w:r>
    </w:p>
    <w:p w14:paraId="20E8541C">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4、固体废物污染控制标准</w:t>
      </w:r>
    </w:p>
    <w:p w14:paraId="433E8DE2">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中华人民共和国固体废物污染环境防治法》的要求，固体废物要妥善处置，不得形成二次污染。一般工业固体废物的贮存、处置参照执行《一般工业固体废物贮存和填埋污染控制标准》（GB18599-2020）；危险废物的贮存、污染控制及监督管理执行《危险废物贮存污染控制标准》（GB18597-2023）中的相关规范及标准要求。</w:t>
      </w:r>
    </w:p>
    <w:p w14:paraId="2AFA55FD">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5、如有环境功能区划调整、新标准制定实施等情况,按照要求变更执行标准。</w:t>
      </w:r>
    </w:p>
    <w:p w14:paraId="04F75CB1">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五、其他要求</w:t>
      </w:r>
    </w:p>
    <w:p w14:paraId="27848BD6">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1、本审批意见仅是我局对该项目环评文件的批复意见，项目涉及的规划、安监、建设、土地等其它事项遵照有关部门的要求执行。</w:t>
      </w:r>
    </w:p>
    <w:p w14:paraId="6E0759E1">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2、若发现建设单位、环评编制单位弄虚作假或不落实承诺内容的，可撤销许可决定，依法查处，并向社会公开，将失信企业纳入相关诚信体系。</w:t>
      </w:r>
    </w:p>
    <w:p w14:paraId="4E0D48CB">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3、你公司应按规定配合各级生态环境部门做好建设项目环境保护事中事后监管工作。</w:t>
      </w:r>
    </w:p>
    <w:p w14:paraId="1C6C2738">
      <w:pPr>
        <w:spacing w:line="52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六、毛集实验区环境保护局环境监察大队做好施工和运营期间的环保监管工作。</w:t>
      </w:r>
    </w:p>
    <w:p w14:paraId="606A2A2E">
      <w:pPr>
        <w:rPr>
          <w:rFonts w:hint="eastAsia" w:ascii="仿宋" w:hAnsi="仿宋" w:eastAsia="仿宋" w:cs="仿宋"/>
          <w:sz w:val="32"/>
          <w:szCs w:val="32"/>
        </w:rPr>
      </w:pPr>
    </w:p>
    <w:p w14:paraId="07DC863C">
      <w:pPr>
        <w:ind w:right="1280" w:firstLine="4800" w:firstLineChars="1500"/>
        <w:rPr>
          <w:rFonts w:hint="eastAsia" w:ascii="仿宋" w:hAnsi="仿宋" w:eastAsia="仿宋" w:cs="仿宋"/>
          <w:color w:val="000000"/>
          <w:sz w:val="32"/>
          <w:szCs w:val="32"/>
        </w:rPr>
      </w:pPr>
    </w:p>
    <w:p w14:paraId="10FC75A3">
      <w:pPr>
        <w:ind w:right="1280" w:firstLine="4800" w:firstLineChars="1500"/>
        <w:rPr>
          <w:rFonts w:hint="eastAsia" w:ascii="仿宋" w:hAnsi="仿宋" w:eastAsia="仿宋" w:cs="仿宋"/>
          <w:color w:val="000000"/>
          <w:sz w:val="32"/>
          <w:szCs w:val="32"/>
        </w:rPr>
      </w:pPr>
      <w:r>
        <w:rPr>
          <w:rFonts w:hint="eastAsia" w:ascii="仿宋" w:hAnsi="仿宋" w:eastAsia="仿宋" w:cs="仿宋"/>
          <w:color w:val="000000"/>
          <w:sz w:val="32"/>
          <w:szCs w:val="32"/>
        </w:rPr>
        <w:t>2024年8月1日</w:t>
      </w:r>
    </w:p>
    <w:p w14:paraId="7C8542CE">
      <w:pPr>
        <w:pStyle w:val="2"/>
        <w:rPr>
          <w:rFonts w:hint="eastAsia" w:ascii="仿宋" w:hAnsi="仿宋" w:eastAsia="仿宋" w:cs="仿宋"/>
          <w:sz w:val="32"/>
          <w:szCs w:val="32"/>
        </w:rPr>
      </w:pPr>
    </w:p>
    <w:p w14:paraId="24C90C0A">
      <w:pPr>
        <w:pStyle w:val="3"/>
        <w:rPr>
          <w:rFonts w:hint="eastAsia" w:ascii="仿宋" w:hAnsi="仿宋" w:eastAsia="仿宋" w:cs="仿宋"/>
          <w:sz w:val="32"/>
          <w:szCs w:val="32"/>
        </w:rPr>
      </w:pPr>
    </w:p>
    <w:p w14:paraId="4EAD14E7">
      <w:pPr>
        <w:rPr>
          <w:rFonts w:hint="eastAsia" w:ascii="仿宋" w:hAnsi="仿宋" w:eastAsia="仿宋" w:cs="仿宋"/>
          <w:sz w:val="32"/>
          <w:szCs w:val="32"/>
        </w:rPr>
      </w:pPr>
      <w:r>
        <w:rPr>
          <w:rFonts w:hint="eastAsia" w:ascii="仿宋" w:hAnsi="仿宋" w:eastAsia="仿宋" w:cs="仿宋"/>
          <w:sz w:val="32"/>
          <w:szCs w:val="32"/>
        </w:rPr>
        <w:t>、</w:t>
      </w:r>
    </w:p>
    <w:p w14:paraId="7CB21B4C">
      <w:pPr>
        <w:pStyle w:val="2"/>
        <w:rPr>
          <w:rFonts w:hint="eastAsia" w:ascii="仿宋" w:hAnsi="仿宋" w:eastAsia="仿宋" w:cs="仿宋"/>
          <w:sz w:val="32"/>
          <w:szCs w:val="32"/>
        </w:rPr>
      </w:pPr>
      <w:r>
        <w:rPr>
          <w:rFonts w:hint="eastAsia" w:ascii="仿宋" w:hAnsi="仿宋" w:eastAsia="仿宋" w:cs="仿宋"/>
          <w:sz w:val="32"/>
          <w:szCs w:val="32"/>
        </w:rPr>
        <w:t>、</w:t>
      </w:r>
    </w:p>
    <w:p w14:paraId="1D2636D8">
      <w:pPr>
        <w:pStyle w:val="3"/>
        <w:rPr>
          <w:rFonts w:hint="eastAsia" w:ascii="仿宋" w:hAnsi="仿宋" w:eastAsia="仿宋" w:cs="仿宋"/>
          <w:sz w:val="32"/>
          <w:szCs w:val="32"/>
        </w:rPr>
      </w:pPr>
    </w:p>
    <w:p w14:paraId="0D53AFD5">
      <w:pPr>
        <w:rPr>
          <w:rFonts w:hint="eastAsia" w:ascii="仿宋" w:hAnsi="仿宋" w:eastAsia="仿宋" w:cs="仿宋"/>
          <w:sz w:val="32"/>
          <w:szCs w:val="32"/>
        </w:rPr>
      </w:pPr>
    </w:p>
    <w:p w14:paraId="69C42FF8">
      <w:pPr>
        <w:pStyle w:val="2"/>
        <w:rPr>
          <w:rFonts w:hint="eastAsia" w:ascii="仿宋" w:hAnsi="仿宋" w:eastAsia="仿宋" w:cs="仿宋"/>
          <w:sz w:val="32"/>
          <w:szCs w:val="32"/>
        </w:rPr>
      </w:pPr>
    </w:p>
    <w:p w14:paraId="5FFBED48">
      <w:pPr>
        <w:pStyle w:val="3"/>
        <w:rPr>
          <w:rFonts w:hint="eastAsia" w:ascii="仿宋" w:hAnsi="仿宋" w:eastAsia="仿宋" w:cs="仿宋"/>
          <w:sz w:val="32"/>
          <w:szCs w:val="32"/>
        </w:rPr>
      </w:pPr>
    </w:p>
    <w:p w14:paraId="25567691">
      <w:pPr>
        <w:rPr>
          <w:rFonts w:hint="eastAsia" w:ascii="仿宋" w:hAnsi="仿宋" w:eastAsia="仿宋" w:cs="仿宋"/>
          <w:sz w:val="32"/>
          <w:szCs w:val="32"/>
        </w:rPr>
      </w:pPr>
    </w:p>
    <w:p w14:paraId="44873338">
      <w:pPr>
        <w:pStyle w:val="2"/>
        <w:rPr>
          <w:rFonts w:hint="eastAsia" w:ascii="仿宋" w:hAnsi="仿宋" w:eastAsia="仿宋" w:cs="仿宋"/>
          <w:sz w:val="32"/>
          <w:szCs w:val="32"/>
        </w:rPr>
      </w:pPr>
    </w:p>
    <w:p w14:paraId="707B578F">
      <w:pPr>
        <w:pStyle w:val="3"/>
        <w:jc w:val="both"/>
        <w:rPr>
          <w:rFonts w:hint="eastAsia" w:ascii="仿宋" w:hAnsi="仿宋" w:eastAsia="仿宋" w:cs="仿宋"/>
          <w:sz w:val="32"/>
          <w:szCs w:val="32"/>
        </w:rPr>
      </w:pPr>
    </w:p>
    <w:p w14:paraId="2AA5A282">
      <w:pPr>
        <w:spacing w:after="120"/>
        <w:rPr>
          <w:rFonts w:hint="eastAsia" w:ascii="仿宋" w:hAnsi="仿宋" w:eastAsia="仿宋" w:cs="仿宋"/>
          <w:color w:val="000000"/>
          <w:sz w:val="32"/>
          <w:szCs w:val="32"/>
        </w:rPr>
      </w:pPr>
    </w:p>
    <w:tbl>
      <w:tblPr>
        <w:tblStyle w:val="5"/>
        <w:tblW w:w="8897"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25"/>
        <w:gridCol w:w="4272"/>
      </w:tblGrid>
      <w:tr w14:paraId="0A47D6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25" w:type="dxa"/>
            <w:tcBorders>
              <w:tl2br w:val="nil"/>
              <w:tr2bl w:val="nil"/>
            </w:tcBorders>
          </w:tcPr>
          <w:p w14:paraId="2F58137E">
            <w:pPr>
              <w:spacing w:after="120"/>
              <w:rPr>
                <w:rFonts w:hint="eastAsia" w:ascii="仿宋" w:hAnsi="仿宋" w:eastAsia="仿宋" w:cs="仿宋"/>
                <w:color w:val="000000"/>
                <w:sz w:val="32"/>
                <w:szCs w:val="32"/>
              </w:rPr>
            </w:pPr>
            <w:r>
              <w:rPr>
                <w:rFonts w:hint="eastAsia" w:ascii="仿宋" w:hAnsi="仿宋" w:eastAsia="仿宋" w:cs="仿宋"/>
                <w:color w:val="000000"/>
                <w:sz w:val="32"/>
                <w:szCs w:val="32"/>
              </w:rPr>
              <w:t>抄送：毛集实验区环境监察大队</w:t>
            </w:r>
          </w:p>
        </w:tc>
        <w:tc>
          <w:tcPr>
            <w:tcW w:w="4272" w:type="dxa"/>
            <w:tcBorders>
              <w:tl2br w:val="nil"/>
              <w:tr2bl w:val="nil"/>
            </w:tcBorders>
          </w:tcPr>
          <w:p w14:paraId="60F0A070">
            <w:pPr>
              <w:spacing w:after="120"/>
              <w:rPr>
                <w:rFonts w:hint="eastAsia" w:ascii="仿宋" w:hAnsi="仿宋" w:eastAsia="仿宋" w:cs="仿宋"/>
                <w:color w:val="000000"/>
                <w:sz w:val="32"/>
                <w:szCs w:val="32"/>
              </w:rPr>
            </w:pPr>
            <w:r>
              <w:rPr>
                <w:rFonts w:hint="eastAsia" w:ascii="仿宋" w:hAnsi="仿宋" w:eastAsia="仿宋" w:cs="仿宋"/>
                <w:color w:val="000000"/>
                <w:sz w:val="32"/>
                <w:szCs w:val="32"/>
              </w:rPr>
              <w:t>安徽应天环保科技咨询有限公司</w:t>
            </w:r>
          </w:p>
        </w:tc>
      </w:tr>
      <w:tr w14:paraId="301DD6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25" w:type="dxa"/>
            <w:tcBorders>
              <w:tl2br w:val="nil"/>
              <w:tr2bl w:val="nil"/>
            </w:tcBorders>
          </w:tcPr>
          <w:p w14:paraId="00FB2451">
            <w:pPr>
              <w:spacing w:after="120"/>
              <w:rPr>
                <w:rFonts w:hint="eastAsia" w:ascii="仿宋" w:hAnsi="仿宋" w:eastAsia="仿宋" w:cs="仿宋"/>
                <w:color w:val="000000"/>
                <w:sz w:val="32"/>
                <w:szCs w:val="32"/>
              </w:rPr>
            </w:pPr>
            <w:r>
              <w:rPr>
                <w:rFonts w:hint="eastAsia" w:ascii="仿宋" w:hAnsi="仿宋" w:eastAsia="仿宋" w:cs="仿宋"/>
                <w:color w:val="000000"/>
                <w:sz w:val="32"/>
                <w:szCs w:val="32"/>
              </w:rPr>
              <w:t>毛集实验区环境保护局</w:t>
            </w:r>
          </w:p>
        </w:tc>
        <w:tc>
          <w:tcPr>
            <w:tcW w:w="4272" w:type="dxa"/>
            <w:tcBorders>
              <w:tl2br w:val="nil"/>
              <w:tr2bl w:val="nil"/>
            </w:tcBorders>
          </w:tcPr>
          <w:p w14:paraId="3DACFAC9">
            <w:pPr>
              <w:spacing w:after="12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2024年8月1日印发</w:t>
            </w:r>
          </w:p>
        </w:tc>
      </w:tr>
    </w:tbl>
    <w:p w14:paraId="5EC1456B">
      <w:pPr>
        <w:pStyle w:val="3"/>
        <w:jc w:val="center"/>
        <w:rPr>
          <w:rFonts w:hint="eastAsia"/>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writeProtection w:cryptProviderType="rsaFull" w:cryptAlgorithmClass="hash" w:cryptAlgorithmType="typeAny" w:cryptAlgorithmSid="4" w:cryptSpinCount="100000" w:hash="C0DTDhLPyP0hxWG+4hyFHuvyuM8=" w:salt="u3DvEciHEUDHmJ2W5YAmEQ=="/>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YzA4NWFmNDgxM2U0OWYwYzQ5NzM5N2NiZTlkY2MifQ=="/>
  </w:docVars>
  <w:rsids>
    <w:rsidRoot w:val="677402BE"/>
    <w:rsid w:val="00307213"/>
    <w:rsid w:val="0061419C"/>
    <w:rsid w:val="00807006"/>
    <w:rsid w:val="00937EE1"/>
    <w:rsid w:val="06696793"/>
    <w:rsid w:val="26D07465"/>
    <w:rsid w:val="436A7C60"/>
    <w:rsid w:val="677402BE"/>
    <w:rsid w:val="7A34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customStyle="1" w:styleId="3">
    <w:name w:val="xl27"/>
    <w:basedOn w:val="1"/>
    <w:next w:val="1"/>
    <w:qFormat/>
    <w:uiPriority w:val="0"/>
    <w:pPr>
      <w:widowControl/>
      <w:spacing w:before="100" w:beforeAutospacing="1" w:after="100" w:afterAutospacing="1"/>
      <w:jc w:val="right"/>
    </w:pPr>
    <w:rPr>
      <w:rFonts w:ascii="宋体" w:hAnsi="宋体"/>
      <w:kern w:val="0"/>
      <w:sz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样式1"/>
    <w:basedOn w:val="1"/>
    <w:autoRedefine/>
    <w:qFormat/>
    <w:uiPriority w:val="0"/>
    <w:pPr>
      <w:snapToGrid w:val="0"/>
      <w:jc w:val="center"/>
    </w:pPr>
    <w:rPr>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2470</Words>
  <Characters>2664</Characters>
  <Lines>19</Lines>
  <Paragraphs>5</Paragraphs>
  <TotalTime>6</TotalTime>
  <ScaleCrop>false</ScaleCrop>
  <LinksUpToDate>false</LinksUpToDate>
  <CharactersWithSpaces>2665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2024-03-05T08:05:00Z</dcterms:created>
  <dc:creator>向南</dc:creator>
  <cp:lastModifiedBy>Rom</cp:lastModifiedBy>
  <dcterms:modified xsi:type="dcterms:W3CDTF">2024-08-01T03:17:08Z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32F5B85D882B4BA9B2E8AC71B8E0D309_13</vt:lpwstr>
  </property>
</Properties>
</file>