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theme="majorEastAsia"/>
          <w:b/>
          <w:bCs/>
          <w:spacing w:val="-20"/>
          <w:kern w:val="44"/>
          <w:sz w:val="44"/>
          <w:szCs w:val="44"/>
        </w:rPr>
      </w:pPr>
      <w:bookmarkStart w:id="0" w:name="_GoBack"/>
      <w:bookmarkEnd w:id="0"/>
    </w:p>
    <w:p>
      <w:pPr>
        <w:spacing w:line="360" w:lineRule="auto"/>
        <w:jc w:val="center"/>
        <w:rPr>
          <w:rFonts w:ascii="宋体" w:hAnsi="宋体" w:cstheme="majorEastAsia"/>
          <w:b/>
          <w:bCs/>
          <w:spacing w:val="-20"/>
          <w:kern w:val="44"/>
          <w:sz w:val="44"/>
          <w:szCs w:val="44"/>
        </w:rPr>
      </w:pPr>
    </w:p>
    <w:p>
      <w:pPr>
        <w:spacing w:line="360" w:lineRule="auto"/>
        <w:jc w:val="center"/>
        <w:rPr>
          <w:rFonts w:ascii="宋体" w:hAnsi="宋体" w:cstheme="majorEastAsia"/>
          <w:b/>
          <w:bCs/>
          <w:spacing w:val="-20"/>
          <w:kern w:val="44"/>
          <w:sz w:val="44"/>
          <w:szCs w:val="44"/>
        </w:rPr>
      </w:pPr>
    </w:p>
    <w:p>
      <w:pPr>
        <w:spacing w:line="360" w:lineRule="auto"/>
        <w:jc w:val="center"/>
        <w:rPr>
          <w:rFonts w:ascii="宋体" w:hAnsi="宋体" w:cstheme="majorEastAsia"/>
          <w:b/>
          <w:bCs/>
          <w:spacing w:val="-20"/>
          <w:kern w:val="44"/>
          <w:sz w:val="44"/>
          <w:szCs w:val="44"/>
        </w:rPr>
      </w:pPr>
    </w:p>
    <w:p>
      <w:pPr>
        <w:spacing w:line="360" w:lineRule="auto"/>
        <w:jc w:val="center"/>
        <w:rPr>
          <w:rFonts w:ascii="宋体" w:hAnsi="宋体" w:cstheme="majorEastAsia"/>
          <w:b/>
          <w:bCs/>
          <w:spacing w:val="-20"/>
          <w:kern w:val="44"/>
          <w:sz w:val="44"/>
          <w:szCs w:val="44"/>
        </w:rPr>
      </w:pPr>
    </w:p>
    <w:p>
      <w:pPr>
        <w:spacing w:line="360" w:lineRule="auto"/>
        <w:jc w:val="center"/>
        <w:rPr>
          <w:rFonts w:ascii="仿宋" w:hAnsi="仿宋" w:eastAsia="仿宋" w:cstheme="majorEastAsia"/>
          <w:bCs/>
          <w:spacing w:val="-20"/>
          <w:kern w:val="44"/>
          <w:sz w:val="32"/>
          <w:szCs w:val="32"/>
        </w:rPr>
      </w:pPr>
      <w:r>
        <w:rPr>
          <w:rFonts w:hint="eastAsia" w:ascii="仿宋" w:hAnsi="仿宋" w:eastAsia="仿宋" w:cstheme="majorEastAsia"/>
          <w:bCs/>
          <w:spacing w:val="-20"/>
          <w:kern w:val="44"/>
          <w:sz w:val="32"/>
          <w:szCs w:val="32"/>
        </w:rPr>
        <w:t>毛环复〔2023〕</w:t>
      </w:r>
      <w:r>
        <w:rPr>
          <w:rFonts w:ascii="仿宋" w:hAnsi="仿宋" w:eastAsia="仿宋" w:cstheme="majorEastAsia"/>
          <w:bCs/>
          <w:spacing w:val="-20"/>
          <w:kern w:val="44"/>
          <w:sz w:val="32"/>
          <w:szCs w:val="32"/>
        </w:rPr>
        <w:t>15</w:t>
      </w:r>
      <w:r>
        <w:rPr>
          <w:rFonts w:hint="eastAsia" w:ascii="仿宋" w:hAnsi="仿宋" w:eastAsia="仿宋" w:cstheme="majorEastAsia"/>
          <w:bCs/>
          <w:spacing w:val="-20"/>
          <w:kern w:val="44"/>
          <w:sz w:val="32"/>
          <w:szCs w:val="32"/>
        </w:rPr>
        <w:t>号</w:t>
      </w:r>
    </w:p>
    <w:p>
      <w:pPr>
        <w:spacing w:line="360" w:lineRule="auto"/>
        <w:jc w:val="center"/>
        <w:rPr>
          <w:rFonts w:ascii="宋体" w:hAnsi="宋体" w:cstheme="majorEastAsia"/>
          <w:b/>
          <w:bCs/>
          <w:spacing w:val="-20"/>
          <w:kern w:val="44"/>
          <w:sz w:val="44"/>
          <w:szCs w:val="44"/>
        </w:rPr>
      </w:pPr>
    </w:p>
    <w:p>
      <w:pPr>
        <w:spacing w:line="360" w:lineRule="auto"/>
        <w:jc w:val="center"/>
        <w:rPr>
          <w:rFonts w:ascii="宋体" w:hAnsi="宋体" w:cstheme="majorEastAsia"/>
          <w:b/>
          <w:spacing w:val="-20"/>
          <w:kern w:val="44"/>
          <w:sz w:val="44"/>
          <w:szCs w:val="44"/>
        </w:rPr>
      </w:pPr>
      <w:r>
        <w:rPr>
          <w:rFonts w:hint="eastAsia" w:ascii="宋体" w:hAnsi="宋体" w:cstheme="majorEastAsia"/>
          <w:b/>
          <w:spacing w:val="-20"/>
          <w:kern w:val="44"/>
          <w:sz w:val="44"/>
          <w:szCs w:val="44"/>
        </w:rPr>
        <w:t>关于淮南市日通包装制品有限公司年产3000吨泡沫塑料包装制品生产线项目环境影响</w:t>
      </w:r>
    </w:p>
    <w:p>
      <w:pPr>
        <w:spacing w:line="360" w:lineRule="auto"/>
        <w:jc w:val="center"/>
        <w:rPr>
          <w:rFonts w:ascii="宋体" w:hAnsi="宋体" w:cstheme="majorEastAsia"/>
          <w:b/>
          <w:spacing w:val="-20"/>
          <w:kern w:val="44"/>
          <w:sz w:val="44"/>
          <w:szCs w:val="44"/>
        </w:rPr>
      </w:pPr>
      <w:r>
        <w:rPr>
          <w:rFonts w:hint="eastAsia" w:ascii="宋体" w:hAnsi="宋体" w:cstheme="majorEastAsia"/>
          <w:b/>
          <w:spacing w:val="-20"/>
          <w:kern w:val="44"/>
          <w:sz w:val="44"/>
          <w:szCs w:val="44"/>
        </w:rPr>
        <w:t>报告表的批复</w:t>
      </w:r>
    </w:p>
    <w:p>
      <w:pPr>
        <w:widowControl/>
        <w:spacing w:line="360" w:lineRule="auto"/>
        <w:jc w:val="left"/>
        <w:rPr>
          <w:rFonts w:ascii="仿宋" w:hAnsi="仿宋" w:eastAsia="仿宋" w:cs="仿宋"/>
          <w:b/>
          <w:bCs/>
          <w:color w:val="FF0000"/>
          <w:szCs w:val="21"/>
        </w:rPr>
      </w:pPr>
    </w:p>
    <w:p>
      <w:pPr>
        <w:spacing w:line="360" w:lineRule="auto"/>
        <w:rPr>
          <w:rFonts w:ascii="仿宋" w:hAnsi="仿宋" w:eastAsia="仿宋" w:cs="仿宋"/>
          <w:color w:val="FF0000"/>
          <w:sz w:val="32"/>
          <w:szCs w:val="32"/>
        </w:rPr>
      </w:pPr>
    </w:p>
    <w:p>
      <w:pPr>
        <w:spacing w:line="360" w:lineRule="auto"/>
        <w:rPr>
          <w:rFonts w:ascii="仿宋" w:hAnsi="仿宋" w:eastAsia="仿宋" w:cs="仿宋"/>
          <w:sz w:val="32"/>
          <w:szCs w:val="32"/>
        </w:rPr>
      </w:pPr>
      <w:r>
        <w:rPr>
          <w:rFonts w:hint="eastAsia" w:ascii="仿宋" w:hAnsi="仿宋" w:eastAsia="仿宋" w:cs="仿宋"/>
          <w:sz w:val="32"/>
          <w:szCs w:val="32"/>
        </w:rPr>
        <w:t>淮南市日通包装制品有限公司：</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你公司报来的《年产3000吨泡沫塑料包装制品生产线项目环境影响报告表》（以下简称《报告表》）已收悉，经审查批复如下：</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在全面落实环评文件提出的各项污染防治措施和风险防范措施的前提下，原则同意该项目按照安徽梓东环境科技有限公司编制的《报告表》及文本审批意见要求进行建设。</w:t>
      </w:r>
    </w:p>
    <w:p>
      <w:pPr>
        <w:spacing w:line="360" w:lineRule="auto"/>
        <w:rPr>
          <w:rFonts w:ascii="仿宋" w:hAnsi="仿宋" w:eastAsia="仿宋" w:cs="仿宋"/>
          <w:sz w:val="32"/>
          <w:szCs w:val="32"/>
        </w:rPr>
      </w:pPr>
      <w:r>
        <w:rPr>
          <w:rFonts w:hint="eastAsia" w:ascii="仿宋" w:hAnsi="仿宋" w:eastAsia="仿宋" w:cs="仿宋"/>
          <w:sz w:val="32"/>
          <w:szCs w:val="32"/>
        </w:rPr>
        <w:t>一、项目概况</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淮南市日通包装制品有限公司年产3000吨泡沫塑料包装制品生产线项目选址于安徽省淮南市毛集社会发展综合实验区，项目总投资80万元。2022年11月，淮南市日通包装制品有限公司与铜管厂代管方签订租赁协议，租赁安徽新集煤电（集团）有限公司所有的毛集实验区花家湖铜管厂的1号、2号厂房，总租赁面积约</w:t>
      </w:r>
      <w:r>
        <w:rPr>
          <w:rFonts w:ascii="仿宋" w:hAnsi="仿宋" w:eastAsia="仿宋" w:cs="仿宋"/>
          <w:sz w:val="32"/>
          <w:szCs w:val="32"/>
        </w:rPr>
        <w:t>10518.54</w:t>
      </w:r>
      <w:r>
        <w:rPr>
          <w:rFonts w:hint="eastAsia" w:ascii="仿宋" w:hAnsi="仿宋" w:eastAsia="仿宋" w:cs="仿宋"/>
          <w:sz w:val="32"/>
          <w:szCs w:val="32"/>
        </w:rPr>
        <w:t>平方米，租赁方无偿将厂区办公楼供淮南市日通包装制品有限公司使用。项目主要建设内容为年产3000吨泡沫塑料包装制品生产线1条，并配套建设生产道路、原辅材料库等工程。该项目于2023年1月11日经毛集实验区发展改革局进行了备案。备案代码为：“</w:t>
      </w:r>
      <w:r>
        <w:rPr>
          <w:rFonts w:ascii="仿宋" w:hAnsi="仿宋" w:eastAsia="仿宋" w:cs="仿宋"/>
          <w:sz w:val="32"/>
          <w:szCs w:val="32"/>
        </w:rPr>
        <w:t>2301-340407-04-05-337104</w:t>
      </w:r>
      <w:r>
        <w:rPr>
          <w:rFonts w:hint="eastAsia" w:ascii="仿宋" w:hAnsi="仿宋" w:eastAsia="仿宋" w:cs="仿宋"/>
          <w:sz w:val="32"/>
          <w:szCs w:val="32"/>
        </w:rPr>
        <w:t>”。</w:t>
      </w:r>
    </w:p>
    <w:p>
      <w:pPr>
        <w:spacing w:line="360" w:lineRule="auto"/>
        <w:rPr>
          <w:rFonts w:ascii="仿宋" w:hAnsi="仿宋" w:eastAsia="仿宋" w:cs="仿宋"/>
          <w:sz w:val="32"/>
          <w:szCs w:val="32"/>
        </w:rPr>
      </w:pPr>
      <w:r>
        <w:rPr>
          <w:rFonts w:hint="eastAsia" w:ascii="仿宋" w:hAnsi="仿宋" w:eastAsia="仿宋" w:cs="仿宋"/>
          <w:sz w:val="32"/>
          <w:szCs w:val="32"/>
        </w:rPr>
        <w:t>二、污染防治措施要求</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为保护区域环境质量不因本项目建设而降低，项目设计、建设和运行必须做到以下要求：</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1、水污染防治措施。生活污水和保洁废水进入厂区化粪池处理后，定期清掏作为农家肥使用，循环冷却排水用于本项目厂区绿化用水。</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大气污染防治措施。预发泡、成型工序产生的非甲烷总烃废气经集气罩收集、烘干工序经密闭负压负压收集后经一套“二级活性炭”处理装置（TA002）处理后从15m高排气筒（DA001）高空排放；破碎机产生废气采用集气罩收集后经一套“布袋除尘器”处理设施（TA001）+“二级活性炭”处理设施（TA002）从15m高排气筒（DA001）高空排放</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3、噪声污染防治措施。项目产噪设备等应合理布局，选用新型、低噪声设备，采取有效的隔声、减震、消声等措施，保证厂界噪声达标。</w:t>
      </w:r>
    </w:p>
    <w:p>
      <w:pPr>
        <w:widowControl/>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固体废物污染防治措施。本项目产生的生活垃圾分类收集后委托环卫部门处理处置；不合格品经破碎后回用于生产；危险废物主要为废机油、含油抹布、手套和废活性炭，危险废物收集后暂存于危废暂存间，委托具有相关资质的危险废物经营单位处理处置。</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5、项目应加强环境保护管理，落实环境保护的各项应急措施及制度，加强风险管理，有关本项目的污染物排放总量控制及其他环境影响减缓措施，按环评报告要求认真落实。</w:t>
      </w:r>
    </w:p>
    <w:p>
      <w:pPr>
        <w:spacing w:line="360" w:lineRule="auto"/>
        <w:rPr>
          <w:rFonts w:ascii="仿宋" w:hAnsi="仿宋" w:eastAsia="仿宋" w:cs="仿宋"/>
          <w:sz w:val="32"/>
          <w:szCs w:val="32"/>
        </w:rPr>
      </w:pPr>
      <w:r>
        <w:rPr>
          <w:rFonts w:hint="eastAsia" w:ascii="仿宋" w:hAnsi="仿宋" w:eastAsia="仿宋" w:cs="仿宋"/>
          <w:sz w:val="32"/>
          <w:szCs w:val="32"/>
        </w:rPr>
        <w:t>三、环境管理要求</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项目建设过程中应严格执行环境保护“三同时”制度，按国家要求申领排污许可证；项目竣工后，建设单位应当按照国务院生态环境行政主管部门规定的标准和程序，对配套建设的环境保护设施进行验收，编制验收报告，合格后方可投入生产。</w:t>
      </w:r>
    </w:p>
    <w:p>
      <w:pPr>
        <w:spacing w:line="360" w:lineRule="auto"/>
        <w:rPr>
          <w:rFonts w:ascii="仿宋" w:hAnsi="仿宋" w:eastAsia="仿宋" w:cs="仿宋"/>
          <w:sz w:val="32"/>
          <w:szCs w:val="32"/>
        </w:rPr>
      </w:pPr>
      <w:r>
        <w:rPr>
          <w:rFonts w:hint="eastAsia" w:ascii="仿宋" w:hAnsi="仿宋" w:eastAsia="仿宋" w:cs="仿宋"/>
          <w:sz w:val="32"/>
          <w:szCs w:val="32"/>
        </w:rPr>
        <w:t>四、环评执行标准</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1、地表水和污水排放</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评价区域地表水西淝河水质执行《地表水环境质量标准》（GB</w:t>
      </w:r>
      <w:r>
        <w:rPr>
          <w:rFonts w:ascii="仿宋" w:hAnsi="仿宋" w:eastAsia="仿宋" w:cs="仿宋"/>
          <w:sz w:val="32"/>
          <w:szCs w:val="32"/>
        </w:rPr>
        <w:t xml:space="preserve"> </w:t>
      </w:r>
      <w:r>
        <w:rPr>
          <w:rFonts w:hint="eastAsia" w:ascii="仿宋" w:hAnsi="仿宋" w:eastAsia="仿宋" w:cs="仿宋"/>
          <w:sz w:val="32"/>
          <w:szCs w:val="32"/>
        </w:rPr>
        <w:t>3838-2002）Ⅲ类标准。</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项目生活污水和保洁废水进入厂区化粪池处理后，定期清掏作为农家肥使用，循环冷却排水用于厂区绿化用水，运营期无废水排放。</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2、环境空气及废气排放</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评价区域环境空气质量执行《环境空气质量标准》（GB</w:t>
      </w:r>
      <w:r>
        <w:rPr>
          <w:rFonts w:ascii="仿宋" w:hAnsi="仿宋" w:eastAsia="仿宋" w:cs="仿宋"/>
          <w:sz w:val="32"/>
          <w:szCs w:val="32"/>
        </w:rPr>
        <w:t xml:space="preserve"> </w:t>
      </w:r>
      <w:r>
        <w:rPr>
          <w:rFonts w:hint="eastAsia" w:ascii="仿宋" w:hAnsi="仿宋" w:eastAsia="仿宋" w:cs="仿宋"/>
          <w:sz w:val="32"/>
          <w:szCs w:val="32"/>
        </w:rPr>
        <w:t>3095-2012）及2018年修改单中的二级标准。</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大气污染物排放中</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（1）有组织废气</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项目产生的非甲烷总烃、苯乙烯和颗粒物有组织排放浓度执行《合成树脂工业污染物排放标准》（GB 31572-2015）中表5特别排放限值要求；单位产品非甲烷总烃排放量执行《合成树脂工业污染物排放标准》（GB 31572-2015）中表5特别限值要求；臭气浓度有组织排放执行《恶臭污染物排放标准》（GB 14554-93）浓度限值要求。</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（2）无组织废气</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非甲烷总烃厂房外监控点执行《挥发性有机物无组织排放控制标准》（GB 37822-2019）附录A浓度限值要求；非甲烷总烃、颗粒物周界外浓度最高点执行《合成树脂工业污染物排放标准》（GB</w:t>
      </w:r>
      <w:r>
        <w:rPr>
          <w:rFonts w:ascii="仿宋" w:hAnsi="仿宋" w:eastAsia="仿宋" w:cs="仿宋"/>
          <w:sz w:val="32"/>
          <w:szCs w:val="32"/>
        </w:rPr>
        <w:t xml:space="preserve"> </w:t>
      </w:r>
      <w:r>
        <w:rPr>
          <w:rFonts w:hint="eastAsia" w:ascii="仿宋" w:hAnsi="仿宋" w:eastAsia="仿宋" w:cs="仿宋"/>
          <w:sz w:val="32"/>
          <w:szCs w:val="32"/>
        </w:rPr>
        <w:t>31572-2015）浓度限值要求；臭气浓度、苯乙烯周界外浓度最高点浓度执行《恶臭污染物排放标准》（GB 14554-93）浓度限值要求。</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3、声环境及噪声排放</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营运期厂界噪声执行《工业企业厂界环境噪声排放标准》（GB12348-2008）中3类标准。</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4、固体废物污染控制标准</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按照《中华人民共和国固体废物污染环境防治法》的要求，固体废物要妥善处置，不得形成二次污染。一般工业固体废物的贮存、处置参照执行《一般工业固体废物贮存和填埋污染控制标准》（GB18599-2020）；危险废物的贮存、污染控制及监督管理执行《危险废物贮存污染控制标准》（GB18597-2023）中的相关规范及标准要求。</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5、如有环境功能区划调整、新标准制定实施等情况,按照要求变更执行标准。</w:t>
      </w:r>
    </w:p>
    <w:p>
      <w:pPr>
        <w:spacing w:line="360" w:lineRule="auto"/>
        <w:rPr>
          <w:rFonts w:ascii="仿宋" w:hAnsi="仿宋" w:eastAsia="仿宋" w:cs="仿宋"/>
          <w:sz w:val="32"/>
          <w:szCs w:val="32"/>
        </w:rPr>
      </w:pPr>
      <w:r>
        <w:rPr>
          <w:rFonts w:hint="eastAsia" w:ascii="仿宋" w:hAnsi="仿宋" w:eastAsia="仿宋" w:cs="仿宋"/>
          <w:sz w:val="32"/>
          <w:szCs w:val="32"/>
        </w:rPr>
        <w:t>五、其他要求</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1、本审批意见仅是我局对该项目环评文件的批复意见，项目涉及的规划、安监、建设、土地等其它事项遵照有关部门的要求执行。</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2、若发现建设单位、环评编制单位弄虚作假或不落实承诺内容的，可撤销许可决定，依法查处，并向社会公开，将失信企业纳入相关诚信体系。</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3、你公司应按规定配合各级生态环境部门做好建设项目环境保护事中事后监管工作。</w:t>
      </w:r>
    </w:p>
    <w:p>
      <w:pPr>
        <w:spacing w:line="360" w:lineRule="auto"/>
        <w:rPr>
          <w:rFonts w:ascii="仿宋" w:hAnsi="仿宋" w:eastAsia="仿宋" w:cs="仿宋"/>
          <w:sz w:val="32"/>
          <w:szCs w:val="32"/>
        </w:rPr>
      </w:pPr>
      <w:r>
        <w:rPr>
          <w:rFonts w:hint="eastAsia" w:ascii="仿宋" w:hAnsi="仿宋" w:eastAsia="仿宋" w:cs="仿宋"/>
          <w:sz w:val="32"/>
          <w:szCs w:val="32"/>
        </w:rPr>
        <w:t>六、毛集实验区环境监察大队做好施工和运营期间的环保监管工作。</w:t>
      </w:r>
    </w:p>
    <w:p>
      <w:pPr>
        <w:pStyle w:val="2"/>
        <w:spacing w:line="360" w:lineRule="auto"/>
        <w:rPr>
          <w:rFonts w:ascii="仿宋" w:hAnsi="仿宋" w:eastAsia="仿宋" w:cs="仿宋"/>
          <w:sz w:val="32"/>
          <w:szCs w:val="32"/>
        </w:rPr>
      </w:pPr>
    </w:p>
    <w:p>
      <w:pPr>
        <w:spacing w:line="360" w:lineRule="auto"/>
        <w:jc w:val="right"/>
        <w:rPr>
          <w:rFonts w:ascii="仿宋" w:hAnsi="仿宋" w:eastAsia="仿宋" w:cs="仿宋"/>
          <w:color w:val="000000" w:themeColor="text1"/>
          <w:sz w:val="32"/>
          <w:szCs w:val="32"/>
          <w14:textFill>
            <w14:solidFill>
              <w14:schemeClr w14:val="tx1"/>
            </w14:solidFill>
          </w14:textFill>
        </w:rPr>
      </w:pPr>
    </w:p>
    <w:p>
      <w:pPr>
        <w:spacing w:line="360" w:lineRule="auto"/>
        <w:jc w:val="righ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2023年</w:t>
      </w:r>
      <w:r>
        <w:rPr>
          <w:rFonts w:ascii="仿宋" w:hAnsi="仿宋" w:eastAsia="仿宋" w:cs="仿宋"/>
          <w:color w:val="000000" w:themeColor="text1"/>
          <w:sz w:val="32"/>
          <w:szCs w:val="32"/>
          <w14:textFill>
            <w14:solidFill>
              <w14:schemeClr w14:val="tx1"/>
            </w14:solidFill>
          </w14:textFill>
        </w:rPr>
        <w:t>12</w:t>
      </w:r>
      <w:r>
        <w:rPr>
          <w:rFonts w:hint="eastAsia" w:ascii="仿宋" w:hAnsi="仿宋" w:eastAsia="仿宋" w:cs="仿宋"/>
          <w:color w:val="000000" w:themeColor="text1"/>
          <w:sz w:val="32"/>
          <w:szCs w:val="32"/>
          <w14:textFill>
            <w14:solidFill>
              <w14:schemeClr w14:val="tx1"/>
            </w14:solidFill>
          </w14:textFill>
        </w:rPr>
        <w:t>月</w:t>
      </w:r>
      <w:r>
        <w:rPr>
          <w:rFonts w:ascii="仿宋" w:hAnsi="仿宋" w:eastAsia="仿宋" w:cs="仿宋"/>
          <w:color w:val="000000" w:themeColor="text1"/>
          <w:sz w:val="32"/>
          <w:szCs w:val="32"/>
          <w14:textFill>
            <w14:solidFill>
              <w14:schemeClr w14:val="tx1"/>
            </w14:solidFill>
          </w14:textFill>
        </w:rPr>
        <w:t>19</w:t>
      </w:r>
      <w:r>
        <w:rPr>
          <w:rFonts w:hint="eastAsia" w:ascii="仿宋" w:hAnsi="仿宋" w:eastAsia="仿宋" w:cs="仿宋"/>
          <w:color w:val="000000" w:themeColor="text1"/>
          <w:sz w:val="32"/>
          <w:szCs w:val="32"/>
          <w14:textFill>
            <w14:solidFill>
              <w14:schemeClr w14:val="tx1"/>
            </w14:solidFill>
          </w14:textFill>
        </w:rPr>
        <w:t>日</w:t>
      </w: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rPr>
          <w:rFonts w:hint="eastAsia"/>
        </w:rPr>
      </w:pPr>
    </w:p>
    <w:tbl>
      <w:tblPr>
        <w:tblStyle w:val="5"/>
        <w:tblpPr w:leftFromText="180" w:rightFromText="180" w:vertAnchor="text" w:tblpY="1"/>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4509"/>
        <w:gridCol w:w="3995"/>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509" w:type="dxa"/>
            <w:tcBorders>
              <w:tl2br w:val="nil"/>
              <w:tr2bl w:val="nil"/>
            </w:tcBorders>
          </w:tcPr>
          <w:p>
            <w:pPr>
              <w:pStyle w:val="2"/>
              <w:spacing w:line="360" w:lineRule="auto"/>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抄送：毛集实验区环境监察大队</w:t>
            </w:r>
          </w:p>
        </w:tc>
        <w:tc>
          <w:tcPr>
            <w:tcW w:w="3995" w:type="dxa"/>
            <w:tcBorders>
              <w:tl2br w:val="nil"/>
              <w:tr2bl w:val="nil"/>
            </w:tcBorders>
          </w:tcPr>
          <w:p>
            <w:pPr>
              <w:pStyle w:val="2"/>
              <w:spacing w:line="360" w:lineRule="auto"/>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安徽梓东环境科技有限公司</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509" w:type="dxa"/>
            <w:tcBorders>
              <w:tl2br w:val="nil"/>
              <w:tr2bl w:val="nil"/>
            </w:tcBorders>
          </w:tcPr>
          <w:p>
            <w:pPr>
              <w:pStyle w:val="2"/>
              <w:spacing w:line="360" w:lineRule="auto"/>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毛集实验区环境保护局</w:t>
            </w:r>
          </w:p>
        </w:tc>
        <w:tc>
          <w:tcPr>
            <w:tcW w:w="3995" w:type="dxa"/>
            <w:tcBorders>
              <w:tl2br w:val="nil"/>
              <w:tr2bl w:val="nil"/>
            </w:tcBorders>
          </w:tcPr>
          <w:p>
            <w:pPr>
              <w:pStyle w:val="2"/>
              <w:spacing w:line="360" w:lineRule="auto"/>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2023年</w:t>
            </w:r>
            <w:r>
              <w:rPr>
                <w:rFonts w:ascii="仿宋" w:hAnsi="仿宋" w:eastAsia="仿宋" w:cs="仿宋"/>
                <w:color w:val="000000" w:themeColor="text1"/>
                <w:kern w:val="0"/>
                <w:sz w:val="30"/>
                <w:szCs w:val="30"/>
                <w14:textFill>
                  <w14:solidFill>
                    <w14:schemeClr w14:val="tx1"/>
                  </w14:solidFill>
                </w14:textFill>
              </w:rPr>
              <w:t>12</w:t>
            </w:r>
            <w:r>
              <w:rPr>
                <w:rFonts w:hint="eastAsia" w:ascii="仿宋" w:hAnsi="仿宋" w:eastAsia="仿宋" w:cs="仿宋"/>
                <w:color w:val="000000" w:themeColor="text1"/>
                <w:kern w:val="0"/>
                <w:sz w:val="30"/>
                <w:szCs w:val="30"/>
                <w14:textFill>
                  <w14:solidFill>
                    <w14:schemeClr w14:val="tx1"/>
                  </w14:solidFill>
                </w14:textFill>
              </w:rPr>
              <w:t>月1</w:t>
            </w:r>
            <w:r>
              <w:rPr>
                <w:rFonts w:ascii="仿宋" w:hAnsi="仿宋" w:eastAsia="仿宋" w:cs="仿宋"/>
                <w:color w:val="000000" w:themeColor="text1"/>
                <w:kern w:val="0"/>
                <w:sz w:val="30"/>
                <w:szCs w:val="30"/>
                <w14:textFill>
                  <w14:solidFill>
                    <w14:schemeClr w14:val="tx1"/>
                  </w14:solidFill>
                </w14:textFill>
              </w:rPr>
              <w:t>9</w:t>
            </w:r>
            <w:r>
              <w:rPr>
                <w:rFonts w:hint="eastAsia" w:ascii="仿宋" w:hAnsi="仿宋" w:eastAsia="仿宋" w:cs="仿宋"/>
                <w:color w:val="000000" w:themeColor="text1"/>
                <w:kern w:val="0"/>
                <w:sz w:val="30"/>
                <w:szCs w:val="30"/>
                <w14:textFill>
                  <w14:solidFill>
                    <w14:schemeClr w14:val="tx1"/>
                  </w14:solidFill>
                </w14:textFill>
              </w:rPr>
              <w:t>日印发</w:t>
            </w:r>
          </w:p>
        </w:tc>
      </w:tr>
    </w:tbl>
    <w:p>
      <w:pPr>
        <w:spacing w:line="360" w:lineRule="auto"/>
        <w:rPr>
          <w:rFonts w:ascii="宋体" w:hAnsi="宋体"/>
          <w:sz w:val="24"/>
        </w:rPr>
      </w:pPr>
    </w:p>
    <w:sectPr>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writeProtection w:cryptProviderType="rsaFull" w:cryptAlgorithmClass="hash" w:cryptAlgorithmType="typeAny" w:cryptAlgorithmSid="4" w:cryptSpinCount="100000" w:hash="moMIIQBPJVNmFltGWAVO6h4MwJc=" w:salt="RTqBvfmSm3KDvdQunxRMFw=="/>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ViYTE2MGY2YjQyZDAxZDdkNDAxYmExN2Q0YzdhNzQifQ=="/>
  </w:docVars>
  <w:rsids>
    <w:rsidRoot w:val="004500BC"/>
    <w:rsid w:val="00015E52"/>
    <w:rsid w:val="00024E12"/>
    <w:rsid w:val="000308BE"/>
    <w:rsid w:val="00036725"/>
    <w:rsid w:val="00156608"/>
    <w:rsid w:val="00184930"/>
    <w:rsid w:val="001929FE"/>
    <w:rsid w:val="001A4B58"/>
    <w:rsid w:val="001C5721"/>
    <w:rsid w:val="002600FB"/>
    <w:rsid w:val="0027066A"/>
    <w:rsid w:val="002F7626"/>
    <w:rsid w:val="003378F5"/>
    <w:rsid w:val="003469B1"/>
    <w:rsid w:val="003732B0"/>
    <w:rsid w:val="00393AB1"/>
    <w:rsid w:val="00393C5A"/>
    <w:rsid w:val="003B37EE"/>
    <w:rsid w:val="003C6A77"/>
    <w:rsid w:val="0043253D"/>
    <w:rsid w:val="004500BC"/>
    <w:rsid w:val="00553A46"/>
    <w:rsid w:val="005E683B"/>
    <w:rsid w:val="00621BD3"/>
    <w:rsid w:val="006317A8"/>
    <w:rsid w:val="00631FF9"/>
    <w:rsid w:val="00641335"/>
    <w:rsid w:val="00646DB6"/>
    <w:rsid w:val="006D039C"/>
    <w:rsid w:val="007C1819"/>
    <w:rsid w:val="007C33F1"/>
    <w:rsid w:val="00812C2B"/>
    <w:rsid w:val="00826613"/>
    <w:rsid w:val="00847248"/>
    <w:rsid w:val="00854169"/>
    <w:rsid w:val="008E1E70"/>
    <w:rsid w:val="009267E4"/>
    <w:rsid w:val="00995345"/>
    <w:rsid w:val="009F440C"/>
    <w:rsid w:val="00A05E31"/>
    <w:rsid w:val="00A765A4"/>
    <w:rsid w:val="00A94A21"/>
    <w:rsid w:val="00AA57D6"/>
    <w:rsid w:val="00AB6FD8"/>
    <w:rsid w:val="00AE3278"/>
    <w:rsid w:val="00B05A41"/>
    <w:rsid w:val="00B15985"/>
    <w:rsid w:val="00B7105D"/>
    <w:rsid w:val="00B727A3"/>
    <w:rsid w:val="00BC441F"/>
    <w:rsid w:val="00C367B8"/>
    <w:rsid w:val="00C81F5D"/>
    <w:rsid w:val="00CA3D28"/>
    <w:rsid w:val="00CE1BFA"/>
    <w:rsid w:val="00CF3865"/>
    <w:rsid w:val="00D07345"/>
    <w:rsid w:val="00D1158F"/>
    <w:rsid w:val="00D37EA0"/>
    <w:rsid w:val="00D80DF1"/>
    <w:rsid w:val="00DA3B27"/>
    <w:rsid w:val="00DB301C"/>
    <w:rsid w:val="00E21623"/>
    <w:rsid w:val="00E3559E"/>
    <w:rsid w:val="00E626B7"/>
    <w:rsid w:val="00EA3F8C"/>
    <w:rsid w:val="00EB1B7B"/>
    <w:rsid w:val="00F01435"/>
    <w:rsid w:val="00F11332"/>
    <w:rsid w:val="00F41E8C"/>
    <w:rsid w:val="00F461EB"/>
    <w:rsid w:val="00F775FE"/>
    <w:rsid w:val="00FE4EED"/>
    <w:rsid w:val="00FF138C"/>
    <w:rsid w:val="461A64DC"/>
    <w:rsid w:val="525B1BA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7"/>
    <w:unhideWhenUsed/>
    <w:qFormat/>
    <w:uiPriority w:val="99"/>
  </w:style>
  <w:style w:type="paragraph" w:styleId="3">
    <w:name w:val="Date"/>
    <w:basedOn w:val="1"/>
    <w:next w:val="1"/>
    <w:link w:val="8"/>
    <w:semiHidden/>
    <w:unhideWhenUsed/>
    <w:uiPriority w:val="99"/>
    <w:pPr>
      <w:ind w:left="100" w:leftChars="2500"/>
    </w:p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正文文本 字符"/>
    <w:basedOn w:val="6"/>
    <w:link w:val="2"/>
    <w:uiPriority w:val="99"/>
    <w:rPr>
      <w:rFonts w:ascii="Times New Roman" w:hAnsi="Times New Roman" w:eastAsia="宋体" w:cs="Times New Roman"/>
      <w:szCs w:val="24"/>
    </w:rPr>
  </w:style>
  <w:style w:type="character" w:customStyle="1" w:styleId="8">
    <w:name w:val="日期 字符"/>
    <w:basedOn w:val="6"/>
    <w:link w:val="3"/>
    <w:semiHidden/>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342</Words>
  <Characters>1955</Characters>
  <Lines>16</Lines>
  <Paragraphs>4</Paragraphs>
  <TotalTime>60</TotalTime>
  <ScaleCrop>false</ScaleCrop>
  <LinksUpToDate>false</LinksUpToDate>
  <CharactersWithSpaces>2293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2023-12-18T02:48:00Z</dcterms:created>
  <dc:creator>YZ W</dc:creator>
  <cp:lastModifiedBy>Rom</cp:lastModifiedBy>
  <dcterms:modified xsi:type="dcterms:W3CDTF">2023-12-19T07:48:13Z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19A88CEBB41D4DFC83DF6DB68A4619FB_12</vt:lpwstr>
  </property>
</Properties>
</file>